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siqucdf215s" w:id="0"/>
      <w:bookmarkEnd w:id="0"/>
      <w:r w:rsidDel="00000000" w:rsidR="00000000" w:rsidRPr="00000000">
        <w:rPr>
          <w:rtl w:val="0"/>
        </w:rPr>
        <w:t xml:space="preserve">Exercise 7: Financial Forecasting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Recursion Concept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Recursion is a programming technique where a method calls itself to solve smaller instances of the same problem. It simplifies problems that can be broken down into identical subproblems.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Simplifies code for problems with recursive nature (e.g., tree traversals, mathematical sequences)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contains Base case (simplest instance that can be solved directly) and Recursive case(method calls itself with a modified input to progress toward the base case).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FinancialForecaster.java: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FinancialForecaster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shd w:fill="1b6291" w:val="clear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calculateFutureValue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currValue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growthRate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periods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periods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f22" w:val="clear"/>
        <w:rPr>
          <w:color w:val="e6e6fa"/>
          <w:sz w:val="20"/>
          <w:szCs w:val="20"/>
          <w:shd w:fill="1b6291" w:val="clear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color w:val="cc6c1d"/>
          <w:sz w:val="20"/>
          <w:szCs w:val="20"/>
          <w:shd w:fill="1b6291" w:val="clear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shd w:fill="1b6291" w:val="clear"/>
          <w:rtl w:val="0"/>
        </w:rPr>
        <w:t xml:space="preserve">currValue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nextValue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currValue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growthRate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rPr>
          <w:color w:val="e6e6fa"/>
          <w:sz w:val="20"/>
          <w:szCs w:val="20"/>
          <w:shd w:fill="1b6291" w:val="clear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shd w:fill="1b6291" w:val="clear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i w:val="1"/>
          <w:color w:val="96ec3f"/>
          <w:sz w:val="20"/>
          <w:szCs w:val="20"/>
          <w:shd w:fill="1b6291" w:val="clear"/>
          <w:rtl w:val="0"/>
        </w:rPr>
        <w:t xml:space="preserve">calculateFutureValue</w:t>
      </w:r>
      <w:r w:rsidDel="00000000" w:rsidR="00000000" w:rsidRPr="00000000">
        <w:rPr>
          <w:color w:val="f9faf4"/>
          <w:sz w:val="20"/>
          <w:szCs w:val="20"/>
          <w:shd w:fill="1b6291" w:val="clear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shd w:fill="1b6291" w:val="clear"/>
          <w:rtl w:val="0"/>
        </w:rPr>
        <w:t xml:space="preserve">nextValue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shd w:fill="1b6291" w:val="clear"/>
          <w:rtl w:val="0"/>
        </w:rPr>
        <w:t xml:space="preserve">growthRate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shd w:fill="1b6291" w:val="clear"/>
          <w:rtl w:val="0"/>
        </w:rPr>
        <w:t xml:space="preserve">periods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-</w:t>
      </w:r>
      <w:r w:rsidDel="00000000" w:rsidR="00000000" w:rsidRPr="00000000">
        <w:rPr>
          <w:color w:val="d9e8f7"/>
          <w:sz w:val="20"/>
          <w:szCs w:val="20"/>
          <w:shd w:fill="1b6291" w:val="clear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shd w:fill="1b6291" w:val="clear"/>
          <w:rtl w:val="0"/>
        </w:rPr>
        <w:t xml:space="preserve">1</w:t>
      </w:r>
      <w:r w:rsidDel="00000000" w:rsidR="00000000" w:rsidRPr="00000000">
        <w:rPr>
          <w:color w:val="f9faf4"/>
          <w:sz w:val="20"/>
          <w:szCs w:val="20"/>
          <w:shd w:fill="1b6291" w:val="clear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shd w:fill="1b629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Main.java:</w:t>
      </w:r>
    </w:p>
    <w:p w:rsidR="00000000" w:rsidDel="00000000" w:rsidP="00000000" w:rsidRDefault="00000000" w:rsidRPr="00000000" w14:paraId="0000001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initialInvestment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1000.0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annualGrowthRate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0.07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years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futureValue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FinancialForecaster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0"/>
          <w:szCs w:val="20"/>
          <w:rtl w:val="0"/>
        </w:rPr>
        <w:t xml:space="preserve">calculateFutureValue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initialInvestment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annualGrowthRate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years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"Initial investment: $%.2f%n"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initialInvestment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"Growth rate: %.2f%%%n"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annualGrowthRate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"Years: %d%n"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years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printf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"Future value: $%.2f%n"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futureValue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13768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37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Analysis:</w:t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 complexity: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Each recursive call reduces periods by 1 until reaching 0. If there are n function calls for n periods then time complexity is O(n).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Space complexity: O(n) 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Optimization techniques: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Memorization : stores previously computed results to avoid redundant calculations. Useful when the same parameters are used repeatedly.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approach: it reduces space complexity to O(1). Avoids potential stack overflow for large periods.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formula : it reduces both time and space complexity to O(1). Most efficient but less flexible.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