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hd w:fill="ffffff" w:val="clear"/>
        <w:spacing w:after="160" w:before="220" w:line="264" w:lineRule="auto"/>
        <w:rPr/>
      </w:pPr>
      <w:bookmarkStart w:colFirst="0" w:colLast="0" w:name="_f3bhtagpj237" w:id="0"/>
      <w:bookmarkEnd w:id="0"/>
      <w:r w:rsidDel="00000000" w:rsidR="00000000" w:rsidRPr="00000000">
        <w:rPr>
          <w:rtl w:val="0"/>
        </w:rPr>
        <w:t xml:space="preserve">Difference Between Hibernate and Spring Data JPA?</w:t>
      </w:r>
    </w:p>
    <w:p w:rsidR="00000000" w:rsidDel="00000000" w:rsidP="00000000" w:rsidRDefault="00000000" w:rsidRPr="00000000" w14:paraId="00000002">
      <w:pPr>
        <w:pStyle w:val="Heading3"/>
        <w:rPr>
          <w:b w:val="1"/>
          <w:color w:val="000000"/>
        </w:rPr>
      </w:pPr>
      <w:bookmarkStart w:colFirst="0" w:colLast="0" w:name="_470fzvrv3n8z" w:id="1"/>
      <w:bookmarkEnd w:id="1"/>
      <w:r w:rsidDel="00000000" w:rsidR="00000000" w:rsidRPr="00000000">
        <w:rPr>
          <w:b w:val="1"/>
          <w:color w:val="000000"/>
          <w:rtl w:val="0"/>
        </w:rPr>
        <w:t xml:space="preserve">What Is Hibernate Framework?</w:t>
      </w:r>
    </w:p>
    <w:p w:rsidR="00000000" w:rsidDel="00000000" w:rsidP="00000000" w:rsidRDefault="00000000" w:rsidRPr="00000000" w14:paraId="00000003">
      <w:pPr>
        <w:rPr/>
      </w:pPr>
      <w:r w:rsidDel="00000000" w:rsidR="00000000" w:rsidRPr="00000000">
        <w:rPr>
          <w:rtl w:val="0"/>
        </w:rPr>
        <w:t xml:space="preserve">Hibernate is an Object-Relational Mapping (ORM) framework for Java that maps Java objects (entities) to database tables. Hibernate implements JPA for database operations. It simplifies database interactions by allowing developers to work with objects instead of writing SQL queries manually.</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Hibernate is a JPA provider, meaning it implements the JPA specification.</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It handles database operations like CRUD (Create, Read, Update, Delete) and supports caching, lazy loading, and transaction management.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Example: A Student Java class can be mapped to a students table in the database.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b w:val="1"/>
          <w:color w:val="000000"/>
        </w:rPr>
      </w:pPr>
      <w:bookmarkStart w:colFirst="0" w:colLast="0" w:name="_qugma920vdab" w:id="2"/>
      <w:bookmarkEnd w:id="2"/>
      <w:r w:rsidDel="00000000" w:rsidR="00000000" w:rsidRPr="00000000">
        <w:rPr>
          <w:b w:val="1"/>
          <w:color w:val="000000"/>
          <w:rtl w:val="0"/>
        </w:rPr>
        <w:t xml:space="preserve">What Is Spring Data JPA?</w:t>
      </w:r>
    </w:p>
    <w:p w:rsidR="00000000" w:rsidDel="00000000" w:rsidP="00000000" w:rsidRDefault="00000000" w:rsidRPr="00000000" w14:paraId="00000009">
      <w:pPr>
        <w:rPr/>
      </w:pPr>
      <w:r w:rsidDel="00000000" w:rsidR="00000000" w:rsidRPr="00000000">
        <w:rPr>
          <w:rtl w:val="0"/>
        </w:rPr>
        <w:t xml:space="preserve">Spring Data JPA is an abstraction layer that simplifies JPA usage but relies on Hibernate (or other JPA providers) underneath.</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It is not a JPA provider but reduces boilerplate code.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It provides repository interfaces (like CrudRepository, JpaRepository) to interact with databases using method naming conventions.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Works with any JPA provider (Hibernate, EclipseLink,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Key Differences Between Hibernate and Spring Data JPA</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6185030235492"/>
        <w:gridCol w:w="3559.9466540000367"/>
        <w:gridCol w:w="3559.9466540000367"/>
        <w:tblGridChange w:id="0">
          <w:tblGrid>
            <w:gridCol w:w="1905.6185030235492"/>
            <w:gridCol w:w="3559.9466540000367"/>
            <w:gridCol w:w="3559.9466540000367"/>
          </w:tblGrid>
        </w:tblGridChange>
      </w:tblGrid>
      <w:tr>
        <w:trPr>
          <w:cantSplit w:val="0"/>
          <w:trHeight w:val="585" w:hRule="atLeast"/>
          <w:tblHeader w:val="0"/>
        </w:trPr>
        <w:tc>
          <w:tcPr>
            <w:tcBorders>
              <w:top w:color="000000" w:space="0" w:sz="8" w:val="single"/>
              <w:left w:color="8b8b8b" w:space="0" w:sz="8" w:val="single"/>
              <w:bottom w:color="8b8b8b" w:space="0" w:sz="8" w:val="single"/>
              <w:right w:color="8b8b8b" w:space="0" w:sz="8" w:val="single"/>
            </w:tcBorders>
            <w:tcMar>
              <w:top w:w="160.0" w:type="dxa"/>
              <w:left w:w="0.0" w:type="dxa"/>
              <w:bottom w:w="160.0" w:type="dxa"/>
              <w:right w:w="160.0" w:type="dxa"/>
            </w:tcMar>
            <w:vAlign w:val="top"/>
          </w:tcPr>
          <w:p w:rsidR="00000000" w:rsidDel="00000000" w:rsidP="00000000" w:rsidRDefault="00000000" w:rsidRPr="00000000" w14:paraId="0000000F">
            <w:pPr>
              <w:spacing w:line="240" w:lineRule="auto"/>
              <w:jc w:val="center"/>
              <w:rPr>
                <w:b w:val="1"/>
              </w:rPr>
            </w:pPr>
            <w:r w:rsidDel="00000000" w:rsidR="00000000" w:rsidRPr="00000000">
              <w:rPr>
                <w:b w:val="1"/>
                <w:rtl w:val="0"/>
              </w:rPr>
              <w:t xml:space="preserve">Feature</w:t>
            </w:r>
          </w:p>
        </w:tc>
        <w:tc>
          <w:tcPr>
            <w:tcBorders>
              <w:top w:color="000000" w:space="0" w:sz="8" w:val="single"/>
              <w:left w:color="8b8b8b" w:space="0" w:sz="8" w:val="single"/>
              <w:bottom w:color="8b8b8b" w:space="0" w:sz="8" w:val="single"/>
              <w:right w:color="8b8b8b" w:space="0" w:sz="8" w:val="single"/>
            </w:tcBorders>
            <w:tcMar>
              <w:top w:w="160.0" w:type="dxa"/>
              <w:left w:w="160.0" w:type="dxa"/>
              <w:bottom w:w="160.0" w:type="dxa"/>
              <w:right w:w="160.0" w:type="dxa"/>
            </w:tcMar>
            <w:vAlign w:val="top"/>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Hibernate</w:t>
            </w:r>
          </w:p>
        </w:tc>
        <w:tc>
          <w:tcPr>
            <w:tcBorders>
              <w:top w:color="000000" w:space="0" w:sz="8" w:val="single"/>
              <w:left w:color="8b8b8b" w:space="0" w:sz="8" w:val="single"/>
              <w:bottom w:color="8b8b8b" w:space="0" w:sz="8" w:val="single"/>
              <w:right w:color="8b8b8b" w:space="0" w:sz="8" w:val="single"/>
            </w:tcBorders>
            <w:tcMar>
              <w:top w:w="160.0" w:type="dxa"/>
              <w:left w:w="160.0" w:type="dxa"/>
              <w:bottom w:w="160.0" w:type="dxa"/>
              <w:right w:w="160.0" w:type="dxa"/>
            </w:tcMar>
            <w:vAlign w:val="top"/>
          </w:tcPr>
          <w:p w:rsidR="00000000" w:rsidDel="00000000" w:rsidP="00000000" w:rsidRDefault="00000000" w:rsidRPr="00000000" w14:paraId="00000011">
            <w:pPr>
              <w:spacing w:line="240" w:lineRule="auto"/>
              <w:jc w:val="center"/>
              <w:rPr>
                <w:b w:val="1"/>
              </w:rPr>
            </w:pPr>
            <w:r w:rsidDel="00000000" w:rsidR="00000000" w:rsidRPr="00000000">
              <w:rPr>
                <w:b w:val="1"/>
                <w:rtl w:val="0"/>
              </w:rPr>
              <w:t xml:space="preserve">Spring Data JPA</w:t>
            </w:r>
          </w:p>
        </w:tc>
      </w:tr>
      <w:tr>
        <w:trPr>
          <w:cantSplit w:val="0"/>
          <w:trHeight w:val="715.95703125" w:hRule="atLeast"/>
          <w:tblHeader w:val="0"/>
        </w:trPr>
        <w:tc>
          <w:tcPr>
            <w:tcBorders>
              <w:top w:color="8b8b8b"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2">
            <w:pPr>
              <w:spacing w:before="0" w:line="240" w:lineRule="auto"/>
              <w:rPr/>
            </w:pPr>
            <w:r w:rsidDel="00000000" w:rsidR="00000000" w:rsidRPr="00000000">
              <w:rPr>
                <w:rtl w:val="0"/>
              </w:rPr>
              <w:t xml:space="preserve">Type</w:t>
            </w:r>
          </w:p>
        </w:tc>
        <w:tc>
          <w:tcPr>
            <w:tcBorders>
              <w:top w:color="8b8b8b"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3">
            <w:pPr>
              <w:spacing w:before="0" w:line="240" w:lineRule="auto"/>
              <w:rPr/>
            </w:pPr>
            <w:r w:rsidDel="00000000" w:rsidR="00000000" w:rsidRPr="00000000">
              <w:rPr>
                <w:rtl w:val="0"/>
              </w:rPr>
              <w:t xml:space="preserve">JPA Implementation (ORM Framework)</w:t>
            </w:r>
          </w:p>
        </w:tc>
        <w:tc>
          <w:tcPr>
            <w:tcBorders>
              <w:top w:color="8b8b8b"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4">
            <w:pPr>
              <w:spacing w:before="0" w:line="240" w:lineRule="auto"/>
              <w:rPr/>
            </w:pPr>
            <w:r w:rsidDel="00000000" w:rsidR="00000000" w:rsidRPr="00000000">
              <w:rPr>
                <w:rtl w:val="0"/>
              </w:rPr>
              <w:t xml:space="preserve">Abstraction layer over JPA</w:t>
            </w:r>
          </w:p>
        </w:tc>
      </w:tr>
      <w:tr>
        <w:trPr>
          <w:cantSplit w:val="0"/>
          <w:trHeight w:val="205.95703125" w:hRule="atLeast"/>
          <w:tblHeader w:val="0"/>
        </w:trPr>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5">
            <w:pPr>
              <w:spacing w:before="0" w:line="240" w:lineRule="auto"/>
              <w:rPr/>
            </w:pPr>
            <w:r w:rsidDel="00000000" w:rsidR="00000000" w:rsidRPr="00000000">
              <w:rPr>
                <w:rtl w:val="0"/>
              </w:rPr>
              <w:t xml:space="preserve">Purpose</w:t>
            </w:r>
          </w:p>
        </w:tc>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6">
            <w:pPr>
              <w:spacing w:before="0" w:line="240" w:lineRule="auto"/>
              <w:rPr/>
            </w:pPr>
            <w:r w:rsidDel="00000000" w:rsidR="00000000" w:rsidRPr="00000000">
              <w:rPr>
                <w:rtl w:val="0"/>
              </w:rPr>
              <w:t xml:space="preserve">Maps Java objects to database tables</w:t>
            </w:r>
          </w:p>
        </w:tc>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7">
            <w:pPr>
              <w:spacing w:before="0" w:line="240" w:lineRule="auto"/>
              <w:rPr/>
            </w:pPr>
            <w:r w:rsidDel="00000000" w:rsidR="00000000" w:rsidRPr="00000000">
              <w:rPr>
                <w:rtl w:val="0"/>
              </w:rPr>
              <w:t xml:space="preserve">Simplifies data access with repositories</w:t>
            </w:r>
          </w:p>
        </w:tc>
      </w:tr>
      <w:tr>
        <w:trPr>
          <w:cantSplit w:val="0"/>
          <w:trHeight w:val="705" w:hRule="atLeast"/>
          <w:tblHeader w:val="0"/>
        </w:trPr>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8">
            <w:pPr>
              <w:spacing w:before="0" w:line="240" w:lineRule="auto"/>
              <w:rPr/>
            </w:pPr>
            <w:r w:rsidDel="00000000" w:rsidR="00000000" w:rsidRPr="00000000">
              <w:rPr>
                <w:rtl w:val="0"/>
              </w:rPr>
              <w:t xml:space="preserve">Boilerplate Code</w:t>
            </w:r>
          </w:p>
        </w:tc>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9">
            <w:pPr>
              <w:spacing w:before="0" w:line="240" w:lineRule="auto"/>
              <w:rPr/>
            </w:pPr>
            <w:r w:rsidDel="00000000" w:rsidR="00000000" w:rsidRPr="00000000">
              <w:rPr>
                <w:rtl w:val="0"/>
              </w:rPr>
              <w:t xml:space="preserve">Requires more manual coding</w:t>
            </w:r>
          </w:p>
        </w:tc>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A">
            <w:pPr>
              <w:spacing w:before="0" w:line="240" w:lineRule="auto"/>
              <w:rPr/>
            </w:pPr>
            <w:r w:rsidDel="00000000" w:rsidR="00000000" w:rsidRPr="00000000">
              <w:rPr>
                <w:rtl w:val="0"/>
              </w:rPr>
              <w:t xml:space="preserve">Reduces boilerplate code via repositories</w:t>
            </w:r>
          </w:p>
        </w:tc>
      </w:tr>
      <w:tr>
        <w:trPr>
          <w:cantSplit w:val="0"/>
          <w:trHeight w:val="1095" w:hRule="atLeast"/>
          <w:tblHeader w:val="0"/>
        </w:trPr>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B">
            <w:pPr>
              <w:spacing w:before="0" w:line="240" w:lineRule="auto"/>
              <w:rPr/>
            </w:pPr>
            <w:r w:rsidDel="00000000" w:rsidR="00000000" w:rsidRPr="00000000">
              <w:rPr>
                <w:rtl w:val="0"/>
              </w:rPr>
              <w:t xml:space="preserve">Query Generation</w:t>
            </w:r>
          </w:p>
        </w:tc>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C">
            <w:pPr>
              <w:spacing w:before="0" w:line="240" w:lineRule="auto"/>
              <w:rPr/>
            </w:pPr>
            <w:r w:rsidDel="00000000" w:rsidR="00000000" w:rsidRPr="00000000">
              <w:rPr>
                <w:rtl w:val="0"/>
              </w:rPr>
              <w:t xml:space="preserve">Uses HQL (Hibernate Query Language) or Criteria API</w:t>
            </w:r>
          </w:p>
        </w:tc>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D">
            <w:pPr>
              <w:spacing w:before="0" w:line="240" w:lineRule="auto"/>
              <w:rPr/>
            </w:pPr>
            <w:r w:rsidDel="00000000" w:rsidR="00000000" w:rsidRPr="00000000">
              <w:rPr>
                <w:rtl w:val="0"/>
              </w:rPr>
              <w:t xml:space="preserve">Generates queries from method names (e.g., findByEmail())</w:t>
            </w:r>
          </w:p>
        </w:tc>
      </w:tr>
      <w:tr>
        <w:trPr>
          <w:cantSplit w:val="0"/>
          <w:trHeight w:val="705" w:hRule="atLeast"/>
          <w:tblHeader w:val="0"/>
        </w:trPr>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E">
            <w:pPr>
              <w:spacing w:before="0" w:line="240" w:lineRule="auto"/>
              <w:rPr/>
            </w:pPr>
            <w:r w:rsidDel="00000000" w:rsidR="00000000" w:rsidRPr="00000000">
              <w:rPr>
                <w:rtl w:val="0"/>
              </w:rPr>
              <w:t xml:space="preserve">Dependency</w:t>
            </w:r>
          </w:p>
        </w:tc>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1F">
            <w:pPr>
              <w:spacing w:before="0" w:line="240" w:lineRule="auto"/>
              <w:rPr/>
            </w:pPr>
            <w:r w:rsidDel="00000000" w:rsidR="00000000" w:rsidRPr="00000000">
              <w:rPr>
                <w:rtl w:val="0"/>
              </w:rPr>
              <w:t xml:space="preserve">Works as a standalone ORM</w:t>
            </w:r>
          </w:p>
        </w:tc>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20">
            <w:pPr>
              <w:spacing w:before="0" w:line="240" w:lineRule="auto"/>
              <w:rPr/>
            </w:pPr>
            <w:r w:rsidDel="00000000" w:rsidR="00000000" w:rsidRPr="00000000">
              <w:rPr>
                <w:rtl w:val="0"/>
              </w:rPr>
              <w:t xml:space="preserve">Requires a JPA provider (like Hibernate)</w:t>
            </w:r>
          </w:p>
        </w:tc>
      </w:tr>
      <w:tr>
        <w:trPr>
          <w:cantSplit w:val="0"/>
          <w:tblHeader w:val="0"/>
        </w:trPr>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21">
            <w:pPr>
              <w:spacing w:before="0" w:line="240" w:lineRule="auto"/>
              <w:rPr/>
            </w:pPr>
            <w:r w:rsidDel="00000000" w:rsidR="00000000" w:rsidRPr="00000000">
              <w:rPr>
                <w:rtl w:val="0"/>
              </w:rPr>
              <w:t xml:space="preserve">Transaction Management</w:t>
            </w:r>
          </w:p>
        </w:tc>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22">
            <w:pPr>
              <w:spacing w:before="0" w:line="240" w:lineRule="auto"/>
              <w:rPr/>
            </w:pPr>
            <w:r w:rsidDel="00000000" w:rsidR="00000000" w:rsidRPr="00000000">
              <w:rPr>
                <w:rtl w:val="0"/>
              </w:rPr>
              <w:t xml:space="preserve">Manages transactions programmatically</w:t>
            </w:r>
          </w:p>
        </w:tc>
        <w:tc>
          <w:tcPr>
            <w:tcBorders>
              <w:top w:color="525252" w:space="0" w:sz="8" w:val="single"/>
              <w:left w:color="525252" w:space="0" w:sz="8" w:val="single"/>
              <w:bottom w:color="525252" w:space="0" w:sz="8" w:val="single"/>
              <w:right w:color="525252" w:space="0" w:sz="8" w:val="single"/>
            </w:tcBorders>
            <w:tcMar>
              <w:top w:w="103.18110236220474" w:type="dxa"/>
              <w:left w:w="103.18110236220474" w:type="dxa"/>
              <w:bottom w:w="103.18110236220474" w:type="dxa"/>
              <w:right w:w="103.18110236220474" w:type="dxa"/>
            </w:tcMar>
            <w:vAlign w:val="center"/>
          </w:tcPr>
          <w:p w:rsidR="00000000" w:rsidDel="00000000" w:rsidP="00000000" w:rsidRDefault="00000000" w:rsidRPr="00000000" w14:paraId="00000023">
            <w:pPr>
              <w:spacing w:before="0" w:line="240" w:lineRule="auto"/>
              <w:rPr/>
            </w:pPr>
            <w:r w:rsidDel="00000000" w:rsidR="00000000" w:rsidRPr="00000000">
              <w:rPr>
                <w:rtl w:val="0"/>
              </w:rPr>
              <w:t xml:space="preserve">Supports declarative transactions (@Transactional)</w:t>
            </w:r>
          </w:p>
        </w:tc>
      </w:tr>
    </w:tbl>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