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C"/>
          <w:sz w:val="56"/>
        </w:rPr>
        <w:t>NoCFormer</w:t>
      </w:r>
    </w:p>
    <w:p>
      <w:pPr>
        <w:jc w:val="center"/>
      </w:pPr>
      <w:r>
        <w:rPr>
          <w:i/>
          <w:sz w:val="26"/>
        </w:rPr>
        <w:t>A hierarchical set-Transformer for assigning the number of contributors to STR DNA profiles</w:t>
      </w:r>
    </w:p>
    <w:p>
      <w:pPr>
        <w:jc w:val="center"/>
      </w:pPr>
      <w:r>
        <w:rPr>
          <w:i/>
        </w:rPr>
        <w:t>Improvement proposal over Taylor &amp; Humphries (2024) — deepNoC, arXiv:2412.09803</w:t>
        <w:br/>
      </w:r>
      <w:r>
        <w:t>Project: deepNoC repository (this codebase)</w:t>
        <w:br/>
      </w:r>
      <w:r>
        <w:t>Status: design + implementation complete; large-scale training pending GPU run</w:t>
        <w:br/>
      </w:r>
    </w:p>
    <w:p/>
    <w:p>
      <w:pPr>
        <w:pStyle w:val="Heading1"/>
      </w:pPr>
      <w:r>
        <w:rPr>
          <w:color w:val="1F2D5C"/>
        </w:rPr>
        <w:t>1. Executive summary</w:t>
      </w:r>
    </w:p>
    <w:p>
      <w:pPr>
        <w:spacing w:after="120"/>
      </w:pPr>
      <w:r>
        <w:rPr>
          <w:b w:val="0"/>
          <w:i w:val="0"/>
        </w:rPr>
        <w:t>This report proposes NoCFormer, a redesigned deep-learning system for assigning the number of contributors (NoC) to a short-tandem-repeat (STR) DNA profile. The baseline is the deepNoC architecture of Taylor and Humphries (2024), which is faithfully reimplemented in the current repository. NoCFormer keeps the input representation [24 × 50 × 89] and the multi-output explainability philosophy of deepNoC, but replaces the convolutional backbone with a hierarchical set-Transformer, the categorical NoC head with a rank-monotonic ordinal (CORN) head, and the GAN-based simulation pipeline with a synthetic-mixture data augmenter that operates directly on PROVEDIt single-source profiles.</w:t>
      </w:r>
    </w:p>
    <w:p>
      <w:pPr>
        <w:spacing w:after="120"/>
      </w:pPr>
      <w:r>
        <w:rPr>
          <w:b/>
          <w:i w:val="0"/>
        </w:rPr>
        <w:t>Six concrete improvements are introduced:</w:t>
      </w:r>
    </w:p>
    <w:p>
      <w:pPr>
        <w:pStyle w:val="ListBullet"/>
        <w:spacing w:after="40"/>
      </w:pPr>
      <w:r>
        <w:t>(1) Permutation-invariant peak encoder — peaks at a locus are a set, not a sequence.</w:t>
      </w:r>
    </w:p>
    <w:p>
      <w:pPr>
        <w:pStyle w:val="ListBullet"/>
        <w:spacing w:after="40"/>
      </w:pPr>
      <w:r>
        <w:t>(2) Cross-locus self-attention with dye-channel positional embeddings — captures pull-up and dye-balance patterns.</w:t>
      </w:r>
    </w:p>
    <w:p>
      <w:pPr>
        <w:pStyle w:val="ListBullet"/>
        <w:spacing w:after="40"/>
      </w:pPr>
      <w:r>
        <w:t>(3) CORN ordinal head — penalises mistakes in proportion to how far they are from the true NoC.</w:t>
      </w:r>
    </w:p>
    <w:p>
      <w:pPr>
        <w:pStyle w:val="ListBullet"/>
        <w:spacing w:after="40"/>
      </w:pPr>
      <w:r>
        <w:t>(4) Synthetic-mixture augmentation — combines random single-source PROVEDIt profiles into k-person mixtures on the fly, removing the need for the GAN simulator.</w:t>
      </w:r>
    </w:p>
    <w:p>
      <w:pPr>
        <w:pStyle w:val="ListBullet"/>
        <w:spacing w:after="40"/>
      </w:pPr>
      <w:r>
        <w:t>(5) MC-Dropout test-time augmentation — yields calibrated NoC distributions and an entropy-based confidence score.</w:t>
      </w:r>
    </w:p>
    <w:p>
      <w:pPr>
        <w:pStyle w:val="ListBullet"/>
        <w:spacing w:after="40"/>
      </w:pPr>
      <w:r>
        <w:t>(6) Grouped, stratified train/test split — eliminates leakage between PROVEDIt re-injections of the same biological mixture.</w:t>
      </w:r>
    </w:p>
    <w:p>
      <w:pPr>
        <w:pStyle w:val="Heading1"/>
      </w:pPr>
      <w:r>
        <w:rPr>
          <w:color w:val="1F2D5C"/>
        </w:rPr>
        <w:t>2. Background and the original deepNoC</w:t>
      </w:r>
    </w:p>
    <w:p>
      <w:pPr>
        <w:pStyle w:val="Heading2"/>
      </w:pPr>
      <w:r>
        <w:rPr>
          <w:color w:val="1F2D5C"/>
        </w:rPr>
        <w:t>2.1 Task</w:t>
      </w:r>
    </w:p>
    <w:p>
      <w:pPr>
        <w:spacing w:after="120"/>
      </w:pPr>
      <w:r>
        <w:rPr>
          <w:b w:val="0"/>
          <w:i w:val="0"/>
        </w:rPr>
        <w:t>Forensic STR DNA profiles are read from a capillary electropherogram (EPG) as a series of peaks at 24 (GlobalFiler) loci. Before any deconvolution can be performed, an analyst must assign a NoC. Misassignment propagates into likelihood-ratio computation: under-counting can exclude true contributors, over-counting tends to favour non-contributors. Manual NoC assignment is approximately maximum allele count (MAC) plus heuristic adjustments for peak heights and stutters, and degrades sharply beyond three contributors.</w:t>
      </w:r>
    </w:p>
    <w:p>
      <w:pPr>
        <w:pStyle w:val="Heading2"/>
      </w:pPr>
      <w:r>
        <w:rPr>
          <w:color w:val="1F2D5C"/>
        </w:rPr>
        <w:t>2.2 Original deepNoC architecture</w:t>
      </w:r>
    </w:p>
    <w:p>
      <w:pPr>
        <w:spacing w:after="120"/>
      </w:pPr>
      <w:r>
        <w:rPr>
          <w:b w:val="0"/>
          <w:i w:val="0"/>
        </w:rPr>
        <w:t>Input: [24 loci × 50 peaks × 89 features].</w:t>
      </w:r>
    </w:p>
    <w:p>
      <w:pPr>
        <w:spacing w:after="120"/>
      </w:pPr>
      <w:r>
        <w:rPr>
          <w:b w:val="0"/>
          <w:i w:val="0"/>
        </w:rPr>
        <w:t>Backbone: a 16-layer 1D-CNN that processes peaks within each locus, then aggregates via adaptive max pooling to a locus representation, then applies further 1D convolutions across the 24 loci, then max-pools to a profile vector.</w:t>
      </w:r>
    </w:p>
    <w:p>
      <w:pPr>
        <w:spacing w:after="120"/>
      </w:pPr>
      <w:r>
        <w:rPr>
          <w:b w:val="0"/>
          <w:i w:val="0"/>
        </w:rPr>
        <w:t>Multi-task heads (kept for explainability):</w:t>
      </w:r>
    </w:p>
    <w:p>
      <w:pPr>
        <w:pStyle w:val="ListBullet"/>
        <w:spacing w:after="40"/>
      </w:pPr>
      <w:r>
        <w:t>Peak proportion allelic ([24, 50, 1], MSE)</w:t>
      </w:r>
    </w:p>
    <w:p>
      <w:pPr>
        <w:pStyle w:val="ListBullet"/>
        <w:spacing w:after="40"/>
      </w:pPr>
      <w:r>
        <w:t>Peak number of alleles ([24, 50, 21], CE over 0–20)</w:t>
      </w:r>
    </w:p>
    <w:p>
      <w:pPr>
        <w:pStyle w:val="ListBullet"/>
        <w:spacing w:after="40"/>
      </w:pPr>
      <w:r>
        <w:t>Locus mixture proportions ([24, 10], MSE)</w:t>
      </w:r>
    </w:p>
    <w:p>
      <w:pPr>
        <w:pStyle w:val="ListBullet"/>
        <w:spacing w:after="40"/>
      </w:pPr>
      <w:r>
        <w:t>Locus number of alleles ([24, 20], CE over 1–20)</w:t>
      </w:r>
    </w:p>
    <w:p>
      <w:pPr>
        <w:pStyle w:val="ListBullet"/>
        <w:spacing w:after="40"/>
      </w:pPr>
      <w:r>
        <w:t>Profile mixture proportions ([10], MSE)</w:t>
      </w:r>
    </w:p>
    <w:p>
      <w:pPr>
        <w:pStyle w:val="ListBullet"/>
        <w:spacing w:after="40"/>
      </w:pPr>
      <w:r>
        <w:t>Profile NoC ([10], CE)  ← primary output</w:t>
      </w:r>
    </w:p>
    <w:p>
      <w:pPr>
        <w:spacing w:after="120"/>
      </w:pPr>
      <w:r>
        <w:rPr>
          <w:b w:val="0"/>
          <w:i w:val="0"/>
        </w:rPr>
        <w:t>Training data: 100 000 simulated profiles produced by a simDNAmixtures + GAN pipeline; fine-tuned on 371 PROVEDIt profiles. Reported test accuracy: 90 % on PROVEDIt (1–5 contributors) and 72 % on simulated profiles (1–10 contributors).</w:t>
      </w:r>
    </w:p>
    <w:p>
      <w:pPr>
        <w:pStyle w:val="Heading2"/>
      </w:pPr>
      <w:r>
        <w:rPr>
          <w:color w:val="1F2D5C"/>
        </w:rPr>
        <w:t>2.3 What this repository currently has</w:t>
      </w:r>
    </w:p>
    <w:p>
      <w:pPr>
        <w:spacing w:after="120"/>
      </w:pPr>
      <w:r>
        <w:rPr>
          <w:b w:val="0"/>
          <w:i w:val="0"/>
        </w:rPr>
        <w:t>The repository under development reimplements the deepNoC backbone and multi-task heads, but does not have access to the GAN simulator. It is therefore trained directly on PROVEDIt (about 736 GlobalFiler 25-second profiles, of which 70 are single-source and 666 are 2–5 person mixtures, after the configured single-source cap). Two auxiliary features that the paper computes from the MHCNN and STRmix's smart-start algorithm are replaced in the repo by simple heuristics: peak label probability and the [80–89] mixture proportions. This makes the current implementation essentially a structurally faithful but information-poorer reproduction.</w:t>
      </w:r>
    </w:p>
    <w:p>
      <w:pPr>
        <w:pStyle w:val="Heading1"/>
      </w:pPr>
      <w:r>
        <w:rPr>
          <w:color w:val="1F2D5C"/>
        </w:rPr>
        <w:t>3. Weaknesses of the baseline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Issue</w:t>
            </w:r>
          </w:p>
        </w:tc>
        <w:tc>
          <w:tcPr>
            <w:tcW w:type="dxa" w:w="4320"/>
          </w:tcPr>
          <w:p>
            <w:r>
              <w:rPr>
                <w:b/>
              </w:rPr>
              <w:t>Impact</w:t>
            </w:r>
          </w:p>
        </w:tc>
      </w:tr>
      <w:tr>
        <w:tc>
          <w:tcPr>
            <w:tcW w:type="dxa" w:w="4320"/>
          </w:tcPr>
          <w:p>
            <w:r>
              <w:t>1D-CNN over the peak axis is sensitive to peak ordering</w:t>
            </w:r>
          </w:p>
        </w:tc>
        <w:tc>
          <w:tcPr>
            <w:tcW w:type="dxa" w:w="4320"/>
          </w:tcPr>
          <w:p>
            <w:r>
              <w:t>Peaks within a locus form a set — there is no natural sequence. Sorting by Size (as done in the loader) bakes a spurious invariance into the data the model has to learn around.</w:t>
            </w:r>
          </w:p>
        </w:tc>
      </w:tr>
      <w:tr>
        <w:tc>
          <w:tcPr>
            <w:tcW w:type="dxa" w:w="4320"/>
          </w:tcPr>
          <w:p>
            <w:r>
              <w:t>Categorical softmax over 1..K loses ordinality</w:t>
            </w:r>
          </w:p>
        </w:tc>
        <w:tc>
          <w:tcPr>
            <w:tcW w:type="dxa" w:w="4320"/>
          </w:tcPr>
          <w:p>
            <w:r>
              <w:t>A NoC=4 → NoC=9 mistake is treated identically to NoC=4 → NoC=3, so the model has no incentive to be ‘nearly right’.</w:t>
            </w:r>
          </w:p>
        </w:tc>
      </w:tr>
      <w:tr>
        <w:tc>
          <w:tcPr>
            <w:tcW w:type="dxa" w:w="4320"/>
          </w:tcPr>
          <w:p>
            <w:r>
              <w:t>Adaptive max-pool collapses peak/locus representations early</w:t>
            </w:r>
          </w:p>
        </w:tc>
        <w:tc>
          <w:tcPr>
            <w:tcW w:type="dxa" w:w="4320"/>
          </w:tcPr>
          <w:p>
            <w:r>
              <w:t>Fine-grained interactions between peaks and especially across loci within a dye channel are lost.</w:t>
            </w:r>
          </w:p>
        </w:tc>
      </w:tr>
      <w:tr>
        <w:tc>
          <w:tcPr>
            <w:tcW w:type="dxa" w:w="4320"/>
          </w:tcPr>
          <w:p>
            <w:r>
              <w:t>No real cross-locus interaction model</w:t>
            </w:r>
          </w:p>
        </w:tc>
        <w:tc>
          <w:tcPr>
            <w:tcW w:type="dxa" w:w="4320"/>
          </w:tcPr>
          <w:p>
            <w:r>
              <w:t>Pull-up artefacts span dyes; dye balance is informative for NoC. Stacked 1D conv with kernel 3 only sees neighbouring loci in the index ordering, which is biologically arbitrary.</w:t>
            </w:r>
          </w:p>
        </w:tc>
      </w:tr>
      <w:tr>
        <w:tc>
          <w:tcPr>
            <w:tcW w:type="dxa" w:w="4320"/>
          </w:tcPr>
          <w:p>
            <w:r>
              <w:t>Heavy class imbalance (≈80 % single-source in PROVEDIt)</w:t>
            </w:r>
          </w:p>
        </w:tc>
        <w:tc>
          <w:tcPr>
            <w:tcW w:type="dxa" w:w="4320"/>
          </w:tcPr>
          <w:p>
            <w:r>
              <w:t>Without rebalancing the model trivially predicts NoC=1.</w:t>
            </w:r>
          </w:p>
        </w:tc>
      </w:tr>
      <w:tr>
        <w:tc>
          <w:tcPr>
            <w:tcW w:type="dxa" w:w="4320"/>
          </w:tcPr>
          <w:p>
            <w:r>
              <w:t>Alternating train/test split</w:t>
            </w:r>
          </w:p>
        </w:tc>
        <w:tc>
          <w:tcPr>
            <w:tcW w:type="dxa" w:w="4320"/>
          </w:tcPr>
          <w:p>
            <w:r>
              <w:t>PROVEDIt re-injects the same physical mixture multiple times. Index-based alternating split puts near-duplicates on opposite sides and inflates test accuracy.</w:t>
            </w:r>
          </w:p>
        </w:tc>
      </w:tr>
      <w:tr>
        <w:tc>
          <w:tcPr>
            <w:tcW w:type="dxa" w:w="4320"/>
          </w:tcPr>
          <w:p>
            <w:r>
              <w:t>Single deterministic forward pass</w:t>
            </w:r>
          </w:p>
        </w:tc>
        <w:tc>
          <w:tcPr>
            <w:tcW w:type="dxa" w:w="4320"/>
          </w:tcPr>
          <w:p>
            <w:r>
              <w:t>No uncertainty estimate — yet the paper itself argues (Figure 7) that probability thresholding is the correct way to use the model in casework.</w:t>
            </w:r>
          </w:p>
        </w:tc>
      </w:tr>
      <w:tr>
        <w:tc>
          <w:tcPr>
            <w:tcW w:type="dxa" w:w="4320"/>
          </w:tcPr>
          <w:p>
            <w:r>
              <w:t>Pipeline depends on a 100 000-profile GAN simulator</w:t>
            </w:r>
          </w:p>
        </w:tc>
        <w:tc>
          <w:tcPr>
            <w:tcW w:type="dxa" w:w="4320"/>
          </w:tcPr>
          <w:p>
            <w:r>
              <w:t>Without it, training material is one to two orders of magnitude too small for a deep model to generalise.</w:t>
            </w:r>
          </w:p>
        </w:tc>
      </w:tr>
    </w:tbl>
    <w:p>
      <w:pPr>
        <w:pStyle w:val="Heading1"/>
      </w:pPr>
      <w:r>
        <w:rPr>
          <w:color w:val="1F2D5C"/>
        </w:rPr>
        <w:t>4. NoCFormer design</w:t>
      </w:r>
    </w:p>
    <w:p>
      <w:pPr>
        <w:pStyle w:val="Heading2"/>
      </w:pPr>
      <w:r>
        <w:rPr>
          <w:color w:val="1F2D5C"/>
        </w:rPr>
        <w:t>4.1 High-level architecture</w:t>
      </w:r>
    </w:p>
    <w:p>
      <w:pPr>
        <w:spacing w:after="120"/>
      </w:pPr>
      <w:r>
        <w:rPr>
          <w:b w:val="0"/>
          <w:i w:val="0"/>
        </w:rPr>
        <w:t>Input: [B, 24, 50, 89] (unchanged).</w:t>
      </w:r>
    </w:p>
    <w:p>
      <w:pPr>
        <w:spacing w:after="120"/>
        <w:ind w:left="340"/>
      </w:pPr>
      <w:r>
        <w:rPr>
          <w:rFonts w:ascii="Consolas" w:hAnsi="Consolas"/>
          <w:sz w:val="18"/>
          <w:rFonts w:ascii="Consolas" w:hAnsi="Consolas"/>
        </w:rPr>
        <w:t>[B, 24, 50, 89]</w:t>
        <w:br/>
        <w:t xml:space="preserve">   ├─ PeakEmbedder MLP          → [B, 24, 50, d]</w:t>
        <w:br/>
        <w:t xml:space="preserve">   ├─ PeakSetEncoder            (per-locus)</w:t>
        <w:br/>
        <w:t xml:space="preserve">   │     CLS token + 50 peaks</w:t>
        <w:br/>
        <w:t xml:space="preserve">   │     2× Pre-LN Transformer  (key-padding mask from height&gt;0)</w:t>
        <w:br/>
        <w:t xml:space="preserve">   │     → locus token [B, 24, d], peak tokens [B, 24, 50, d]</w:t>
        <w:br/>
        <w:t xml:space="preserve">   ├─ Peak head                 → prop_allelic, n_alleles</w:t>
        <w:br/>
        <w:t xml:space="preserve">   ├─ LocusTransformer          (across 24 loci)</w:t>
        <w:br/>
        <w:t xml:space="preserve">   │     + learned locus pos</w:t>
        <w:br/>
        <w:t xml:space="preserve">   │     + dye-channel embedding</w:t>
        <w:br/>
        <w:t xml:space="preserve">   │     + profile CLS token</w:t>
        <w:br/>
        <w:t xml:space="preserve">   │     4× Pre-LN Transformer  (key-padding mask from active-locus)</w:t>
        <w:br/>
        <w:t xml:space="preserve">   │     → profile token [B, d], refined locus tokens [B, 24, d]</w:t>
        <w:br/>
        <w:t xml:space="preserve">   ├─ Locus head                → n_alleles, mix_props</w:t>
        <w:br/>
        <w:t xml:space="preserve">   └─ Profile head</w:t>
        <w:br/>
        <w:t xml:space="preserve">         CORN NoC logits   [B, K-1]</w:t>
        <w:br/>
        <w:t xml:space="preserve">         mix_props softmax [B, MAX_NOC]</w:t>
      </w:r>
    </w:p>
    <w:p>
      <w:pPr>
        <w:pStyle w:val="Heading2"/>
      </w:pPr>
      <w:r>
        <w:rPr>
          <w:color w:val="1F2D5C"/>
        </w:rPr>
        <w:t>4.2 Why a Transformer?</w:t>
      </w:r>
    </w:p>
    <w:p>
      <w:pPr>
        <w:spacing w:after="120"/>
      </w:pPr>
      <w:r>
        <w:rPr>
          <w:b w:val="0"/>
          <w:i w:val="0"/>
        </w:rPr>
        <w:t>Self-attention is permutation-equivariant: the output is a function of which peaks are present, not the order in which they appear in the tensor. A learnable [CLS] token attends to all real peaks via the key-padding mask derived from the height feature; padding peaks contribute zero signal by construction. The same mechanism, applied across the 24 locus tokens, captures cross-locus correlations that a 1D conv with kernel 3 cannot — for example, the dye-balance and pull-up interactions that span an entire dye channel.</w:t>
      </w:r>
    </w:p>
    <w:p>
      <w:pPr>
        <w:pStyle w:val="Heading2"/>
      </w:pPr>
      <w:r>
        <w:rPr>
          <w:color w:val="1F2D5C"/>
        </w:rPr>
        <w:t>4.3 CORN ordinal head</w:t>
      </w:r>
    </w:p>
    <w:p>
      <w:pPr>
        <w:spacing w:after="120"/>
      </w:pPr>
      <w:r>
        <w:rPr>
          <w:b w:val="0"/>
          <w:i w:val="0"/>
        </w:rPr>
        <w:t>NoC is an ordered label (1 &lt; 2 &lt; … &lt; K). The CORN ordinal head (Cao, Mirjalili, Raschka 2020) emits K−1 logits whose sigmoids are interpreted as P(y &gt; k). A cumulative-product trick guarantees rank monotonicity (no ‘P(y&gt;5) &gt; P(y&gt;4)’ pathologies) and the conditional training objective (task k uses only samples with target &gt; k−1) makes the loss well-defined. Decoding is just ‘number of cumulative probabilities above 0.5, plus one’. The result: a NoC=4 → NoC=3 mistake costs less than NoC=4 → NoC=9, exactly as it should in this task.</w:t>
      </w:r>
    </w:p>
    <w:p>
      <w:pPr>
        <w:pStyle w:val="Heading2"/>
      </w:pPr>
      <w:r>
        <w:rPr>
          <w:color w:val="1F2D5C"/>
        </w:rPr>
        <w:t>4.4 Auxiliary heads (explainability retained)</w:t>
      </w:r>
    </w:p>
    <w:p>
      <w:pPr>
        <w:spacing w:after="120"/>
      </w:pPr>
      <w:r>
        <w:rPr>
          <w:b w:val="0"/>
          <w:i w:val="0"/>
        </w:rPr>
        <w:t>Peak prop_allelic, peak n_alleles, locus n_alleles, locus mix_props, and profile mix_props are all retained, with small loss weights (0.05–0.10). They serve two purposes:</w:t>
      </w:r>
    </w:p>
    <w:p>
      <w:pPr>
        <w:pStyle w:val="ListBullet"/>
        <w:spacing w:after="40"/>
      </w:pPr>
      <w:r>
        <w:t>Explainability: an analyst can still see why a particular NoC was chosen (which loci look multi-allelic, which peaks the model thinks are non-allelic).</w:t>
      </w:r>
    </w:p>
    <w:p>
      <w:pPr>
        <w:pStyle w:val="ListBullet"/>
        <w:spacing w:after="40"/>
      </w:pPr>
      <w:r>
        <w:t>Auxiliary supervision: when the targets are available, they regularise the backbone in the same way the original paper exploits.</w:t>
      </w:r>
    </w:p>
    <w:p>
      <w:pPr>
        <w:pStyle w:val="Heading1"/>
      </w:pPr>
      <w:r>
        <w:rPr>
          <w:color w:val="1F2D5C"/>
        </w:rPr>
        <w:t>5. Pipeline improvements</w:t>
      </w:r>
    </w:p>
    <w:p>
      <w:pPr>
        <w:pStyle w:val="Heading2"/>
      </w:pPr>
      <w:r>
        <w:rPr>
          <w:color w:val="1F2D5C"/>
        </w:rPr>
        <w:t>5.1 Synthetic-mixture augmentation</w:t>
      </w:r>
    </w:p>
    <w:p>
      <w:pPr>
        <w:spacing w:after="120"/>
      </w:pPr>
      <w:r>
        <w:rPr>
          <w:b w:val="0"/>
          <w:i w:val="0"/>
        </w:rPr>
        <w:t>An EPG from k contributors is, to first order, the superposition of k independent single-source EPGs with stochastic peak-height scaling. The synthetic_mix() function exploits this: it samples a Dirichlet-distributed mixture-proportion vector w ∈ Δ^{k-1}, takes k single-source [24, 50, 89] tensors from the training pool, sums their per-allele heights weighted by w, rebuilds the locus and profile peak counts, and returns a new tensor labelled k. Because C(2700, 5) ≫ 10⁹ this is effectively unlimited data, without requiring the GAN simulator that the original paper depends on.</w:t>
      </w:r>
    </w:p>
    <w:p>
      <w:pPr>
        <w:pStyle w:val="Heading2"/>
      </w:pPr>
      <w:r>
        <w:rPr>
          <w:color w:val="1F2D5C"/>
        </w:rPr>
        <w:t>5.2 Other augmentations</w:t>
      </w:r>
    </w:p>
    <w:p>
      <w:pPr>
        <w:pStyle w:val="ListBullet"/>
        <w:spacing w:after="40"/>
      </w:pPr>
      <w:r>
        <w:t>Log-normal multiplicative jitter on peak heights (σ≈0.12) models analytical variability between injections.</w:t>
      </w:r>
    </w:p>
    <w:p>
      <w:pPr>
        <w:pStyle w:val="ListBullet"/>
        <w:spacing w:after="40"/>
      </w:pPr>
      <w:r>
        <w:t>Random peak dropout (p≈0.03) models drop-out / threshold sensitivity.</w:t>
      </w:r>
    </w:p>
    <w:p>
      <w:pPr>
        <w:pStyle w:val="ListBullet"/>
        <w:spacing w:after="40"/>
      </w:pPr>
      <w:r>
        <w:t>Peak-axis permutation — only safe because the encoder is permutation-invariant. Trains the model not to depend on the data pipeline’s arbitrary Size-sorted ordering.</w:t>
      </w:r>
    </w:p>
    <w:p>
      <w:pPr>
        <w:pStyle w:val="Heading2"/>
      </w:pPr>
      <w:r>
        <w:rPr>
          <w:color w:val="1F2D5C"/>
        </w:rPr>
        <w:t>5.3 Class-balanced focal loss</w:t>
      </w:r>
    </w:p>
    <w:p>
      <w:pPr>
        <w:spacing w:after="120"/>
      </w:pPr>
      <w:r>
        <w:rPr>
          <w:b w:val="0"/>
          <w:i w:val="0"/>
        </w:rPr>
        <w:t>The CORN binary tasks are weighted by the Cui et al. (2019) class-balanced effective-number formula and by a focal modulator γ=1, applied multiplicatively to the per-sample BCE before averaging. Combined with a WeightedRandomSampler this neutralises the PROVEDIt 1-person dominance without discarding any data.</w:t>
      </w:r>
    </w:p>
    <w:p>
      <w:pPr>
        <w:pStyle w:val="Heading2"/>
      </w:pPr>
      <w:r>
        <w:rPr>
          <w:color w:val="1F2D5C"/>
        </w:rPr>
        <w:t>5.4 MC-Dropout TTA at inference</w:t>
      </w:r>
    </w:p>
    <w:p>
      <w:pPr>
        <w:spacing w:after="120"/>
      </w:pPr>
      <w:r>
        <w:rPr>
          <w:b w:val="0"/>
          <w:i w:val="0"/>
        </w:rPr>
        <w:t>predict_with_tta() runs n_samples (default 20) forward passes with dropout enabled and (optionally) jittered + permuted inputs, averages the per-class probabilities, and returns predictive entropy. This produces calibrated uncertainty so the paper’s own Figure-7 use case (probability-threshold-driven assignment vs abstain) is supported out of the box rather than relying on raw softmax confidence.</w:t>
      </w:r>
    </w:p>
    <w:p>
      <w:pPr>
        <w:pStyle w:val="Heading2"/>
      </w:pPr>
      <w:r>
        <w:rPr>
          <w:color w:val="1F2D5C"/>
        </w:rPr>
        <w:t>5.5 Grouped, stratified train/test split</w:t>
      </w:r>
    </w:p>
    <w:p>
      <w:pPr>
        <w:spacing w:after="120"/>
      </w:pPr>
      <w:r>
        <w:rPr>
          <w:b w:val="0"/>
          <w:i w:val="0"/>
        </w:rPr>
        <w:t>PROVEDIt names embed the contributor pedigree, e.g. ‘…-31_32-1;1-…’ identifies the same biological 2-person mixture across all of its re-injections. The new src/split.py extracts this key with a regex and uses GroupShuffleSplit so all replicates of a mixture sit on the same side of the split. With NoC stratification added on top, every class is represented in both train and test.</w:t>
      </w:r>
    </w:p>
    <w:p>
      <w:pPr>
        <w:pStyle w:val="Heading1"/>
      </w:pPr>
      <w:r>
        <w:rPr>
          <w:color w:val="1F2D5C"/>
        </w:rPr>
        <w:t>6. Code added in this iteration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models/nocformer/architecture.py</w:t>
            </w:r>
          </w:p>
        </w:tc>
        <w:tc>
          <w:tcPr>
            <w:tcW w:type="dxa" w:w="4320"/>
          </w:tcPr>
          <w:p>
            <w:r>
              <w:t>PeakEmbedder, PeakSetEncoder, LocusTransformer, PeakHead, LocusHead, ProfileHead, NoCFormer, corn_logits_to_class_probs.</w:t>
            </w:r>
          </w:p>
        </w:tc>
      </w:tr>
      <w:tr>
        <w:tc>
          <w:tcPr>
            <w:tcW w:type="dxa" w:w="4320"/>
          </w:tcPr>
          <w:p>
            <w:r>
              <w:t>models/nocformer/losses.py</w:t>
            </w:r>
          </w:p>
        </w:tc>
        <w:tc>
          <w:tcPr>
            <w:tcW w:type="dxa" w:w="4320"/>
          </w:tcPr>
          <w:p>
            <w:r>
              <w:t>corn_loss (CORN ordinal), class_balanced_weights, NoCFormerLoss (multi-task wrapper).</w:t>
            </w:r>
          </w:p>
        </w:tc>
      </w:tr>
      <w:tr>
        <w:tc>
          <w:tcPr>
            <w:tcW w:type="dxa" w:w="4320"/>
          </w:tcPr>
          <w:p>
            <w:r>
              <w:t>models/nocformer/augment.py</w:t>
            </w:r>
          </w:p>
        </w:tc>
        <w:tc>
          <w:tcPr>
            <w:tcW w:type="dxa" w:w="4320"/>
          </w:tcPr>
          <w:p>
            <w:r>
              <w:t>synthetic_mix, peak_height_jitter, random_peak_dropout, shuffle_peak_axis, TrainingAugmenter.</w:t>
            </w:r>
          </w:p>
        </w:tc>
      </w:tr>
      <w:tr>
        <w:tc>
          <w:tcPr>
            <w:tcW w:type="dxa" w:w="4320"/>
          </w:tcPr>
          <w:p>
            <w:r>
              <w:t>models/nocformer/train.py</w:t>
            </w:r>
          </w:p>
        </w:tc>
        <w:tc>
          <w:tcPr>
            <w:tcW w:type="dxa" w:w="4320"/>
          </w:tcPr>
          <w:p>
            <w:r>
              <w:t>train_nocformer (cosine LR + warmup + AdamW + balanced sampler), predict_with_tta, load_nocformer.</w:t>
            </w:r>
          </w:p>
        </w:tc>
      </w:tr>
      <w:tr>
        <w:tc>
          <w:tcPr>
            <w:tcW w:type="dxa" w:w="4320"/>
          </w:tcPr>
          <w:p>
            <w:r>
              <w:t>src/split.py</w:t>
            </w:r>
          </w:p>
        </w:tc>
        <w:tc>
          <w:tcPr>
            <w:tcW w:type="dxa" w:w="4320"/>
          </w:tcPr>
          <w:p>
            <w:r>
              <w:t>stratified_split, grouped_stratified_split (pedigree-aware).</w:t>
            </w:r>
          </w:p>
        </w:tc>
      </w:tr>
      <w:tr>
        <w:tc>
          <w:tcPr>
            <w:tcW w:type="dxa" w:w="4320"/>
          </w:tcPr>
          <w:p>
            <w:r>
              <w:t>main.py</w:t>
            </w:r>
          </w:p>
        </w:tc>
        <w:tc>
          <w:tcPr>
            <w:tcW w:type="dxa" w:w="4320"/>
          </w:tcPr>
          <w:p>
            <w:r>
              <w:t>Adds --model nocformer; --split {alternating,stratified,grouped}; model-config knobs.</w:t>
            </w:r>
          </w:p>
        </w:tc>
      </w:tr>
      <w:tr>
        <w:tc>
          <w:tcPr>
            <w:tcW w:type="dxa" w:w="4320"/>
          </w:tcPr>
          <w:p>
            <w:r>
              <w:t>report/build_report.py</w:t>
            </w:r>
          </w:p>
        </w:tc>
        <w:tc>
          <w:tcPr>
            <w:tcW w:type="dxa" w:w="4320"/>
          </w:tcPr>
          <w:p>
            <w:r>
              <w:t>This report builder.</w:t>
            </w:r>
          </w:p>
        </w:tc>
      </w:tr>
    </w:tbl>
    <w:p>
      <w:pPr>
        <w:pStyle w:val="Heading1"/>
      </w:pPr>
      <w:r>
        <w:rPr>
          <w:color w:val="1F2D5C"/>
        </w:rPr>
        <w:t>7. Default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Hyperparameter</w:t>
            </w:r>
          </w:p>
        </w:tc>
        <w:tc>
          <w:tcPr>
            <w:tcW w:type="dxa" w:w="2880"/>
          </w:tcPr>
          <w:p>
            <w:r>
              <w:rPr>
                <w:b/>
              </w:rPr>
              <w:t>Value</w:t>
            </w:r>
          </w:p>
        </w:tc>
        <w:tc>
          <w:tcPr>
            <w:tcW w:type="dxa" w:w="2880"/>
          </w:tcPr>
          <w:p>
            <w:r>
              <w:rPr>
                <w:b/>
              </w:rPr>
              <w:t>Rationale</w:t>
            </w:r>
          </w:p>
        </w:tc>
      </w:tr>
      <w:tr>
        <w:tc>
          <w:tcPr>
            <w:tcW w:type="dxa" w:w="2880"/>
          </w:tcPr>
          <w:p>
            <w:r>
              <w:t>d_model</w:t>
            </w:r>
          </w:p>
        </w:tc>
        <w:tc>
          <w:tcPr>
            <w:tcW w:type="dxa" w:w="2880"/>
          </w:tcPr>
          <w:p>
            <w:r>
              <w:t>128</w:t>
            </w:r>
          </w:p>
        </w:tc>
        <w:tc>
          <w:tcPr>
            <w:tcW w:type="dxa" w:w="2880"/>
          </w:tcPr>
          <w:p>
            <w:r>
              <w:t>Adequate for a 1.3 M-param model on 736 PROVEDIt profiles + augmentation.</w:t>
            </w:r>
          </w:p>
        </w:tc>
      </w:tr>
      <w:tr>
        <w:tc>
          <w:tcPr>
            <w:tcW w:type="dxa" w:w="2880"/>
          </w:tcPr>
          <w:p>
            <w:r>
              <w:t>n_heads</w:t>
            </w:r>
          </w:p>
        </w:tc>
        <w:tc>
          <w:tcPr>
            <w:tcW w:type="dxa" w:w="2880"/>
          </w:tcPr>
          <w:p>
            <w:r>
              <w:t>4</w:t>
            </w:r>
          </w:p>
        </w:tc>
        <w:tc>
          <w:tcPr>
            <w:tcW w:type="dxa" w:w="2880"/>
          </w:tcPr>
          <w:p>
            <w:r>
              <w:t>Standard ratio (d_model / 32) for small Transformers.</w:t>
            </w:r>
          </w:p>
        </w:tc>
      </w:tr>
      <w:tr>
        <w:tc>
          <w:tcPr>
            <w:tcW w:type="dxa" w:w="2880"/>
          </w:tcPr>
          <w:p>
            <w:r>
              <w:t>peak_layers</w:t>
            </w:r>
          </w:p>
        </w:tc>
        <w:tc>
          <w:tcPr>
            <w:tcW w:type="dxa" w:w="2880"/>
          </w:tcPr>
          <w:p>
            <w:r>
              <w:t>2</w:t>
            </w:r>
          </w:p>
        </w:tc>
        <w:tc>
          <w:tcPr>
            <w:tcW w:type="dxa" w:w="2880"/>
          </w:tcPr>
          <w:p>
            <w:r>
              <w:t>Two attention rounds within a locus is enough — only 50 tokens to mix.</w:t>
            </w:r>
          </w:p>
        </w:tc>
      </w:tr>
      <w:tr>
        <w:tc>
          <w:tcPr>
            <w:tcW w:type="dxa" w:w="2880"/>
          </w:tcPr>
          <w:p>
            <w:r>
              <w:t>locus_layers</w:t>
            </w:r>
          </w:p>
        </w:tc>
        <w:tc>
          <w:tcPr>
            <w:tcW w:type="dxa" w:w="2880"/>
          </w:tcPr>
          <w:p>
            <w:r>
              <w:t>4</w:t>
            </w:r>
          </w:p>
        </w:tc>
        <w:tc>
          <w:tcPr>
            <w:tcW w:type="dxa" w:w="2880"/>
          </w:tcPr>
          <w:p>
            <w:r>
              <w:t>Cross-locus interactions are the bigger win; deeper here.</w:t>
            </w:r>
          </w:p>
        </w:tc>
      </w:tr>
      <w:tr>
        <w:tc>
          <w:tcPr>
            <w:tcW w:type="dxa" w:w="2880"/>
          </w:tcPr>
          <w:p>
            <w:r>
              <w:t>dropout</w:t>
            </w:r>
          </w:p>
        </w:tc>
        <w:tc>
          <w:tcPr>
            <w:tcW w:type="dxa" w:w="2880"/>
          </w:tcPr>
          <w:p>
            <w:r>
              <w:t>0.15</w:t>
            </w:r>
          </w:p>
        </w:tc>
        <w:tc>
          <w:tcPr>
            <w:tcW w:type="dxa" w:w="2880"/>
          </w:tcPr>
          <w:p>
            <w:r>
              <w:t>Used by both regularisation and MC-Dropout uncertainty.</w:t>
            </w:r>
          </w:p>
        </w:tc>
      </w:tr>
      <w:tr>
        <w:tc>
          <w:tcPr>
            <w:tcW w:type="dxa" w:w="2880"/>
          </w:tcPr>
          <w:p>
            <w:r>
              <w:t>epochs</w:t>
            </w:r>
          </w:p>
        </w:tc>
        <w:tc>
          <w:tcPr>
            <w:tcW w:type="dxa" w:w="2880"/>
          </w:tcPr>
          <w:p>
            <w:r>
              <w:t>200</w:t>
            </w:r>
          </w:p>
        </w:tc>
        <w:tc>
          <w:tcPr>
            <w:tcW w:type="dxa" w:w="2880"/>
          </w:tcPr>
          <w:p>
            <w:r>
              <w:t>Matches paper’s simulated-data run; cosine schedule with warmup.</w:t>
            </w:r>
          </w:p>
        </w:tc>
      </w:tr>
      <w:tr>
        <w:tc>
          <w:tcPr>
            <w:tcW w:type="dxa" w:w="2880"/>
          </w:tcPr>
          <w:p>
            <w:r>
              <w:t>batch_size</w:t>
            </w:r>
          </w:p>
        </w:tc>
        <w:tc>
          <w:tcPr>
            <w:tcW w:type="dxa" w:w="2880"/>
          </w:tcPr>
          <w:p>
            <w:r>
              <w:t>32</w:t>
            </w:r>
          </w:p>
        </w:tc>
        <w:tc>
          <w:tcPr>
            <w:tcW w:type="dxa" w:w="2880"/>
          </w:tcPr>
          <w:p>
            <w:r>
              <w:t>Comfortable on a single 16 GB GPU at d_model=128.</w:t>
            </w:r>
          </w:p>
        </w:tc>
      </w:tr>
      <w:tr>
        <w:tc>
          <w:tcPr>
            <w:tcW w:type="dxa" w:w="2880"/>
          </w:tcPr>
          <w:p>
            <w:r>
              <w:t>lr</w:t>
            </w:r>
          </w:p>
        </w:tc>
        <w:tc>
          <w:tcPr>
            <w:tcW w:type="dxa" w:w="2880"/>
          </w:tcPr>
          <w:p>
            <w:r>
              <w:t>3e-4</w:t>
            </w:r>
          </w:p>
        </w:tc>
        <w:tc>
          <w:tcPr>
            <w:tcW w:type="dxa" w:w="2880"/>
          </w:tcPr>
          <w:p>
            <w:r>
              <w:t>AdamW + cosine + 5-epoch linear warmup.</w:t>
            </w:r>
          </w:p>
        </w:tc>
      </w:tr>
      <w:tr>
        <w:tc>
          <w:tcPr>
            <w:tcW w:type="dxa" w:w="2880"/>
          </w:tcPr>
          <w:p>
            <w:r>
              <w:t>weight_decay</w:t>
            </w:r>
          </w:p>
        </w:tc>
        <w:tc>
          <w:tcPr>
            <w:tcW w:type="dxa" w:w="2880"/>
          </w:tcPr>
          <w:p>
            <w:r>
              <w:t>1e-4</w:t>
            </w:r>
          </w:p>
        </w:tc>
        <w:tc>
          <w:tcPr>
            <w:tcW w:type="dxa" w:w="2880"/>
          </w:tcPr>
          <w:p>
            <w:r>
              <w:t>Standard for AdamW + Transformers.</w:t>
            </w:r>
          </w:p>
        </w:tc>
      </w:tr>
      <w:tr>
        <w:tc>
          <w:tcPr>
            <w:tcW w:type="dxa" w:w="2880"/>
          </w:tcPr>
          <w:p>
            <w:r>
              <w:t>focal_gamma</w:t>
            </w:r>
          </w:p>
        </w:tc>
        <w:tc>
          <w:tcPr>
            <w:tcW w:type="dxa" w:w="2880"/>
          </w:tcPr>
          <w:p>
            <w:r>
              <w:t>1.0</w:t>
            </w:r>
          </w:p>
        </w:tc>
        <w:tc>
          <w:tcPr>
            <w:tcW w:type="dxa" w:w="2880"/>
          </w:tcPr>
          <w:p>
            <w:r>
              <w:t>Mild focal weighting on top of class-balanced re-weighting.</w:t>
            </w:r>
          </w:p>
        </w:tc>
      </w:tr>
      <w:tr>
        <w:tc>
          <w:tcPr>
            <w:tcW w:type="dxa" w:w="2880"/>
          </w:tcPr>
          <w:p>
            <w:r>
              <w:t>cb_beta</w:t>
            </w:r>
          </w:p>
        </w:tc>
        <w:tc>
          <w:tcPr>
            <w:tcW w:type="dxa" w:w="2880"/>
          </w:tcPr>
          <w:p>
            <w:r>
              <w:t>0.999</w:t>
            </w:r>
          </w:p>
        </w:tc>
        <w:tc>
          <w:tcPr>
            <w:tcW w:type="dxa" w:w="2880"/>
          </w:tcPr>
          <w:p>
            <w:r>
              <w:t>Cui et al. class-balanced effective-number parameter.</w:t>
            </w:r>
          </w:p>
        </w:tc>
      </w:tr>
      <w:tr>
        <w:tc>
          <w:tcPr>
            <w:tcW w:type="dxa" w:w="2880"/>
          </w:tcPr>
          <w:p>
            <w:r>
              <w:t>aug.p_mix</w:t>
            </w:r>
          </w:p>
        </w:tc>
        <w:tc>
          <w:tcPr>
            <w:tcW w:type="dxa" w:w="2880"/>
          </w:tcPr>
          <w:p>
            <w:r>
              <w:t>0.5</w:t>
            </w:r>
          </w:p>
        </w:tc>
        <w:tc>
          <w:tcPr>
            <w:tcW w:type="dxa" w:w="2880"/>
          </w:tcPr>
          <w:p>
            <w:r>
              <w:t>Half of each batch is synthesised; the other half stays real.</w:t>
            </w:r>
          </w:p>
        </w:tc>
      </w:tr>
      <w:tr>
        <w:tc>
          <w:tcPr>
            <w:tcW w:type="dxa" w:w="2880"/>
          </w:tcPr>
          <w:p>
            <w:r>
              <w:t>aug.max_synth_noc</w:t>
            </w:r>
          </w:p>
        </w:tc>
        <w:tc>
          <w:tcPr>
            <w:tcW w:type="dxa" w:w="2880"/>
          </w:tcPr>
          <w:p>
            <w:r>
              <w:t>5</w:t>
            </w:r>
          </w:p>
        </w:tc>
        <w:tc>
          <w:tcPr>
            <w:tcW w:type="dxa" w:w="2880"/>
          </w:tcPr>
          <w:p>
            <w:r>
              <w:t>PROVEDIt only labels up to 5; do not synthesise beyond.</w:t>
            </w:r>
          </w:p>
        </w:tc>
      </w:tr>
      <w:tr>
        <w:tc>
          <w:tcPr>
            <w:tcW w:type="dxa" w:w="2880"/>
          </w:tcPr>
          <w:p>
            <w:r>
              <w:t>aug.jitter_sigma</w:t>
            </w:r>
          </w:p>
        </w:tc>
        <w:tc>
          <w:tcPr>
            <w:tcW w:type="dxa" w:w="2880"/>
          </w:tcPr>
          <w:p>
            <w:r>
              <w:t>0.12</w:t>
            </w:r>
          </w:p>
        </w:tc>
        <w:tc>
          <w:tcPr>
            <w:tcW w:type="dxa" w:w="2880"/>
          </w:tcPr>
          <w:p>
            <w:r>
              <w:t>Log-normal σ≈0.12 matches typical re-injection variability.</w:t>
            </w:r>
          </w:p>
        </w:tc>
      </w:tr>
      <w:tr>
        <w:tc>
          <w:tcPr>
            <w:tcW w:type="dxa" w:w="2880"/>
          </w:tcPr>
          <w:p>
            <w:r>
              <w:t>aug.dropout_rate</w:t>
            </w:r>
          </w:p>
        </w:tc>
        <w:tc>
          <w:tcPr>
            <w:tcW w:type="dxa" w:w="2880"/>
          </w:tcPr>
          <w:p>
            <w:r>
              <w:t>0.03</w:t>
            </w:r>
          </w:p>
        </w:tc>
        <w:tc>
          <w:tcPr>
            <w:tcW w:type="dxa" w:w="2880"/>
          </w:tcPr>
          <w:p>
            <w:r>
              <w:t>Drop-out simulation rate.</w:t>
            </w:r>
          </w:p>
        </w:tc>
      </w:tr>
      <w:tr>
        <w:tc>
          <w:tcPr>
            <w:tcW w:type="dxa" w:w="2880"/>
          </w:tcPr>
          <w:p>
            <w:r>
              <w:t>TTA samples</w:t>
            </w:r>
          </w:p>
        </w:tc>
        <w:tc>
          <w:tcPr>
            <w:tcW w:type="dxa" w:w="2880"/>
          </w:tcPr>
          <w:p>
            <w:r>
              <w:t>20</w:t>
            </w:r>
          </w:p>
        </w:tc>
        <w:tc>
          <w:tcPr>
            <w:tcW w:type="dxa" w:w="2880"/>
          </w:tcPr>
          <w:p>
            <w:r>
              <w:t>20 stochastic passes is the usual MC-Dropout sweet spot.</w:t>
            </w:r>
          </w:p>
        </w:tc>
      </w:tr>
    </w:tbl>
    <w:p>
      <w:pPr>
        <w:pStyle w:val="Heading1"/>
      </w:pPr>
      <w:r>
        <w:rPr>
          <w:color w:val="1F2D5C"/>
        </w:rPr>
        <w:t>8. Validation plan</w:t>
      </w:r>
    </w:p>
    <w:p>
      <w:pPr>
        <w:pStyle w:val="ListBullet"/>
        <w:spacing w:after="40"/>
      </w:pPr>
      <w:r>
        <w:t>Stage A — sanity. 2-epoch run on CPU to verify shapes, gradient flow, augmenter outputs, and TTA loop. (Done; 11 s/epoch at d_model=64, 37 s/epoch at d_model=128.)</w:t>
      </w:r>
    </w:p>
    <w:p>
      <w:pPr>
        <w:pStyle w:val="ListBullet"/>
        <w:spacing w:after="40"/>
      </w:pPr>
      <w:r>
        <w:t>Stage B — per-contribution head-to-head on PROVEDIt. Run NoCFormer with --split grouped --epochs 200 against the existing deepNoC ‘simple’ and ‘full’ heads under the SAME grouped split. Report per-NoC accuracy, MAE, macro-F1, and the threshold-vs-coverage curve from Figure 7 of the paper.</w:t>
      </w:r>
    </w:p>
    <w:p>
      <w:pPr>
        <w:pStyle w:val="ListBullet"/>
        <w:spacing w:after="40"/>
      </w:pPr>
      <w:r>
        <w:t>Stage C — ablations. Toggle (i) augmentation, (ii) CORN vs CE, (iii) Transformer vs CNN backbone, (iv) grouped vs alternating split. The split toggle alone should bring the deepNoC baseline’s reported accuracy down by several points — a useful honesty check.</w:t>
      </w:r>
    </w:p>
    <w:p>
      <w:pPr>
        <w:pStyle w:val="ListBullet"/>
        <w:spacing w:after="40"/>
      </w:pPr>
      <w:r>
        <w:t>Stage D — calibration. Reliability diagram (binned confidence vs accuracy) for raw softmax (deepNoC) and MC-Dropout means (NoCFormer). Expected ECE improvement ≈3–5 points based on prior MC-Dropout literature.</w:t>
      </w:r>
    </w:p>
    <w:p>
      <w:pPr>
        <w:pStyle w:val="ListBullet"/>
        <w:spacing w:after="40"/>
      </w:pPr>
      <w:r>
        <w:t>Stage E — robustness. Apply 5–20 % multiplicative height noise at inference and measure the NoC-prediction rank-1 stability. NoCFormer should be more stable thanks to permutation invariance + dropout TTA.</w:t>
      </w:r>
    </w:p>
    <w:p>
      <w:pPr>
        <w:pStyle w:val="Heading1"/>
      </w:pPr>
      <w:r>
        <w:rPr>
          <w:color w:val="1F2D5C"/>
        </w:rPr>
        <w:t>9. How to run</w:t>
      </w:r>
    </w:p>
    <w:p>
      <w:pPr>
        <w:spacing w:after="120"/>
        <w:ind w:left="340"/>
      </w:pPr>
      <w:r>
        <w:rPr>
          <w:rFonts w:ascii="Consolas" w:hAnsi="Consolas"/>
          <w:sz w:val="18"/>
          <w:rFonts w:ascii="Consolas" w:hAnsi="Consolas"/>
        </w:rPr>
        <w:t># 1. Prepare data (already produced X_gf25.npy, y_gf25.npy)</w:t>
        <w:br/>
        <w:t>python main.py prepare --data-dir "data/..."</w:t>
        <w:br/>
        <w:br/>
        <w:t># 2. Run baselines</w:t>
        <w:br/>
        <w:t>python main.py baseline</w:t>
        <w:br/>
        <w:br/>
        <w:t># 3. Train original deepNoC (for comparison)</w:t>
        <w:br/>
        <w:t>python main.py train --model simple --split grouped --epochs 200</w:t>
        <w:br/>
        <w:t>python main.py train --model full   --split grouped --epochs 200</w:t>
        <w:br/>
        <w:br/>
        <w:t># 4. Train NoCFormer</w:t>
        <w:br/>
        <w:t>python main.py train --model nocformer --split grouped --epochs 200 \</w:t>
        <w:br/>
        <w:t xml:space="preserve">    --batch-size 32 --lr 3e-4 --tta-samples 20</w:t>
        <w:br/>
        <w:br/>
        <w:t># 5. Quick smoke run (a few minutes on CPU)</w:t>
        <w:br/>
        <w:t>python main.py train --model nocformer --epochs 3 --batch-size 16 \</w:t>
        <w:br/>
        <w:t xml:space="preserve">    --d-model 64 --peak-layers 1 --locus-layers 2 --tta-samples 4</w:t>
      </w:r>
    </w:p>
    <w:p>
      <w:pPr>
        <w:pStyle w:val="Heading1"/>
      </w:pPr>
      <w:r>
        <w:rPr>
          <w:color w:val="1F2D5C"/>
        </w:rPr>
        <w:t>10. Risks and open questions</w:t>
      </w:r>
    </w:p>
    <w:p>
      <w:pPr>
        <w:pStyle w:val="ListBullet"/>
        <w:spacing w:after="40"/>
      </w:pPr>
      <w:r>
        <w:t>Synthetic-mixture augmentation ignores stochastic effects (stutter ratio, drop-in, pull-up) that a true GAN simulator would model. Mitigation: combine with the height-jitter / dropout / drop-in augmentations and, in future, plug in the GAN of Taylor &amp; Humphries (2024) at augment.py boundary.</w:t>
      </w:r>
    </w:p>
    <w:p>
      <w:pPr>
        <w:pStyle w:val="ListBullet"/>
        <w:spacing w:after="40"/>
      </w:pPr>
      <w:r>
        <w:t>PROVEDIt only labels up to 5 contributors. Generalisation beyond NoC=5 is therefore extrapolation. The CORN head supports a larger K but cannot learn what 6+ contributors look like without simulated data.</w:t>
      </w:r>
    </w:p>
    <w:p>
      <w:pPr>
        <w:pStyle w:val="ListBullet"/>
        <w:spacing w:after="40"/>
      </w:pPr>
      <w:r>
        <w:t>Population mismatch (Australian Caucasian allele frequencies in the original simulator vs US PROVEDIt donors) was a Section-4 caveat in the paper. NoCFormer inherits the same caveat. The DEFAULT_ALLELE_FREQ constant should be replaced with a real frequency table.</w:t>
      </w:r>
    </w:p>
    <w:p>
      <w:pPr>
        <w:pStyle w:val="ListBullet"/>
        <w:spacing w:after="40"/>
      </w:pPr>
      <w:r>
        <w:t>Peak label probability remains heuristic in this repo until the MHCNN of Taylor (2022) is integrated.</w:t>
      </w:r>
    </w:p>
    <w:p>
      <w:pPr>
        <w:pStyle w:val="Heading1"/>
      </w:pPr>
      <w:r>
        <w:rPr>
          <w:color w:val="1F2D5C"/>
        </w:rPr>
        <w:t>11. Conclusion</w:t>
      </w:r>
    </w:p>
    <w:p>
      <w:pPr>
        <w:spacing w:after="120"/>
      </w:pPr>
      <w:r>
        <w:rPr>
          <w:b w:val="0"/>
          <w:i w:val="0"/>
        </w:rPr>
        <w:t>NoCFormer keeps the things that work in deepNoC (the [24, 50, 89] input representation, multi-task explainability heads, the use of the GlobalFiler kit on the PROVEDIt benchmark) and replaces the things that limit it (CNN over an arbitrarily ordered peak axis, categorical softmax over an ordinal label, leaky split, GAN-dependent training data, deterministic inference). The implementation is wired into the existing repo behind ‘--model nocformer’. End-to-end smoke tests confirm correct shapes and gradient flow. A full 200-epoch comparison run against the deepNoC heads under a grouped split is the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