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e8672f"/>
          <w:sz w:val="22"/>
          <w:szCs w:val="22"/>
        </w:rPr>
        <w:t xml:space="preserve">HSRW Datathon 2026, Kleve</w:t>
      </w:r>
    </w:p>
    <w:p>
      <w:pPr>
        <w:spacing w:after="160"/>
      </w:pPr>
      <w:r>
        <w:rPr>
          <w:b/>
          <w:bCs/>
          <w:color w:val="1c2028"/>
          <w:sz w:val="48"/>
          <w:szCs w:val="48"/>
        </w:rPr>
        <w:t xml:space="preserve">From Messy Factory Data to Actionable Insight</w:t>
      </w:r>
    </w:p>
    <w:p>
      <w:pPr>
        <w:spacing w:after="160"/>
      </w:pPr>
      <w:r>
        <w:rPr>
          <w:color w:val="5d6470"/>
          <w:sz w:val="24"/>
          <w:szCs w:val="24"/>
        </w:rPr>
        <w:t xml:space="preserve">BBMED Production Data Challenge, Datathon case study</w:t>
      </w:r>
    </w:p>
    <w:p>
      <w:pPr>
        <w:spacing w:after="160"/>
      </w:pPr>
      <w:r>
        <w:rPr>
          <w:b/>
          <w:bCs/>
          <w:color w:val="1c2028"/>
          <w:sz w:val="22"/>
          <w:szCs w:val="22"/>
        </w:rPr>
        <w:t xml:space="preserve">Pablo De Villota and Ahmed Azzeh</w:t>
      </w:r>
      <w:r>
        <w:rPr>
          <w:color w:val="5d6470"/>
          <w:sz w:val="22"/>
          <w:szCs w:val="22"/>
        </w:rPr>
        <w:t xml:space="preserve">   |   September 26, 2026</w:t>
      </w:r>
    </w:p>
    <w:p>
      <w:pPr>
        <w:pBdr>
          <w:bottom w:val="single" w:color="e2ded5" w:sz="6" w:space="1"/>
        </w:pBdr>
        <w:spacing w:after="200" w:before="200"/>
      </w:pPr>
    </w:p>
    <w:p>
      <w:pPr>
        <w:pStyle w:val="Heading1"/>
        <w:spacing w:after="200" w:before="400"/>
      </w:pPr>
      <w:r>
        <w:rPr>
          <w:b/>
          <w:bCs/>
          <w:color w:val="1c2028"/>
        </w:rPr>
        <w:t xml:space="preserve">At a glance</w:t>
      </w:r>
    </w:p>
    <w:p>
      <w:pPr>
        <w:spacing w:after="160"/>
      </w:pPr>
      <w:r>
        <w:rPr>
          <w:b/>
          <w:bCs/>
          <w:color w:val="1c2028"/>
        </w:rPr>
        <w:t xml:space="preserve">The brief: </w:t>
      </w:r>
      <w:r>
        <w:rPr>
          <w:color w:val="1c2028"/>
        </w:rPr>
        <w:t xml:space="preserve">a cosmetics manufacturer (BBMED) runs five packaging lines and records what happens on them in three systems that don't agree with each other. We were asked to turn that raw, uncleaned data into insight on production performance, stoppages, staffing and the energy use of one bottle line, and to recommend how the data itself should be collected in future.</w:t>
      </w:r>
    </w:p>
    <w:p>
      <w:pPr>
        <w:spacing w:after="160"/>
      </w:pPr>
      <w:r>
        <w:rPr>
          <w:b/>
          <w:bCs/>
          <w:color w:val="1c2028"/>
        </w:rPr>
        <w:t xml:space="preserve">The event: </w:t>
      </w:r>
      <w:r>
        <w:rPr>
          <w:color w:val="1c2028"/>
        </w:rPr>
        <w:t xml:space="preserve">the first-ever HSRW Datathon, hosted by Hochschule Rhein-Waal on its Kleve campus on 24 to 25 September 2026. BBMED, a local cosmetics manufacturer, was invited to provide real production data and the guiding questions. Every team got the same data and the same brief, with 24 hours from data release to a final presentation in front of a jury.</w:t>
      </w:r>
    </w:p>
    <w:p>
      <w:pPr>
        <w:spacing w:after="160"/>
      </w:pPr>
      <w:r>
        <w:rPr>
          <w:b/>
          <w:bCs/>
          <w:color w:val="1c2028"/>
        </w:rPr>
        <w:t xml:space="preserve">Team: </w:t>
      </w:r>
      <w:r>
        <w:rPr>
          <w:color w:val="1c2028"/>
        </w:rPr>
        <w:t xml:space="preserve">Pablo De Villota and Ahmed Azzeh, working as a team of two.</w:t>
      </w:r>
    </w:p>
    <w:p>
      <w:pPr>
        <w:spacing w:after="160"/>
      </w:pPr>
      <w:r>
        <w:rPr>
          <w:b/>
          <w:bCs/>
          <w:color w:val="1c2028"/>
        </w:rPr>
        <w:t xml:space="preserve">Outcome: </w:t>
      </w:r>
      <w:r>
        <w:rPr>
          <w:color w:val="1c2028"/>
        </w:rPr>
        <w:t xml:space="preserve">a single winner was named, and it wasn't us, but the jury told the room the decision had been extremely hard to make. As the university's first datathon, the focus was on the challenge itself rather than the podium.</w:t>
      </w:r>
    </w:p>
    <w:p>
      <w:pPr>
        <w:spacing w:after="160"/>
      </w:pPr>
      <w:r>
        <w:rPr>
          <w:b/>
          <w:bCs/>
          <w:color w:val="1c2028"/>
        </w:rPr>
        <w:t xml:space="preserve">Scale of the data: </w:t>
      </w:r>
      <w:r>
        <w:rPr>
          <w:color w:val="1c2028"/>
        </w:rPr>
        <w:t xml:space="preserve">20 files across MES, ERP, hand-kept Excel logs and energy meters, including 6,023 production periods, 43,848 stoppage records, 913 production orders, 1,667 Excel log rows and 5,599 ERP product records, spanning January 2025 to September 2026.</w:t>
      </w:r>
    </w:p>
    <w:tbl>
      <w:tblPr>
        <w:tblW w:type="dxa" w:w="9360"/>
        <w:tblBorders>
          <w:top w:val="single" w:color="e2ded5" w:sz="4"/>
          <w:left w:val="single" w:color="e2ded5" w:sz="4"/>
          <w:bottom w:val="single" w:color="e2ded5" w:sz="4"/>
          <w:right w:val="single" w:color="e2ded5" w:sz="4"/>
          <w:insideH w:val="single" w:color="e2ded5" w:sz="4"/>
          <w:insideV w:val="single" w:color="e2ded5" w:sz="4"/>
        </w:tblBorders>
      </w:tblPr>
      <w:tblGrid>
        <w:gridCol w:w="4500"/>
        <w:gridCol w:w="4860"/>
      </w:tblGrid>
      <w:tr>
        <w:trPr>
          <w:tblHeader/>
        </w:trPr>
        <w:tc>
          <w:tcPr>
            <w:tcW w:type="dxa" w:w="4500"/>
            <w:shd w:fill="2b2f38" w:val="clear"/>
            <w:tcMar>
              <w:top w:type="dxa" w:w="90"/>
              <w:left w:type="dxa" w:w="110"/>
              <w:bottom w:type="dxa" w:w="90"/>
              <w:right w:type="dxa" w:w="110"/>
            </w:tcMar>
          </w:tcPr>
          <w:p>
            <w:r>
              <w:rPr>
                <w:b/>
                <w:bCs/>
                <w:color w:val="ffffff"/>
                <w:sz w:val="19"/>
                <w:szCs w:val="19"/>
              </w:rPr>
              <w:t xml:space="preserve">Headline</w:t>
            </w:r>
          </w:p>
        </w:tc>
        <w:tc>
          <w:tcPr>
            <w:tcW w:type="dxa" w:w="4860"/>
            <w:shd w:fill="2b2f38" w:val="clear"/>
            <w:tcMar>
              <w:top w:type="dxa" w:w="90"/>
              <w:left w:type="dxa" w:w="110"/>
              <w:bottom w:type="dxa" w:w="90"/>
              <w:right w:type="dxa" w:w="110"/>
            </w:tcMar>
          </w:tcPr>
          <w:p>
            <w:r>
              <w:rPr>
                <w:b/>
                <w:bCs/>
                <w:color w:val="ffffff"/>
                <w:sz w:val="19"/>
                <w:szCs w:val="19"/>
              </w:rPr>
              <w:t xml:space="preserve">Result</w:t>
            </w:r>
          </w:p>
        </w:tc>
      </w:tr>
      <w:tr>
        <w:tc>
          <w:tcPr>
            <w:tcW w:type="dxa" w:w="4500"/>
            <w:tcMar>
              <w:top w:type="dxa" w:w="90"/>
              <w:left w:type="dxa" w:w="110"/>
              <w:bottom w:type="dxa" w:w="90"/>
              <w:right w:type="dxa" w:w="110"/>
            </w:tcMar>
          </w:tcPr>
          <w:p>
            <w:r>
              <w:rPr>
                <w:b w:val="false"/>
                <w:bCs w:val="false"/>
                <w:color w:val="1c2028"/>
                <w:sz w:val="20"/>
                <w:szCs w:val="20"/>
              </w:rPr>
              <w:t xml:space="preserve">Fleet OEE (availability x performance)</w:t>
            </w:r>
          </w:p>
        </w:tc>
        <w:tc>
          <w:tcPr>
            <w:tcW w:type="dxa" w:w="4860"/>
            <w:tcMar>
              <w:top w:type="dxa" w:w="90"/>
              <w:left w:type="dxa" w:w="110"/>
              <w:bottom w:type="dxa" w:w="90"/>
              <w:right w:type="dxa" w:w="110"/>
            </w:tcMar>
          </w:tcPr>
          <w:p>
            <w:r>
              <w:rPr>
                <w:b w:val="false"/>
                <w:bCs w:val="false"/>
                <w:color w:val="1c2028"/>
                <w:sz w:val="20"/>
                <w:szCs w:val="20"/>
              </w:rPr>
              <w:t xml:space="preserve">43.5% across 889 clean orders</w:t>
            </w:r>
          </w:p>
        </w:tc>
      </w:tr>
      <w:tr>
        <w:tc>
          <w:tcPr>
            <w:tcW w:type="dxa" w:w="4500"/>
            <w:tcMar>
              <w:top w:type="dxa" w:w="90"/>
              <w:left w:type="dxa" w:w="110"/>
              <w:bottom w:type="dxa" w:w="90"/>
              <w:right w:type="dxa" w:w="110"/>
            </w:tcMar>
          </w:tcPr>
          <w:p>
            <w:r>
              <w:rPr>
                <w:b w:val="false"/>
                <w:bCs w:val="false"/>
                <w:color w:val="1c2028"/>
                <w:sz w:val="20"/>
                <w:szCs w:val="20"/>
              </w:rPr>
              <w:t xml:space="preserve">Running speed while producing</w:t>
            </w:r>
          </w:p>
        </w:tc>
        <w:tc>
          <w:tcPr>
            <w:tcW w:type="dxa" w:w="4860"/>
            <w:tcMar>
              <w:top w:type="dxa" w:w="90"/>
              <w:left w:type="dxa" w:w="110"/>
              <w:bottom w:type="dxa" w:w="90"/>
              <w:right w:type="dxa" w:w="110"/>
            </w:tcMar>
          </w:tcPr>
          <w:p>
            <w:r>
              <w:rPr>
                <w:b w:val="false"/>
                <w:bCs w:val="false"/>
                <w:color w:val="1c2028"/>
                <w:sz w:val="20"/>
                <w:szCs w:val="20"/>
              </w:rPr>
              <w:t xml:space="preserve">about 95% of target on every line</w:t>
            </w:r>
          </w:p>
        </w:tc>
      </w:tr>
      <w:tr>
        <w:tc>
          <w:tcPr>
            <w:tcW w:type="dxa" w:w="4500"/>
            <w:tcMar>
              <w:top w:type="dxa" w:w="90"/>
              <w:left w:type="dxa" w:w="110"/>
              <w:bottom w:type="dxa" w:w="90"/>
              <w:right w:type="dxa" w:w="110"/>
            </w:tcMar>
          </w:tcPr>
          <w:p>
            <w:r>
              <w:rPr>
                <w:b w:val="false"/>
                <w:bCs w:val="false"/>
                <w:color w:val="1c2028"/>
                <w:sz w:val="20"/>
                <w:szCs w:val="20"/>
              </w:rPr>
              <w:t xml:space="preserve">Share of time actually producing</w:t>
            </w:r>
          </w:p>
        </w:tc>
        <w:tc>
          <w:tcPr>
            <w:tcW w:type="dxa" w:w="4860"/>
            <w:tcMar>
              <w:top w:type="dxa" w:w="90"/>
              <w:left w:type="dxa" w:w="110"/>
              <w:bottom w:type="dxa" w:w="90"/>
              <w:right w:type="dxa" w:w="110"/>
            </w:tcMar>
          </w:tcPr>
          <w:p>
            <w:r>
              <w:rPr>
                <w:b w:val="false"/>
                <w:bCs w:val="false"/>
                <w:color w:val="1c2028"/>
                <w:sz w:val="20"/>
                <w:szCs w:val="20"/>
              </w:rPr>
              <w:t xml:space="preserve">about 46%, the real loss is stopped time, not slow running</w:t>
            </w:r>
          </w:p>
        </w:tc>
      </w:tr>
      <w:tr>
        <w:tc>
          <w:tcPr>
            <w:tcW w:type="dxa" w:w="4500"/>
            <w:tcMar>
              <w:top w:type="dxa" w:w="90"/>
              <w:left w:type="dxa" w:w="110"/>
              <w:bottom w:type="dxa" w:w="90"/>
              <w:right w:type="dxa" w:w="110"/>
            </w:tcMar>
          </w:tcPr>
          <w:p>
            <w:r>
              <w:rPr>
                <w:b w:val="false"/>
                <w:bCs w:val="false"/>
                <w:color w:val="1c2028"/>
                <w:sz w:val="20"/>
                <w:szCs w:val="20"/>
              </w:rPr>
              <w:t xml:space="preserve">OEE, largest vs smallest orders</w:t>
            </w:r>
          </w:p>
        </w:tc>
        <w:tc>
          <w:tcPr>
            <w:tcW w:type="dxa" w:w="4860"/>
            <w:tcMar>
              <w:top w:type="dxa" w:w="90"/>
              <w:left w:type="dxa" w:w="110"/>
              <w:bottom w:type="dxa" w:w="90"/>
              <w:right w:type="dxa" w:w="110"/>
            </w:tcMar>
          </w:tcPr>
          <w:p>
            <w:r>
              <w:rPr>
                <w:b w:val="false"/>
                <w:bCs w:val="false"/>
                <w:color w:val="1c2028"/>
                <w:sz w:val="20"/>
                <w:szCs w:val="20"/>
              </w:rPr>
              <w:t xml:space="preserve">51.1% vs 33.5% (+17.6 pp)</w:t>
            </w:r>
          </w:p>
        </w:tc>
      </w:tr>
      <w:tr>
        <w:tc>
          <w:tcPr>
            <w:tcW w:type="dxa" w:w="4500"/>
            <w:tcMar>
              <w:top w:type="dxa" w:w="90"/>
              <w:left w:type="dxa" w:w="110"/>
              <w:bottom w:type="dxa" w:w="90"/>
              <w:right w:type="dxa" w:w="110"/>
            </w:tcMar>
          </w:tcPr>
          <w:p>
            <w:r>
              <w:rPr>
                <w:b w:val="false"/>
                <w:bCs w:val="false"/>
                <w:color w:val="1c2028"/>
                <w:sz w:val="20"/>
                <w:szCs w:val="20"/>
              </w:rPr>
              <w:t xml:space="preserve">MES vs Excel agreement</w:t>
            </w:r>
          </w:p>
        </w:tc>
        <w:tc>
          <w:tcPr>
            <w:tcW w:type="dxa" w:w="4860"/>
            <w:tcMar>
              <w:top w:type="dxa" w:w="90"/>
              <w:left w:type="dxa" w:w="110"/>
              <w:bottom w:type="dxa" w:w="90"/>
              <w:right w:type="dxa" w:w="110"/>
            </w:tcMar>
          </w:tcPr>
          <w:p>
            <w:r>
              <w:rPr>
                <w:b w:val="false"/>
                <w:bCs w:val="false"/>
                <w:color w:val="1c2028"/>
                <w:sz w:val="20"/>
                <w:szCs w:val="20"/>
              </w:rPr>
              <w:t xml:space="preserve">90% of 263 shared orders within +/-10% (median gap 0.65%)</w:t>
            </w:r>
          </w:p>
        </w:tc>
      </w:tr>
      <w:tr>
        <w:tc>
          <w:tcPr>
            <w:tcW w:type="dxa" w:w="4500"/>
            <w:tcMar>
              <w:top w:type="dxa" w:w="90"/>
              <w:left w:type="dxa" w:w="110"/>
              <w:bottom w:type="dxa" w:w="90"/>
              <w:right w:type="dxa" w:w="110"/>
            </w:tcMar>
          </w:tcPr>
          <w:p>
            <w:r>
              <w:rPr>
                <w:b w:val="false"/>
                <w:bCs w:val="false"/>
                <w:color w:val="1c2028"/>
                <w:sz w:val="20"/>
                <w:szCs w:val="20"/>
              </w:rPr>
              <w:t xml:space="preserve">KM1 line power draw</w:t>
            </w:r>
          </w:p>
        </w:tc>
        <w:tc>
          <w:tcPr>
            <w:tcW w:type="dxa" w:w="4860"/>
            <w:tcMar>
              <w:top w:type="dxa" w:w="90"/>
              <w:left w:type="dxa" w:w="110"/>
              <w:bottom w:type="dxa" w:w="90"/>
              <w:right w:type="dxa" w:w="110"/>
            </w:tcMar>
          </w:tcPr>
          <w:p>
            <w:r>
              <w:rPr>
                <w:b w:val="false"/>
                <w:bCs w:val="false"/>
                <w:color w:val="1c2028"/>
                <w:sz w:val="20"/>
                <w:szCs w:val="20"/>
              </w:rPr>
              <w:t xml:space="preserve">about 3.2 kW, two sub-machines account for 61% of it</w:t>
            </w:r>
          </w:p>
        </w:tc>
      </w:tr>
      <w:tr>
        <w:tc>
          <w:tcPr>
            <w:tcW w:type="dxa" w:w="4500"/>
            <w:tcMar>
              <w:top w:type="dxa" w:w="90"/>
              <w:left w:type="dxa" w:w="110"/>
              <w:bottom w:type="dxa" w:w="90"/>
              <w:right w:type="dxa" w:w="110"/>
            </w:tcMar>
          </w:tcPr>
          <w:p>
            <w:r>
              <w:rPr>
                <w:b w:val="false"/>
                <w:bCs w:val="false"/>
                <w:color w:val="1c2028"/>
                <w:sz w:val="20"/>
                <w:szCs w:val="20"/>
              </w:rPr>
              <w:t xml:space="preserve">KM1 energy intensity (one fully traced order)</w:t>
            </w:r>
          </w:p>
        </w:tc>
        <w:tc>
          <w:tcPr>
            <w:tcW w:type="dxa" w:w="4860"/>
            <w:tcMar>
              <w:top w:type="dxa" w:w="90"/>
              <w:left w:type="dxa" w:w="110"/>
              <w:bottom w:type="dxa" w:w="90"/>
              <w:right w:type="dxa" w:w="110"/>
            </w:tcMar>
          </w:tcPr>
          <w:p>
            <w:r>
              <w:rPr>
                <w:b w:val="false"/>
                <w:bCs w:val="false"/>
                <w:color w:val="1c2028"/>
                <w:sz w:val="20"/>
                <w:szCs w:val="20"/>
              </w:rPr>
              <w:t xml:space="preserve">about 2.8 kWh per 1,000 bottles, about a third drawn while stopped</w:t>
            </w:r>
          </w:p>
        </w:tc>
      </w:tr>
    </w:tbl>
    <w:p>
      <w:pPr>
        <w:spacing w:after="160"/>
      </w:pPr>
      <w:r>
        <w:rPr>
          <w:color w:val="1c2028"/>
        </w:rPr>
        <w:t xml:space="preserve"/>
      </w:r>
    </w:p>
    <w:p>
      <w:pPr>
        <w:pStyle w:val="Heading3"/>
        <w:spacing w:after="110" w:before="220"/>
      </w:pPr>
      <w:r>
        <w:rPr>
          <w:b/>
          <w:bCs/>
          <w:color w:val="1c2028"/>
        </w:rPr>
        <w:t xml:space="preserve">Three things I'd point a plant manager to</w:t>
      </w:r>
    </w:p>
    <w:p>
      <w:pPr>
        <w:pStyle w:val="ListParagraph"/>
        <w:numPr>
          <w:ilvl w:val="0"/>
          <w:numId w:val="2"/>
        </w:numPr>
        <w:spacing w:after="90"/>
      </w:pPr>
      <w:r>
        <w:rPr>
          <w:color w:val="1c2028"/>
        </w:rPr>
        <w:t xml:space="preserve">The lines are fast but idle. Every line runs at 93 to 97% of target speed when producing; OEE is lost almost entirely to downtime, and on the tube lines four in five lost minutes are organisational (changeovers, cleaning, breaks), not machine faults.</w:t>
      </w:r>
    </w:p>
    <w:p>
      <w:pPr>
        <w:pStyle w:val="ListParagraph"/>
        <w:numPr>
          <w:ilvl w:val="0"/>
          <w:numId w:val="2"/>
        </w:numPr>
        <w:spacing w:after="90"/>
      </w:pPr>
      <w:r>
        <w:rPr>
          <w:color w:val="1c2028"/>
        </w:rPr>
        <w:t xml:space="preserve">Order size is the cheapest lever. Bigger orders spread the fixed setup and cleaning cost over more units; batching small repeat orders lifts availability without touching the machines.</w:t>
      </w:r>
    </w:p>
    <w:p>
      <w:pPr>
        <w:pStyle w:val="ListParagraph"/>
        <w:numPr>
          <w:ilvl w:val="0"/>
          <w:numId w:val="2"/>
        </w:numPr>
        <w:spacing w:after="90"/>
      </w:pPr>
      <w:r>
        <w:rPr>
          <w:color w:val="1c2028"/>
        </w:rPr>
        <w:t xml:space="preserve">The data can be trusted, with known gaps. The systems agree for a typical order, but a small tail of mismatches, a third of stoppage rows without a parent record, and almost no scrap data would distort KPIs if nobody knew about them.</w:t>
      </w:r>
    </w:p>
    <w:p>
      <w:pPr>
        <w:pStyle w:val="Heading1"/>
        <w:spacing w:after="200" w:before="400"/>
      </w:pPr>
      <w:r>
        <w:rPr>
          <w:b/>
          <w:bCs/>
          <w:color w:val="1c2028"/>
        </w:rPr>
        <w:t xml:space="preserve">The challenge</w:t>
      </w:r>
    </w:p>
    <w:p>
      <w:pPr>
        <w:spacing w:after="160"/>
      </w:pPr>
      <w:r>
        <w:rPr>
          <w:color w:val="1c2028"/>
        </w:rPr>
        <w:t xml:space="preserve">BBMED develops, mixes and packages cosmetics (including the NO Cosmetics brand). The data covers the packaging stage on five lines:</w:t>
      </w:r>
    </w:p>
    <w:tbl>
      <w:tblPr>
        <w:tblW w:type="dxa" w:w="9360"/>
        <w:tblBorders>
          <w:top w:val="single" w:color="e2ded5" w:sz="4"/>
          <w:left w:val="single" w:color="e2ded5" w:sz="4"/>
          <w:bottom w:val="single" w:color="e2ded5" w:sz="4"/>
          <w:right w:val="single" w:color="e2ded5" w:sz="4"/>
          <w:insideH w:val="single" w:color="e2ded5" w:sz="4"/>
          <w:insideV w:val="single" w:color="e2ded5" w:sz="4"/>
        </w:tblBorders>
      </w:tblPr>
      <w:tblGrid>
        <w:gridCol w:w="2400"/>
        <w:gridCol w:w="2460"/>
        <w:gridCol w:w="4500"/>
      </w:tblGrid>
      <w:tr>
        <w:trPr>
          <w:tblHeader/>
        </w:trPr>
        <w:tc>
          <w:tcPr>
            <w:tcW w:type="dxa" w:w="2400"/>
            <w:shd w:fill="2b2f38" w:val="clear"/>
            <w:tcMar>
              <w:top w:type="dxa" w:w="90"/>
              <w:left w:type="dxa" w:w="110"/>
              <w:bottom w:type="dxa" w:w="90"/>
              <w:right w:type="dxa" w:w="110"/>
            </w:tcMar>
          </w:tcPr>
          <w:p>
            <w:r>
              <w:rPr>
                <w:b/>
                <w:bCs/>
                <w:color w:val="ffffff"/>
                <w:sz w:val="19"/>
                <w:szCs w:val="19"/>
              </w:rPr>
              <w:t xml:space="preserve">Line</w:t>
            </w:r>
          </w:p>
        </w:tc>
        <w:tc>
          <w:tcPr>
            <w:tcW w:type="dxa" w:w="2460"/>
            <w:shd w:fill="2b2f38" w:val="clear"/>
            <w:tcMar>
              <w:top w:type="dxa" w:w="90"/>
              <w:left w:type="dxa" w:w="110"/>
              <w:bottom w:type="dxa" w:w="90"/>
              <w:right w:type="dxa" w:w="110"/>
            </w:tcMar>
          </w:tcPr>
          <w:p>
            <w:r>
              <w:rPr>
                <w:b/>
                <w:bCs/>
                <w:color w:val="ffffff"/>
                <w:sz w:val="19"/>
                <w:szCs w:val="19"/>
              </w:rPr>
              <w:t xml:space="preserve">Type</w:t>
            </w:r>
          </w:p>
        </w:tc>
        <w:tc>
          <w:tcPr>
            <w:tcW w:type="dxa" w:w="4500"/>
            <w:shd w:fill="2b2f38" w:val="clear"/>
            <w:tcMar>
              <w:top w:type="dxa" w:w="90"/>
              <w:left w:type="dxa" w:w="110"/>
              <w:bottom w:type="dxa" w:w="90"/>
              <w:right w:type="dxa" w:w="110"/>
            </w:tcMar>
          </w:tcPr>
          <w:p>
            <w:r>
              <w:rPr>
                <w:b/>
                <w:bCs/>
                <w:color w:val="ffffff"/>
                <w:sz w:val="19"/>
                <w:szCs w:val="19"/>
              </w:rPr>
              <w:t xml:space="preserve">What it does</w:t>
            </w:r>
          </w:p>
        </w:tc>
      </w:tr>
      <w:tr>
        <w:tc>
          <w:tcPr>
            <w:tcW w:type="dxa" w:w="2400"/>
            <w:tcMar>
              <w:top w:type="dxa" w:w="90"/>
              <w:left w:type="dxa" w:w="110"/>
              <w:bottom w:type="dxa" w:w="90"/>
              <w:right w:type="dxa" w:w="110"/>
            </w:tcMar>
          </w:tcPr>
          <w:p>
            <w:r>
              <w:rPr>
                <w:b w:val="false"/>
                <w:bCs w:val="false"/>
                <w:color w:val="1c2028"/>
                <w:sz w:val="20"/>
                <w:szCs w:val="20"/>
              </w:rPr>
              <w:t xml:space="preserve">KM1, KM2</w:t>
            </w:r>
          </w:p>
        </w:tc>
        <w:tc>
          <w:tcPr>
            <w:tcW w:type="dxa" w:w="2460"/>
            <w:tcMar>
              <w:top w:type="dxa" w:w="90"/>
              <w:left w:type="dxa" w:w="110"/>
              <w:bottom w:type="dxa" w:w="90"/>
              <w:right w:type="dxa" w:w="110"/>
            </w:tcMar>
          </w:tcPr>
          <w:p>
            <w:r>
              <w:rPr>
                <w:b w:val="false"/>
                <w:bCs w:val="false"/>
                <w:color w:val="1c2028"/>
                <w:sz w:val="20"/>
                <w:szCs w:val="20"/>
              </w:rPr>
              <w:t xml:space="preserve">Bottle filling</w:t>
            </w:r>
          </w:p>
        </w:tc>
        <w:tc>
          <w:tcPr>
            <w:tcW w:type="dxa" w:w="4500"/>
            <w:tcMar>
              <w:top w:type="dxa" w:w="90"/>
              <w:left w:type="dxa" w:w="110"/>
              <w:bottom w:type="dxa" w:w="90"/>
              <w:right w:type="dxa" w:w="110"/>
            </w:tcMar>
          </w:tcPr>
          <w:p>
            <w:r>
              <w:rPr>
                <w:b w:val="false"/>
                <w:bCs w:val="false"/>
                <w:color w:val="1c2028"/>
                <w:sz w:val="20"/>
                <w:szCs w:val="20"/>
              </w:rPr>
              <w:t xml:space="preserve">Feed bottles, fill, cap, label, fold cartons and box</w:t>
            </w:r>
          </w:p>
        </w:tc>
      </w:tr>
      <w:tr>
        <w:tc>
          <w:tcPr>
            <w:tcW w:type="dxa" w:w="2400"/>
            <w:tcMar>
              <w:top w:type="dxa" w:w="90"/>
              <w:left w:type="dxa" w:w="110"/>
              <w:bottom w:type="dxa" w:w="90"/>
              <w:right w:type="dxa" w:w="110"/>
            </w:tcMar>
          </w:tcPr>
          <w:p>
            <w:r>
              <w:rPr>
                <w:b w:val="false"/>
                <w:bCs w:val="false"/>
                <w:color w:val="1c2028"/>
                <w:sz w:val="20"/>
                <w:szCs w:val="20"/>
              </w:rPr>
              <w:t xml:space="preserve">AXO10, AXO11, AXO12</w:t>
            </w:r>
          </w:p>
        </w:tc>
        <w:tc>
          <w:tcPr>
            <w:tcW w:type="dxa" w:w="2460"/>
            <w:tcMar>
              <w:top w:type="dxa" w:w="90"/>
              <w:left w:type="dxa" w:w="110"/>
              <w:bottom w:type="dxa" w:w="90"/>
              <w:right w:type="dxa" w:w="110"/>
            </w:tcMar>
          </w:tcPr>
          <w:p>
            <w:r>
              <w:rPr>
                <w:b w:val="false"/>
                <w:bCs w:val="false"/>
                <w:color w:val="1c2028"/>
                <w:sz w:val="20"/>
                <w:szCs w:val="20"/>
              </w:rPr>
              <w:t xml:space="preserve">Tube filling</w:t>
            </w:r>
          </w:p>
        </w:tc>
        <w:tc>
          <w:tcPr>
            <w:tcW w:type="dxa" w:w="4500"/>
            <w:tcMar>
              <w:top w:type="dxa" w:w="90"/>
              <w:left w:type="dxa" w:w="110"/>
              <w:bottom w:type="dxa" w:w="90"/>
              <w:right w:type="dxa" w:w="110"/>
            </w:tcMar>
          </w:tcPr>
          <w:p>
            <w:r>
              <w:rPr>
                <w:b w:val="false"/>
                <w:bCs w:val="false"/>
                <w:color w:val="1c2028"/>
                <w:sz w:val="20"/>
                <w:szCs w:val="20"/>
              </w:rPr>
              <w:t xml:space="preserve">Fill and seal tubes, then box</w:t>
            </w:r>
          </w:p>
        </w:tc>
      </w:tr>
    </w:tbl>
    <w:p>
      <w:pPr>
        <w:spacing w:after="160"/>
      </w:pPr>
      <w:r>
        <w:rPr>
          <w:color w:val="1c2028"/>
        </w:rPr>
        <w:t xml:space="preserve"/>
      </w:r>
    </w:p>
    <w:p>
      <w:pPr>
        <w:spacing w:after="160"/>
      </w:pPr>
      <w:r>
        <w:rPr>
          <w:color w:val="1c2028"/>
        </w:rPr>
        <w:t xml:space="preserve">Since introducing a Manufacturing Execution System (MES), the plant has kept two parallel records of every packaging order: what the MES logs automatically, and what operators write into Excel sheets by hand. ERP holds product master data (fill volume, liquid density, pack sizes), and five energy meters were recently fitted to the sub-machines of KM1.</w:t>
      </w:r>
    </w:p>
    <w:p>
      <w:pPr>
        <w:spacing w:after="160"/>
      </w:pPr>
      <w:r>
        <w:rPr>
          <w:color w:val="1c2028"/>
        </w:rPr>
        <w:t xml:space="preserve">The explicit brief was not "make charts". It was: understand the tables, find how they relate, assess quality, clean and restructure, document every assumption, and only then generate insight. It was also acceptable to conclude that a question </w:t>
      </w:r>
      <w:r>
        <w:rPr>
          <w:i/>
          <w:iCs/>
          <w:color w:val="1c2028"/>
        </w:rPr>
        <w:t xml:space="preserve">cannot</w:t>
      </w:r>
      <w:r>
        <w:rPr>
          <w:color w:val="1c2028"/>
        </w:rPr>
        <w:t xml:space="preserve"> be answered with the current data, as long as we said why and what data would fix it.</w:t>
      </w:r>
    </w:p>
    <w:p>
      <w:pPr>
        <w:spacing w:after="160"/>
      </w:pPr>
      <w:r>
        <w:rPr>
          <w:b/>
          <w:bCs/>
          <w:color w:val="1c2028"/>
        </w:rPr>
        <w:t xml:space="preserve">Why it was hard. </w:t>
      </w:r>
      <w:r>
        <w:rPr>
          <w:color w:val="1c2028"/>
        </w:rPr>
        <w:t xml:space="preserve">Column names mix German and English (</w:t>
      </w:r>
      <w:r>
        <w:rPr>
          <w:rFonts w:ascii="Consolas" w:cs="Consolas" w:eastAsia="Consolas" w:hAnsi="Consolas"/>
          <w:color w:val="9a3412"/>
          <w:sz w:val="20"/>
          <w:szCs w:val="20"/>
        </w:rPr>
        <w:t xml:space="preserve">Auf_SollMenge</w:t>
      </w:r>
      <w:r>
        <w:rPr>
          <w:color w:val="1c2028"/>
        </w:rPr>
        <w:t xml:space="preserve">, </w:t>
      </w:r>
      <w:r>
        <w:rPr>
          <w:rFonts w:ascii="Consolas" w:cs="Consolas" w:eastAsia="Consolas" w:hAnsi="Consolas"/>
          <w:color w:val="9a3412"/>
          <w:sz w:val="20"/>
          <w:szCs w:val="20"/>
        </w:rPr>
        <w:t xml:space="preserve">Art_SollTakt</w:t>
      </w:r>
      <w:r>
        <w:rPr>
          <w:color w:val="1c2028"/>
        </w:rPr>
        <w:t xml:space="preserve">, </w:t>
      </w:r>
      <w:r>
        <w:rPr>
          <w:rFonts w:ascii="Consolas" w:cs="Consolas" w:eastAsia="Consolas" w:hAnsi="Consolas"/>
          <w:color w:val="9a3412"/>
          <w:sz w:val="20"/>
          <w:szCs w:val="20"/>
        </w:rPr>
        <w:t xml:space="preserve">Chargennummer</w:t>
      </w:r>
      <w:r>
        <w:rPr>
          <w:color w:val="1c2028"/>
        </w:rPr>
        <w:t xml:space="preserve">), identifiers differ by system (machine "1" in Excel is "KM1" in MES), stoppage codes have no documented meaning for some values, one CSV is semicolon-delimited and another comma-delimited, and the Excel log has two-row headers with units in the second row.</w:t>
      </w:r>
    </w:p>
    <w:p>
      <w:pPr>
        <w:pStyle w:val="Heading1"/>
        <w:spacing w:after="200" w:before="400"/>
      </w:pPr>
      <w:r>
        <w:rPr>
          <w:b/>
          <w:bCs/>
          <w:color w:val="1c2028"/>
        </w:rPr>
        <w:t xml:space="preserve">Approach</w:t>
      </w:r>
    </w:p>
    <w:p>
      <w:pPr>
        <w:pStyle w:val="ListParagraph"/>
        <w:numPr>
          <w:ilvl w:val="0"/>
          <w:numId w:val="2"/>
        </w:numPr>
        <w:spacing w:after="90"/>
      </w:pPr>
      <w:r>
        <w:rPr>
          <w:b/>
          <w:bCs/>
          <w:color w:val="1c2028"/>
        </w:rPr>
        <w:t xml:space="preserve">Map the landscape first. </w:t>
      </w:r>
      <w:r>
        <w:rPr>
          <w:color w:val="1c2028"/>
        </w:rPr>
        <w:t xml:space="preserve">Profiled every table (row counts, keys, null rates, value ranges) and drew the schema before running any analysis, so every later join was a deliberate choice rather than a guess.</w:t>
      </w:r>
    </w:p>
    <w:p>
      <w:pPr>
        <w:pStyle w:val="ListParagraph"/>
        <w:numPr>
          <w:ilvl w:val="0"/>
          <w:numId w:val="2"/>
        </w:numPr>
        <w:spacing w:after="90"/>
      </w:pPr>
      <w:r>
        <w:rPr>
          <w:b/>
          <w:bCs/>
          <w:color w:val="1c2028"/>
        </w:rPr>
        <w:t xml:space="preserve">Pick the backbone table. </w:t>
      </w:r>
      <w:r>
        <w:rPr>
          <w:rFonts w:ascii="Consolas" w:cs="Consolas" w:eastAsia="Consolas" w:hAnsi="Consolas"/>
          <w:color w:val="9a3412"/>
          <w:sz w:val="20"/>
          <w:szCs w:val="20"/>
        </w:rPr>
        <w:t xml:space="preserve">mes_production_periods</w:t>
      </w:r>
      <w:r>
        <w:rPr>
          <w:color w:val="1c2028"/>
        </w:rPr>
        <w:t xml:space="preserve"> is the only table that records start, end, units produced, target rate and stoppage time together for the same unit of work, so it became the fact table. One row is one continuous run of a work record on one machine; an order averages 6.6 periods.</w:t>
      </w:r>
    </w:p>
    <w:p>
      <w:pPr>
        <w:pStyle w:val="ListParagraph"/>
        <w:numPr>
          <w:ilvl w:val="0"/>
          <w:numId w:val="2"/>
        </w:numPr>
        <w:spacing w:after="90"/>
      </w:pPr>
      <w:r>
        <w:rPr>
          <w:b/>
          <w:bCs/>
          <w:color w:val="1c2028"/>
        </w:rPr>
        <w:t xml:space="preserve">Roll up to the order. </w:t>
      </w:r>
      <w:r>
        <w:rPr>
          <w:color w:val="1c2028"/>
        </w:rPr>
        <w:t xml:space="preserve">Grouped periods by order number (913 orders) and computed, per order: Availability = production time / booked time; Performance = (units / production minutes) / target units per minute; OEE = Availability x Performance.</w:t>
      </w:r>
    </w:p>
    <w:p>
      <w:pPr>
        <w:pStyle w:val="ListParagraph"/>
        <w:numPr>
          <w:ilvl w:val="0"/>
          <w:numId w:val="2"/>
        </w:numPr>
        <w:spacing w:after="90"/>
      </w:pPr>
      <w:r>
        <w:rPr>
          <w:b/>
          <w:bCs/>
          <w:color w:val="1c2028"/>
        </w:rPr>
        <w:t xml:space="preserve">Clean with explicit rules, not by eye. </w:t>
      </w:r>
      <w:r>
        <w:rPr>
          <w:color w:val="1c2028"/>
        </w:rPr>
        <w:t xml:space="preserve">Dropped 4 orders that ran on more than one machine or product, and 20 orders whose target rate (10 to 13 units/min) was clearly stale master data against actual rates of 20 to 55/min. 889 orders remained.</w:t>
      </w:r>
    </w:p>
    <w:p>
      <w:pPr>
        <w:pStyle w:val="ListParagraph"/>
        <w:numPr>
          <w:ilvl w:val="0"/>
          <w:numId w:val="2"/>
        </w:numPr>
        <w:spacing w:after="90"/>
      </w:pPr>
      <w:r>
        <w:rPr>
          <w:b/>
          <w:bCs/>
          <w:color w:val="1c2028"/>
        </w:rPr>
        <w:t xml:space="preserve">Reconcile the two sources. </w:t>
      </w:r>
      <w:r>
        <w:rPr>
          <w:color w:val="1c2028"/>
        </w:rPr>
        <w:t xml:space="preserve">Mapped Excel machine numbers to MES IDs by cross-tabulating shared order numbers (1 to KM1, 2 to KM2, 10 to 12 to AXO10 to 12, unambiguous), then compared quantities per order and per order-day.</w:t>
      </w:r>
    </w:p>
    <w:p>
      <w:pPr>
        <w:pStyle w:val="ListParagraph"/>
        <w:numPr>
          <w:ilvl w:val="0"/>
          <w:numId w:val="2"/>
        </w:numPr>
        <w:spacing w:after="90"/>
      </w:pPr>
      <w:r>
        <w:rPr>
          <w:b/>
          <w:bCs/>
          <w:color w:val="1c2028"/>
        </w:rPr>
        <w:t xml:space="preserve">Attach energy by time window. </w:t>
      </w:r>
      <w:r>
        <w:rPr>
          <w:color w:val="1c2028"/>
        </w:rPr>
        <w:t xml:space="preserve">The energy meters have no order ID, so readings were aligned with MES production periods on the same line and timestamp range.</w:t>
      </w:r>
    </w:p>
    <w:p>
      <w:pPr>
        <w:pStyle w:val="ListParagraph"/>
        <w:numPr>
          <w:ilvl w:val="0"/>
          <w:numId w:val="2"/>
        </w:numPr>
        <w:spacing w:after="90"/>
      </w:pPr>
      <w:r>
        <w:rPr>
          <w:b/>
          <w:bCs/>
          <w:color w:val="1c2028"/>
        </w:rPr>
        <w:t xml:space="preserve">Document every limitation next to the number it affects, </w:t>
      </w:r>
      <w:r>
        <w:rPr>
          <w:color w:val="1c2028"/>
        </w:rPr>
        <w:t xml:space="preserve">rather than in a footnote at the end.</w:t>
      </w:r>
    </w:p>
    <w:p>
      <w:pPr>
        <w:spacing w:after="160"/>
      </w:pPr>
      <w:r>
        <w:rPr>
          <w:color w:val="1c2028"/>
        </w:rPr>
        <w:t xml:space="preserve"/>
      </w:r>
    </w:p>
    <w:p>
      <w:pPr>
        <w:spacing w:after="160"/>
      </w:pPr>
      <w:r>
        <w:rPr>
          <w:i/>
          <w:iCs/>
          <w:color w:val="5d6470"/>
        </w:rPr>
        <w:t xml:space="preserve">Why OEE has no quality factor: reject records link to only 167 of 6,023 work records (under 3%). Rather than invent a scrap rate, OEE is reported as Availability x Performance and labelled an upper bound.</w:t>
      </w:r>
    </w:p>
    <w:p>
      <w:pPr>
        <w:pStyle w:val="Heading1"/>
        <w:spacing w:after="200" w:before="400"/>
      </w:pPr>
      <w:r>
        <w:rPr>
          <w:b/>
          <w:bCs/>
          <w:color w:val="1c2028"/>
        </w:rPr>
        <w:t xml:space="preserve">How the data actually connects</w:t>
      </w:r>
    </w:p>
    <w:p>
      <w:pPr>
        <w:spacing w:after="160"/>
      </w:pPr>
      <w:r>
        <w:drawing>
          <wp:inline distT="0" distB="0" distL="0" distR="0">
            <wp:extent cx="5762625"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305300"/>
                    </a:xfrm>
                    <a:prstGeom prst="rect">
                      <a:avLst/>
                    </a:prstGeom>
                  </pic:spPr>
                </pic:pic>
              </a:graphicData>
            </a:graphic>
          </wp:inline>
        </w:drawing>
      </w:r>
    </w:p>
    <w:p>
      <w:pPr>
        <w:spacing w:after="160"/>
      </w:pPr>
      <w:r>
        <w:rPr>
          <w:i/>
          <w:iCs/>
          <w:color w:val="5d6470"/>
        </w:rPr>
        <w:t xml:space="preserve">Logical data model, 10 entities from 20 source files.</w:t>
      </w:r>
    </w:p>
    <w:p>
      <w:pPr>
        <w:spacing w:after="160"/>
      </w:pPr>
      <w:r>
        <w:rPr>
          <w:color w:val="1c2028"/>
        </w:rPr>
        <w:t xml:space="preserve">The first real result of the project was this map. Everything important hangs off two keys: the order number and the work record ID (one row per continuous run). Two sources have no shared ID at all: the Excel log can only be matched on order number plus calendar day, and the energy meters only on line plus timestamp.</w:t>
      </w:r>
    </w:p>
    <w:p>
      <w:pPr>
        <w:pStyle w:val="Heading1"/>
        <w:spacing w:after="200" w:before="400"/>
      </w:pPr>
      <w:r>
        <w:rPr>
          <w:b/>
          <w:bCs/>
          <w:color w:val="1c2028"/>
        </w:rPr>
        <w:t xml:space="preserve">Finding 1. The machines are fast. They just don't run enough.</w:t>
      </w:r>
    </w:p>
    <w:p>
      <w:pPr>
        <w:spacing w:after="160"/>
      </w:pPr>
      <w:r>
        <w:drawing>
          <wp:inline distT="0" distB="0" distL="0" distR="0">
            <wp:extent cx="576262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114675"/>
                    </a:xfrm>
                    <a:prstGeom prst="rect">
                      <a:avLst/>
                    </a:prstGeom>
                  </pic:spPr>
                </pic:pic>
              </a:graphicData>
            </a:graphic>
          </wp:inline>
        </w:drawing>
      </w:r>
    </w:p>
    <w:p>
      <w:pPr>
        <w:spacing w:after="160"/>
      </w:pPr>
      <w:r>
        <w:rPr>
          <w:b/>
          <w:bCs/>
          <w:color w:val="1c2028"/>
        </w:rPr>
        <w:t xml:space="preserve">Observed. </w:t>
      </w:r>
      <w:r>
        <w:rPr>
          <w:color w:val="1c2028"/>
        </w:rPr>
        <w:t xml:space="preserve">Fleet OEE averages 43.5% (median 43.2%). Performance sits between 90% and 97% on every line, while availability ranges from 39% to 55%. The ranking between lines is decided almost entirely by uptime.</w:t>
      </w:r>
    </w:p>
    <w:p>
      <w:pPr>
        <w:spacing w:after="160"/>
      </w:pPr>
      <w:r>
        <w:rPr>
          <w:b/>
          <w:bCs/>
          <w:color w:val="1c2028"/>
        </w:rPr>
        <w:t xml:space="preserve">How it was calculated. </w:t>
      </w:r>
      <w:r>
        <w:rPr>
          <w:color w:val="1c2028"/>
        </w:rPr>
        <w:t xml:space="preserve">Per-order roll-up of </w:t>
      </w:r>
      <w:r>
        <w:rPr>
          <w:rFonts w:ascii="Consolas" w:cs="Consolas" w:eastAsia="Consolas" w:hAnsi="Consolas"/>
          <w:color w:val="9a3412"/>
          <w:sz w:val="20"/>
          <w:szCs w:val="20"/>
        </w:rPr>
        <w:t xml:space="preserve">CalcProductionTime</w:t>
      </w:r>
      <w:r>
        <w:rPr>
          <w:color w:val="1c2028"/>
        </w:rPr>
        <w:t xml:space="preserve">, </w:t>
      </w:r>
      <w:r>
        <w:rPr>
          <w:rFonts w:ascii="Consolas" w:cs="Consolas" w:eastAsia="Consolas" w:hAnsi="Consolas"/>
          <w:color w:val="9a3412"/>
          <w:sz w:val="20"/>
          <w:szCs w:val="20"/>
        </w:rPr>
        <w:t xml:space="preserve">CalcUsageTime</w:t>
      </w:r>
      <w:r>
        <w:rPr>
          <w:color w:val="1c2028"/>
        </w:rPr>
        <w:t xml:space="preserve">, units and </w:t>
      </w:r>
      <w:r>
        <w:rPr>
          <w:rFonts w:ascii="Consolas" w:cs="Consolas" w:eastAsia="Consolas" w:hAnsi="Consolas"/>
          <w:color w:val="9a3412"/>
          <w:sz w:val="20"/>
          <w:szCs w:val="20"/>
        </w:rPr>
        <w:t xml:space="preserve">TargetUnitsPerMinute</w:t>
      </w:r>
      <w:r>
        <w:rPr>
          <w:color w:val="1c2028"/>
        </w:rPr>
        <w:t xml:space="preserve"> from the period table; target rate is consistent within an order for 909 of 913 orders.</w:t>
      </w:r>
    </w:p>
    <w:p>
      <w:pPr>
        <w:spacing w:after="160"/>
      </w:pPr>
      <w:r>
        <w:rPr>
          <w:b/>
          <w:bCs/>
          <w:color w:val="1c2028"/>
        </w:rPr>
        <w:t xml:space="preserve">What it means. </w:t>
      </w:r>
      <w:r>
        <w:rPr>
          <w:color w:val="1c2028"/>
        </w:rPr>
        <w:t xml:space="preserve">Speeding the machines up would buy at most a few points. Keeping them running is worth tens of points. KM1 has the best availability but the lowest performance (89.7%), making it the one line where a speed or micro-stop investigation is also worthwhile.</w:t>
      </w:r>
    </w:p>
    <w:p>
      <w:pPr>
        <w:pStyle w:val="Heading1"/>
        <w:spacing w:after="200" w:before="400"/>
      </w:pPr>
      <w:r>
        <w:rPr>
          <w:b/>
          <w:bCs/>
          <w:color w:val="1c2028"/>
        </w:rPr>
        <w:t xml:space="preserve">Finding 2. Bigger orders run better, and only because of uptime</w:t>
      </w:r>
    </w:p>
    <w:p>
      <w:pPr>
        <w:spacing w:after="160"/>
      </w:pPr>
      <w:r>
        <w:drawing>
          <wp:inline distT="0" distB="0" distL="0" distR="0">
            <wp:extent cx="54864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57550"/>
                    </a:xfrm>
                    <a:prstGeom prst="rect">
                      <a:avLst/>
                    </a:prstGeom>
                  </pic:spPr>
                </pic:pic>
              </a:graphicData>
            </a:graphic>
          </wp:inline>
        </w:drawing>
      </w:r>
    </w:p>
    <w:p>
      <w:pPr>
        <w:spacing w:after="160"/>
      </w:pPr>
      <w:r>
        <w:rPr>
          <w:b/>
          <w:bCs/>
          <w:color w:val="1c2028"/>
        </w:rPr>
        <w:t xml:space="preserve">Observed. </w:t>
      </w:r>
      <w:r>
        <w:rPr>
          <w:color w:val="1c2028"/>
        </w:rPr>
        <w:t xml:space="preserve">OEE climbs steadily from 33.5% in the smallest quarter of orders to 51.1% in the largest, a gap of 17.6 percentage points. Running speed barely moves across the groups; availability rises by 16 points.</w:t>
      </w:r>
    </w:p>
    <w:p>
      <w:pPr>
        <w:spacing w:after="160"/>
      </w:pPr>
      <w:r>
        <w:rPr>
          <w:b/>
          <w:bCs/>
          <w:color w:val="1c2028"/>
        </w:rPr>
        <w:t xml:space="preserve">Why. </w:t>
      </w:r>
      <w:r>
        <w:rPr>
          <w:color w:val="1c2028"/>
        </w:rPr>
        <w:t xml:space="preserve">Every order carries a roughly fixed cost of setup, cleaning and material staging. On a large order that cost is spread over many more running hours. Order size is also the strongest single correlate of availability in the dataset (Pearson r = +0.33), well ahead of crew size (+0.15) or the number of stop/restart events (+0.17).</w:t>
      </w:r>
    </w:p>
    <w:p>
      <w:pPr>
        <w:spacing w:after="160"/>
      </w:pPr>
      <w:r>
        <w:rPr>
          <w:b/>
          <w:bCs/>
          <w:color w:val="1c2028"/>
        </w:rPr>
        <w:t xml:space="preserve">Product changes point the same way. </w:t>
      </w:r>
      <w:r>
        <w:rPr>
          <w:color w:val="1c2028"/>
        </w:rPr>
        <w:t xml:space="preserve">800 of 889 orders (90%) started right after a product change on their machine; they averaged 43.7% availability and 41.5% OEE. The 89 orders (10%) that continued the same product averaged 52.6% availability and 50.3% OEE. That comparison is not adjusted for order size, which also differs between the two groups.</w:t>
      </w:r>
    </w:p>
    <w:p>
      <w:pPr>
        <w:spacing w:after="160"/>
      </w:pPr>
      <w:r>
        <w:rPr>
          <w:b/>
          <w:bCs/>
          <w:color w:val="1c2028"/>
        </w:rPr>
        <w:t xml:space="preserve">Same product, very different results. </w:t>
      </w:r>
      <w:r>
        <w:rPr>
          <w:color w:val="1c2028"/>
        </w:rPr>
        <w:t xml:space="preserve">For the 41 products with at least five orders, running speed varies by about +/-8 points between repeat runs, but availability swings by up to +/-24 points. The product is not what makes an order efficient; how it is scheduled is.</w:t>
      </w:r>
    </w:p>
    <w:p>
      <w:pPr>
        <w:spacing w:after="160"/>
      </w:pPr>
      <w:r>
        <w:rPr>
          <w:i/>
          <w:iCs/>
          <w:color w:val="5d6470"/>
        </w:rPr>
        <w:t xml:space="preserve">So what: consolidating small repeat orders of the same SKU, or sequencing similar products back to back, should raise availability without any capital spend.</w:t>
      </w:r>
    </w:p>
    <w:p>
      <w:pPr>
        <w:pStyle w:val="Heading1"/>
        <w:spacing w:after="200" w:before="400"/>
      </w:pPr>
      <w:r>
        <w:rPr>
          <w:b/>
          <w:bCs/>
          <w:color w:val="1c2028"/>
        </w:rPr>
        <w:t xml:space="preserve">Finding 3. Why the lines stop: changeovers, not breakdowns</w:t>
      </w:r>
    </w:p>
    <w:p>
      <w:pPr>
        <w:spacing w:after="160"/>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tbl>
      <w:tblPr>
        <w:tblW w:type="dxa" w:w="9360"/>
        <w:tblBorders>
          <w:top w:val="single" w:color="e2ded5" w:sz="4"/>
          <w:left w:val="single" w:color="e2ded5" w:sz="4"/>
          <w:bottom w:val="single" w:color="e2ded5" w:sz="4"/>
          <w:right w:val="single" w:color="e2ded5" w:sz="4"/>
          <w:insideH w:val="single" w:color="e2ded5" w:sz="4"/>
          <w:insideV w:val="single" w:color="e2ded5" w:sz="4"/>
        </w:tblBorders>
      </w:tblPr>
      <w:tblGrid>
        <w:gridCol w:w="1800"/>
        <w:gridCol w:w="2300"/>
        <w:gridCol w:w="2100"/>
        <w:gridCol w:w="3160"/>
      </w:tblGrid>
      <w:tr>
        <w:trPr>
          <w:tblHeader/>
        </w:trPr>
        <w:tc>
          <w:tcPr>
            <w:tcW w:type="dxa" w:w="1800"/>
            <w:shd w:fill="2b2f38" w:val="clear"/>
            <w:tcMar>
              <w:top w:type="dxa" w:w="90"/>
              <w:left w:type="dxa" w:w="110"/>
              <w:bottom w:type="dxa" w:w="90"/>
              <w:right w:type="dxa" w:w="110"/>
            </w:tcMar>
          </w:tcPr>
          <w:p>
            <w:r>
              <w:rPr>
                <w:b/>
                <w:bCs/>
                <w:color w:val="ffffff"/>
                <w:sz w:val="19"/>
                <w:szCs w:val="19"/>
              </w:rPr>
              <w:t xml:space="preserve">Line</w:t>
            </w:r>
          </w:p>
        </w:tc>
        <w:tc>
          <w:tcPr>
            <w:tcW w:type="dxa" w:w="2300"/>
            <w:shd w:fill="2b2f38" w:val="clear"/>
            <w:tcMar>
              <w:top w:type="dxa" w:w="90"/>
              <w:left w:type="dxa" w:w="110"/>
              <w:bottom w:type="dxa" w:w="90"/>
              <w:right w:type="dxa" w:w="110"/>
            </w:tcMar>
          </w:tcPr>
          <w:p>
            <w:r>
              <w:rPr>
                <w:b/>
                <w:bCs/>
                <w:color w:val="ffffff"/>
                <w:sz w:val="19"/>
                <w:szCs w:val="19"/>
              </w:rPr>
              <w:t xml:space="preserve">Organisational share</w:t>
            </w:r>
          </w:p>
        </w:tc>
        <w:tc>
          <w:tcPr>
            <w:tcW w:type="dxa" w:w="2100"/>
            <w:shd w:fill="2b2f38" w:val="clear"/>
            <w:tcMar>
              <w:top w:type="dxa" w:w="90"/>
              <w:left w:type="dxa" w:w="110"/>
              <w:bottom w:type="dxa" w:w="90"/>
              <w:right w:type="dxa" w:w="110"/>
            </w:tcMar>
          </w:tcPr>
          <w:p>
            <w:r>
              <w:rPr>
                <w:b/>
                <w:bCs/>
                <w:color w:val="ffffff"/>
                <w:sz w:val="19"/>
                <w:szCs w:val="19"/>
              </w:rPr>
              <w:t xml:space="preserve">Technical share</w:t>
            </w:r>
          </w:p>
        </w:tc>
        <w:tc>
          <w:tcPr>
            <w:tcW w:type="dxa" w:w="3160"/>
            <w:shd w:fill="2b2f38" w:val="clear"/>
            <w:tcMar>
              <w:top w:type="dxa" w:w="90"/>
              <w:left w:type="dxa" w:w="110"/>
              <w:bottom w:type="dxa" w:w="90"/>
              <w:right w:type="dxa" w:w="110"/>
            </w:tcMar>
          </w:tcPr>
          <w:p>
            <w:r>
              <w:rPr>
                <w:b/>
                <w:bCs/>
                <w:color w:val="ffffff"/>
                <w:sz w:val="19"/>
                <w:szCs w:val="19"/>
              </w:rPr>
              <w:t xml:space="preserve">Reading</w:t>
            </w:r>
          </w:p>
        </w:tc>
      </w:tr>
      <w:tr>
        <w:tc>
          <w:tcPr>
            <w:tcW w:type="dxa" w:w="1800"/>
            <w:tcMar>
              <w:top w:type="dxa" w:w="90"/>
              <w:left w:type="dxa" w:w="110"/>
              <w:bottom w:type="dxa" w:w="90"/>
              <w:right w:type="dxa" w:w="110"/>
            </w:tcMar>
          </w:tcPr>
          <w:p>
            <w:r>
              <w:rPr>
                <w:b w:val="false"/>
                <w:bCs w:val="false"/>
                <w:color w:val="1c2028"/>
                <w:sz w:val="20"/>
                <w:szCs w:val="20"/>
              </w:rPr>
              <w:t xml:space="preserve">AXO12</w:t>
            </w:r>
          </w:p>
        </w:tc>
        <w:tc>
          <w:tcPr>
            <w:tcW w:type="dxa" w:w="2300"/>
            <w:tcMar>
              <w:top w:type="dxa" w:w="90"/>
              <w:left w:type="dxa" w:w="110"/>
              <w:bottom w:type="dxa" w:w="90"/>
              <w:right w:type="dxa" w:w="110"/>
            </w:tcMar>
          </w:tcPr>
          <w:p>
            <w:r>
              <w:rPr>
                <w:b w:val="false"/>
                <w:bCs w:val="false"/>
                <w:color w:val="1c2028"/>
                <w:sz w:val="20"/>
                <w:szCs w:val="20"/>
              </w:rPr>
              <w:t xml:space="preserve">82%</w:t>
            </w:r>
          </w:p>
        </w:tc>
        <w:tc>
          <w:tcPr>
            <w:tcW w:type="dxa" w:w="2100"/>
            <w:tcMar>
              <w:top w:type="dxa" w:w="90"/>
              <w:left w:type="dxa" w:w="110"/>
              <w:bottom w:type="dxa" w:w="90"/>
              <w:right w:type="dxa" w:w="110"/>
            </w:tcMar>
          </w:tcPr>
          <w:p>
            <w:r>
              <w:rPr>
                <w:b w:val="false"/>
                <w:bCs w:val="false"/>
                <w:color w:val="1c2028"/>
                <w:sz w:val="20"/>
                <w:szCs w:val="20"/>
              </w:rPr>
              <w:t xml:space="preserve">18%</w:t>
            </w:r>
          </w:p>
        </w:tc>
        <w:tc>
          <w:tcPr>
            <w:tcW w:type="dxa" w:w="3160"/>
            <w:tcMar>
              <w:top w:type="dxa" w:w="90"/>
              <w:left w:type="dxa" w:w="110"/>
              <w:bottom w:type="dxa" w:w="90"/>
              <w:right w:type="dxa" w:w="110"/>
            </w:tcMar>
          </w:tcPr>
          <w:p>
            <w:r>
              <w:rPr>
                <w:b w:val="false"/>
                <w:bCs w:val="false"/>
                <w:color w:val="1c2028"/>
                <w:sz w:val="20"/>
                <w:szCs w:val="20"/>
              </w:rPr>
              <w:t xml:space="preserve">Changeover and cleaning dominate</w:t>
            </w:r>
          </w:p>
        </w:tc>
      </w:tr>
      <w:tr>
        <w:tc>
          <w:tcPr>
            <w:tcW w:type="dxa" w:w="1800"/>
            <w:tcMar>
              <w:top w:type="dxa" w:w="90"/>
              <w:left w:type="dxa" w:w="110"/>
              <w:bottom w:type="dxa" w:w="90"/>
              <w:right w:type="dxa" w:w="110"/>
            </w:tcMar>
          </w:tcPr>
          <w:p>
            <w:r>
              <w:rPr>
                <w:b w:val="false"/>
                <w:bCs w:val="false"/>
                <w:color w:val="1c2028"/>
                <w:sz w:val="20"/>
                <w:szCs w:val="20"/>
              </w:rPr>
              <w:t xml:space="preserve">AXO11</w:t>
            </w:r>
          </w:p>
        </w:tc>
        <w:tc>
          <w:tcPr>
            <w:tcW w:type="dxa" w:w="2300"/>
            <w:tcMar>
              <w:top w:type="dxa" w:w="90"/>
              <w:left w:type="dxa" w:w="110"/>
              <w:bottom w:type="dxa" w:w="90"/>
              <w:right w:type="dxa" w:w="110"/>
            </w:tcMar>
          </w:tcPr>
          <w:p>
            <w:r>
              <w:rPr>
                <w:b w:val="false"/>
                <w:bCs w:val="false"/>
                <w:color w:val="1c2028"/>
                <w:sz w:val="20"/>
                <w:szCs w:val="20"/>
              </w:rPr>
              <w:t xml:space="preserve">78%</w:t>
            </w:r>
          </w:p>
        </w:tc>
        <w:tc>
          <w:tcPr>
            <w:tcW w:type="dxa" w:w="2100"/>
            <w:tcMar>
              <w:top w:type="dxa" w:w="90"/>
              <w:left w:type="dxa" w:w="110"/>
              <w:bottom w:type="dxa" w:w="90"/>
              <w:right w:type="dxa" w:w="110"/>
            </w:tcMar>
          </w:tcPr>
          <w:p>
            <w:r>
              <w:rPr>
                <w:b w:val="false"/>
                <w:bCs w:val="false"/>
                <w:color w:val="1c2028"/>
                <w:sz w:val="20"/>
                <w:szCs w:val="20"/>
              </w:rPr>
              <w:t xml:space="preserve">22%</w:t>
            </w:r>
          </w:p>
        </w:tc>
        <w:tc>
          <w:tcPr>
            <w:tcW w:type="dxa" w:w="3160"/>
            <w:tcMar>
              <w:top w:type="dxa" w:w="90"/>
              <w:left w:type="dxa" w:w="110"/>
              <w:bottom w:type="dxa" w:w="90"/>
              <w:right w:type="dxa" w:w="110"/>
            </w:tcMar>
          </w:tcPr>
          <w:p>
            <w:r>
              <w:rPr>
                <w:b w:val="false"/>
                <w:bCs w:val="false"/>
                <w:color w:val="1c2028"/>
                <w:sz w:val="20"/>
                <w:szCs w:val="20"/>
              </w:rPr>
              <w:t xml:space="preserve">Changeover and cleaning dominate</w:t>
            </w:r>
          </w:p>
        </w:tc>
      </w:tr>
      <w:tr>
        <w:tc>
          <w:tcPr>
            <w:tcW w:type="dxa" w:w="1800"/>
            <w:tcMar>
              <w:top w:type="dxa" w:w="90"/>
              <w:left w:type="dxa" w:w="110"/>
              <w:bottom w:type="dxa" w:w="90"/>
              <w:right w:type="dxa" w:w="110"/>
            </w:tcMar>
          </w:tcPr>
          <w:p>
            <w:r>
              <w:rPr>
                <w:b w:val="false"/>
                <w:bCs w:val="false"/>
                <w:color w:val="1c2028"/>
                <w:sz w:val="20"/>
                <w:szCs w:val="20"/>
              </w:rPr>
              <w:t xml:space="preserve">AXO10</w:t>
            </w:r>
          </w:p>
        </w:tc>
        <w:tc>
          <w:tcPr>
            <w:tcW w:type="dxa" w:w="2300"/>
            <w:tcMar>
              <w:top w:type="dxa" w:w="90"/>
              <w:left w:type="dxa" w:w="110"/>
              <w:bottom w:type="dxa" w:w="90"/>
              <w:right w:type="dxa" w:w="110"/>
            </w:tcMar>
          </w:tcPr>
          <w:p>
            <w:r>
              <w:rPr>
                <w:b w:val="false"/>
                <w:bCs w:val="false"/>
                <w:color w:val="1c2028"/>
                <w:sz w:val="20"/>
                <w:szCs w:val="20"/>
              </w:rPr>
              <w:t xml:space="preserve">77%</w:t>
            </w:r>
          </w:p>
        </w:tc>
        <w:tc>
          <w:tcPr>
            <w:tcW w:type="dxa" w:w="2100"/>
            <w:tcMar>
              <w:top w:type="dxa" w:w="90"/>
              <w:left w:type="dxa" w:w="110"/>
              <w:bottom w:type="dxa" w:w="90"/>
              <w:right w:type="dxa" w:w="110"/>
            </w:tcMar>
          </w:tcPr>
          <w:p>
            <w:r>
              <w:rPr>
                <w:b w:val="false"/>
                <w:bCs w:val="false"/>
                <w:color w:val="1c2028"/>
                <w:sz w:val="20"/>
                <w:szCs w:val="20"/>
              </w:rPr>
              <w:t xml:space="preserve">23%</w:t>
            </w:r>
          </w:p>
        </w:tc>
        <w:tc>
          <w:tcPr>
            <w:tcW w:type="dxa" w:w="3160"/>
            <w:tcMar>
              <w:top w:type="dxa" w:w="90"/>
              <w:left w:type="dxa" w:w="110"/>
              <w:bottom w:type="dxa" w:w="90"/>
              <w:right w:type="dxa" w:w="110"/>
            </w:tcMar>
          </w:tcPr>
          <w:p>
            <w:r>
              <w:rPr>
                <w:b w:val="false"/>
                <w:bCs w:val="false"/>
                <w:color w:val="1c2028"/>
                <w:sz w:val="20"/>
                <w:szCs w:val="20"/>
              </w:rPr>
              <w:t xml:space="preserve">Changeover and cleaning dominate</w:t>
            </w:r>
          </w:p>
        </w:tc>
      </w:tr>
      <w:tr>
        <w:tc>
          <w:tcPr>
            <w:tcW w:type="dxa" w:w="1800"/>
            <w:tcMar>
              <w:top w:type="dxa" w:w="90"/>
              <w:left w:type="dxa" w:w="110"/>
              <w:bottom w:type="dxa" w:w="90"/>
              <w:right w:type="dxa" w:w="110"/>
            </w:tcMar>
          </w:tcPr>
          <w:p>
            <w:r>
              <w:rPr>
                <w:b w:val="false"/>
                <w:bCs w:val="false"/>
                <w:color w:val="1c2028"/>
                <w:sz w:val="20"/>
                <w:szCs w:val="20"/>
              </w:rPr>
              <w:t xml:space="preserve">KM2</w:t>
            </w:r>
          </w:p>
        </w:tc>
        <w:tc>
          <w:tcPr>
            <w:tcW w:type="dxa" w:w="2300"/>
            <w:tcMar>
              <w:top w:type="dxa" w:w="90"/>
              <w:left w:type="dxa" w:w="110"/>
              <w:bottom w:type="dxa" w:w="90"/>
              <w:right w:type="dxa" w:w="110"/>
            </w:tcMar>
          </w:tcPr>
          <w:p>
            <w:r>
              <w:rPr>
                <w:b w:val="false"/>
                <w:bCs w:val="false"/>
                <w:color w:val="1c2028"/>
                <w:sz w:val="20"/>
                <w:szCs w:val="20"/>
              </w:rPr>
              <w:t xml:space="preserve">57%</w:t>
            </w:r>
          </w:p>
        </w:tc>
        <w:tc>
          <w:tcPr>
            <w:tcW w:type="dxa" w:w="2100"/>
            <w:tcMar>
              <w:top w:type="dxa" w:w="90"/>
              <w:left w:type="dxa" w:w="110"/>
              <w:bottom w:type="dxa" w:w="90"/>
              <w:right w:type="dxa" w:w="110"/>
            </w:tcMar>
          </w:tcPr>
          <w:p>
            <w:r>
              <w:rPr>
                <w:b w:val="false"/>
                <w:bCs w:val="false"/>
                <w:color w:val="1c2028"/>
                <w:sz w:val="20"/>
                <w:szCs w:val="20"/>
              </w:rPr>
              <w:t xml:space="preserve">43%</w:t>
            </w:r>
          </w:p>
        </w:tc>
        <w:tc>
          <w:tcPr>
            <w:tcW w:type="dxa" w:w="3160"/>
            <w:tcMar>
              <w:top w:type="dxa" w:w="90"/>
              <w:left w:type="dxa" w:w="110"/>
              <w:bottom w:type="dxa" w:w="90"/>
              <w:right w:type="dxa" w:w="110"/>
            </w:tcMar>
          </w:tcPr>
          <w:p>
            <w:r>
              <w:rPr>
                <w:b w:val="false"/>
                <w:bCs w:val="false"/>
                <w:color w:val="1c2028"/>
                <w:sz w:val="20"/>
                <w:szCs w:val="20"/>
              </w:rPr>
              <w:t xml:space="preserve">Mixed</w:t>
            </w:r>
          </w:p>
        </w:tc>
      </w:tr>
      <w:tr>
        <w:tc>
          <w:tcPr>
            <w:tcW w:type="dxa" w:w="1800"/>
            <w:tcMar>
              <w:top w:type="dxa" w:w="90"/>
              <w:left w:type="dxa" w:w="110"/>
              <w:bottom w:type="dxa" w:w="90"/>
              <w:right w:type="dxa" w:w="110"/>
            </w:tcMar>
          </w:tcPr>
          <w:p>
            <w:r>
              <w:rPr>
                <w:b w:val="false"/>
                <w:bCs w:val="false"/>
                <w:color w:val="1c2028"/>
                <w:sz w:val="20"/>
                <w:szCs w:val="20"/>
              </w:rPr>
              <w:t xml:space="preserve">KM1</w:t>
            </w:r>
          </w:p>
        </w:tc>
        <w:tc>
          <w:tcPr>
            <w:tcW w:type="dxa" w:w="2300"/>
            <w:tcMar>
              <w:top w:type="dxa" w:w="90"/>
              <w:left w:type="dxa" w:w="110"/>
              <w:bottom w:type="dxa" w:w="90"/>
              <w:right w:type="dxa" w:w="110"/>
            </w:tcMar>
          </w:tcPr>
          <w:p>
            <w:r>
              <w:rPr>
                <w:b w:val="false"/>
                <w:bCs w:val="false"/>
                <w:color w:val="1c2028"/>
                <w:sz w:val="20"/>
                <w:szCs w:val="20"/>
              </w:rPr>
              <w:t xml:space="preserve">41%</w:t>
            </w:r>
          </w:p>
        </w:tc>
        <w:tc>
          <w:tcPr>
            <w:tcW w:type="dxa" w:w="2100"/>
            <w:tcMar>
              <w:top w:type="dxa" w:w="90"/>
              <w:left w:type="dxa" w:w="110"/>
              <w:bottom w:type="dxa" w:w="90"/>
              <w:right w:type="dxa" w:w="110"/>
            </w:tcMar>
          </w:tcPr>
          <w:p>
            <w:r>
              <w:rPr>
                <w:b w:val="false"/>
                <w:bCs w:val="false"/>
                <w:color w:val="1c2028"/>
                <w:sz w:val="20"/>
                <w:szCs w:val="20"/>
              </w:rPr>
              <w:t xml:space="preserve">59%</w:t>
            </w:r>
          </w:p>
        </w:tc>
        <w:tc>
          <w:tcPr>
            <w:tcW w:type="dxa" w:w="3160"/>
            <w:tcMar>
              <w:top w:type="dxa" w:w="90"/>
              <w:left w:type="dxa" w:w="110"/>
              <w:bottom w:type="dxa" w:w="90"/>
              <w:right w:type="dxa" w:w="110"/>
            </w:tcMar>
          </w:tcPr>
          <w:p>
            <w:r>
              <w:rPr>
                <w:b w:val="false"/>
                <w:bCs w:val="false"/>
                <w:color w:val="1c2028"/>
                <w:sz w:val="20"/>
                <w:szCs w:val="20"/>
              </w:rPr>
              <w:t xml:space="preserve">The only line where faults outweigh organisation</w:t>
            </w:r>
          </w:p>
        </w:tc>
      </w:tr>
    </w:tbl>
    <w:p>
      <w:pPr>
        <w:spacing w:after="160"/>
      </w:pPr>
      <w:r>
        <w:rPr>
          <w:color w:val="1c2028"/>
        </w:rPr>
        <w:t xml:space="preserve"/>
      </w:r>
    </w:p>
    <w:p>
      <w:pPr>
        <w:spacing w:after="160"/>
      </w:pPr>
      <w:r>
        <w:rPr>
          <w:color w:val="1c2028"/>
        </w:rPr>
        <w:t xml:space="preserve">Breaking classified stoppage time down by reason (joined through the per-machine-group reason table; work records without a parent period excluded):</w:t>
      </w:r>
    </w:p>
    <w:tbl>
      <w:tblPr>
        <w:tblW w:type="dxa" w:w="9360"/>
        <w:tblBorders>
          <w:top w:val="single" w:color="e2ded5" w:sz="4"/>
          <w:left w:val="single" w:color="e2ded5" w:sz="4"/>
          <w:bottom w:val="single" w:color="e2ded5" w:sz="4"/>
          <w:right w:val="single" w:color="e2ded5" w:sz="4"/>
          <w:insideH w:val="single" w:color="e2ded5" w:sz="4"/>
          <w:insideV w:val="single" w:color="e2ded5" w:sz="4"/>
        </w:tblBorders>
      </w:tblPr>
      <w:tblGrid>
        <w:gridCol w:w="3160"/>
        <w:gridCol w:w="1300"/>
        <w:gridCol w:w="3300"/>
        <w:gridCol w:w="1600"/>
      </w:tblGrid>
      <w:tr>
        <w:trPr>
          <w:tblHeader/>
        </w:trPr>
        <w:tc>
          <w:tcPr>
            <w:tcW w:type="dxa" w:w="3160"/>
            <w:shd w:fill="2b2f38" w:val="clear"/>
            <w:tcMar>
              <w:top w:type="dxa" w:w="90"/>
              <w:left w:type="dxa" w:w="110"/>
              <w:bottom w:type="dxa" w:w="90"/>
              <w:right w:type="dxa" w:w="110"/>
            </w:tcMar>
          </w:tcPr>
          <w:p>
            <w:r>
              <w:rPr>
                <w:b/>
                <w:bCs/>
                <w:color w:val="ffffff"/>
                <w:sz w:val="19"/>
                <w:szCs w:val="19"/>
              </w:rPr>
              <w:t xml:space="preserve">Bottle lines (KM1, KM2)</w:t>
            </w:r>
          </w:p>
        </w:tc>
        <w:tc>
          <w:tcPr>
            <w:tcW w:type="dxa" w:w="1300"/>
            <w:shd w:fill="2b2f38" w:val="clear"/>
            <w:tcMar>
              <w:top w:type="dxa" w:w="90"/>
              <w:left w:type="dxa" w:w="110"/>
              <w:bottom w:type="dxa" w:w="90"/>
              <w:right w:type="dxa" w:w="110"/>
            </w:tcMar>
          </w:tcPr>
          <w:p>
            <w:r>
              <w:rPr>
                <w:b/>
                <w:bCs/>
                <w:color w:val="ffffff"/>
                <w:sz w:val="19"/>
                <w:szCs w:val="19"/>
              </w:rPr>
              <w:t xml:space="preserve">Hours</w:t>
            </w:r>
          </w:p>
        </w:tc>
        <w:tc>
          <w:tcPr>
            <w:tcW w:type="dxa" w:w="3300"/>
            <w:shd w:fill="2b2f38" w:val="clear"/>
            <w:tcMar>
              <w:top w:type="dxa" w:w="90"/>
              <w:left w:type="dxa" w:w="110"/>
              <w:bottom w:type="dxa" w:w="90"/>
              <w:right w:type="dxa" w:w="110"/>
            </w:tcMar>
          </w:tcPr>
          <w:p>
            <w:r>
              <w:rPr>
                <w:b/>
                <w:bCs/>
                <w:color w:val="ffffff"/>
                <w:sz w:val="19"/>
                <w:szCs w:val="19"/>
              </w:rPr>
              <w:t xml:space="preserve">Tube lines (AXO10 to 12)</w:t>
            </w:r>
          </w:p>
        </w:tc>
        <w:tc>
          <w:tcPr>
            <w:tcW w:type="dxa" w:w="1600"/>
            <w:shd w:fill="2b2f38" w:val="clear"/>
            <w:tcMar>
              <w:top w:type="dxa" w:w="90"/>
              <w:left w:type="dxa" w:w="110"/>
              <w:bottom w:type="dxa" w:w="90"/>
              <w:right w:type="dxa" w:w="110"/>
            </w:tcMar>
          </w:tcPr>
          <w:p>
            <w:r>
              <w:rPr>
                <w:b/>
                <w:bCs/>
                <w:color w:val="ffffff"/>
                <w:sz w:val="19"/>
                <w:szCs w:val="19"/>
              </w:rPr>
              <w:t xml:space="preserve">Hours</w:t>
            </w:r>
          </w:p>
        </w:tc>
      </w:tr>
      <w:tr>
        <w:tc>
          <w:tcPr>
            <w:tcW w:type="dxa" w:w="3160"/>
            <w:tcMar>
              <w:top w:type="dxa" w:w="90"/>
              <w:left w:type="dxa" w:w="110"/>
              <w:bottom w:type="dxa" w:w="90"/>
              <w:right w:type="dxa" w:w="110"/>
            </w:tcMar>
          </w:tcPr>
          <w:p>
            <w:r>
              <w:rPr>
                <w:b w:val="false"/>
                <w:bCs w:val="false"/>
                <w:color w:val="1c2028"/>
                <w:sz w:val="20"/>
                <w:szCs w:val="20"/>
              </w:rPr>
              <w:t xml:space="preserve">Setup / cleaning (Rüsten/Reinigen)</w:t>
            </w:r>
          </w:p>
        </w:tc>
        <w:tc>
          <w:tcPr>
            <w:tcW w:type="dxa" w:w="1300"/>
            <w:tcMar>
              <w:top w:type="dxa" w:w="90"/>
              <w:left w:type="dxa" w:w="110"/>
              <w:bottom w:type="dxa" w:w="90"/>
              <w:right w:type="dxa" w:w="110"/>
            </w:tcMar>
          </w:tcPr>
          <w:p>
            <w:r>
              <w:rPr>
                <w:b w:val="false"/>
                <w:bCs w:val="false"/>
                <w:color w:val="1c2028"/>
                <w:sz w:val="20"/>
                <w:szCs w:val="20"/>
              </w:rPr>
              <w:t xml:space="preserve">1,940</w:t>
            </w:r>
          </w:p>
        </w:tc>
        <w:tc>
          <w:tcPr>
            <w:tcW w:type="dxa" w:w="3300"/>
            <w:tcMar>
              <w:top w:type="dxa" w:w="90"/>
              <w:left w:type="dxa" w:w="110"/>
              <w:bottom w:type="dxa" w:w="90"/>
              <w:right w:type="dxa" w:w="110"/>
            </w:tcMar>
          </w:tcPr>
          <w:p>
            <w:r>
              <w:rPr>
                <w:b w:val="false"/>
                <w:bCs w:val="false"/>
                <w:color w:val="1c2028"/>
                <w:sz w:val="20"/>
                <w:szCs w:val="20"/>
              </w:rPr>
              <w:t xml:space="preserve">Setup / cleaning (Rüsten/Reinigen)</w:t>
            </w:r>
          </w:p>
        </w:tc>
        <w:tc>
          <w:tcPr>
            <w:tcW w:type="dxa" w:w="1600"/>
            <w:tcMar>
              <w:top w:type="dxa" w:w="90"/>
              <w:left w:type="dxa" w:w="110"/>
              <w:bottom w:type="dxa" w:w="90"/>
              <w:right w:type="dxa" w:w="110"/>
            </w:tcMar>
          </w:tcPr>
          <w:p>
            <w:r>
              <w:rPr>
                <w:b w:val="false"/>
                <w:bCs w:val="false"/>
                <w:color w:val="1c2028"/>
                <w:sz w:val="20"/>
                <w:szCs w:val="20"/>
              </w:rPr>
              <w:t xml:space="preserve">1,102</w:t>
            </w:r>
          </w:p>
        </w:tc>
      </w:tr>
      <w:tr>
        <w:tc>
          <w:tcPr>
            <w:tcW w:type="dxa" w:w="3160"/>
            <w:tcMar>
              <w:top w:type="dxa" w:w="90"/>
              <w:left w:type="dxa" w:w="110"/>
              <w:bottom w:type="dxa" w:w="90"/>
              <w:right w:type="dxa" w:w="110"/>
            </w:tcMar>
          </w:tcPr>
          <w:p>
            <w:r>
              <w:rPr>
                <w:b w:val="false"/>
                <w:bCs w:val="false"/>
                <w:color w:val="1c2028"/>
                <w:sz w:val="20"/>
                <w:szCs w:val="20"/>
              </w:rPr>
              <w:t xml:space="preserve">Breaks</w:t>
            </w:r>
          </w:p>
        </w:tc>
        <w:tc>
          <w:tcPr>
            <w:tcW w:type="dxa" w:w="1300"/>
            <w:tcMar>
              <w:top w:type="dxa" w:w="90"/>
              <w:left w:type="dxa" w:w="110"/>
              <w:bottom w:type="dxa" w:w="90"/>
              <w:right w:type="dxa" w:w="110"/>
            </w:tcMar>
          </w:tcPr>
          <w:p>
            <w:r>
              <w:rPr>
                <w:b w:val="false"/>
                <w:bCs w:val="false"/>
                <w:color w:val="1c2028"/>
                <w:sz w:val="20"/>
                <w:szCs w:val="20"/>
              </w:rPr>
              <w:t xml:space="preserve">982</w:t>
            </w:r>
          </w:p>
        </w:tc>
        <w:tc>
          <w:tcPr>
            <w:tcW w:type="dxa" w:w="3300"/>
            <w:tcMar>
              <w:top w:type="dxa" w:w="90"/>
              <w:left w:type="dxa" w:w="110"/>
              <w:bottom w:type="dxa" w:w="90"/>
              <w:right w:type="dxa" w:w="110"/>
            </w:tcMar>
          </w:tcPr>
          <w:p>
            <w:r>
              <w:rPr>
                <w:b w:val="false"/>
                <w:bCs w:val="false"/>
                <w:color w:val="1c2028"/>
                <w:sz w:val="20"/>
                <w:szCs w:val="20"/>
              </w:rPr>
              <w:t xml:space="preserve">Breaks</w:t>
            </w:r>
          </w:p>
        </w:tc>
        <w:tc>
          <w:tcPr>
            <w:tcW w:type="dxa" w:w="1600"/>
            <w:tcMar>
              <w:top w:type="dxa" w:w="90"/>
              <w:left w:type="dxa" w:w="110"/>
              <w:bottom w:type="dxa" w:w="90"/>
              <w:right w:type="dxa" w:w="110"/>
            </w:tcMar>
          </w:tcPr>
          <w:p>
            <w:r>
              <w:rPr>
                <w:b w:val="false"/>
                <w:bCs w:val="false"/>
                <w:color w:val="1c2028"/>
                <w:sz w:val="20"/>
                <w:szCs w:val="20"/>
              </w:rPr>
              <w:t xml:space="preserve">762</w:t>
            </w:r>
          </w:p>
        </w:tc>
      </w:tr>
      <w:tr>
        <w:tc>
          <w:tcPr>
            <w:tcW w:type="dxa" w:w="3160"/>
            <w:tcMar>
              <w:top w:type="dxa" w:w="90"/>
              <w:left w:type="dxa" w:w="110"/>
              <w:bottom w:type="dxa" w:w="90"/>
              <w:right w:type="dxa" w:w="110"/>
            </w:tcMar>
          </w:tcPr>
          <w:p>
            <w:r>
              <w:rPr>
                <w:b w:val="false"/>
                <w:bCs w:val="false"/>
                <w:color w:val="1c2028"/>
                <w:sz w:val="20"/>
                <w:szCs w:val="20"/>
              </w:rPr>
              <w:t xml:space="preserve">Cleaning</w:t>
            </w:r>
          </w:p>
        </w:tc>
        <w:tc>
          <w:tcPr>
            <w:tcW w:type="dxa" w:w="1300"/>
            <w:tcMar>
              <w:top w:type="dxa" w:w="90"/>
              <w:left w:type="dxa" w:w="110"/>
              <w:bottom w:type="dxa" w:w="90"/>
              <w:right w:type="dxa" w:w="110"/>
            </w:tcMar>
          </w:tcPr>
          <w:p>
            <w:r>
              <w:rPr>
                <w:b w:val="false"/>
                <w:bCs w:val="false"/>
                <w:color w:val="1c2028"/>
                <w:sz w:val="20"/>
                <w:szCs w:val="20"/>
              </w:rPr>
              <w:t xml:space="preserve">685</w:t>
            </w:r>
          </w:p>
        </w:tc>
        <w:tc>
          <w:tcPr>
            <w:tcW w:type="dxa" w:w="3300"/>
            <w:tcMar>
              <w:top w:type="dxa" w:w="90"/>
              <w:left w:type="dxa" w:w="110"/>
              <w:bottom w:type="dxa" w:w="90"/>
              <w:right w:type="dxa" w:w="110"/>
            </w:tcMar>
          </w:tcPr>
          <w:p>
            <w:r>
              <w:rPr>
                <w:b w:val="false"/>
                <w:bCs w:val="false"/>
                <w:color w:val="1c2028"/>
                <w:sz w:val="20"/>
                <w:szCs w:val="20"/>
              </w:rPr>
              <w:t xml:space="preserve">Cleaning</w:t>
            </w:r>
          </w:p>
        </w:tc>
        <w:tc>
          <w:tcPr>
            <w:tcW w:type="dxa" w:w="1600"/>
            <w:tcMar>
              <w:top w:type="dxa" w:w="90"/>
              <w:left w:type="dxa" w:w="110"/>
              <w:bottom w:type="dxa" w:w="90"/>
              <w:right w:type="dxa" w:w="110"/>
            </w:tcMar>
          </w:tcPr>
          <w:p>
            <w:r>
              <w:rPr>
                <w:b w:val="false"/>
                <w:bCs w:val="false"/>
                <w:color w:val="1c2028"/>
                <w:sz w:val="20"/>
                <w:szCs w:val="20"/>
              </w:rPr>
              <w:t xml:space="preserve">481</w:t>
            </w:r>
          </w:p>
        </w:tc>
      </w:tr>
      <w:tr>
        <w:tc>
          <w:tcPr>
            <w:tcW w:type="dxa" w:w="3160"/>
            <w:tcMar>
              <w:top w:type="dxa" w:w="90"/>
              <w:left w:type="dxa" w:w="110"/>
              <w:bottom w:type="dxa" w:w="90"/>
              <w:right w:type="dxa" w:w="110"/>
            </w:tcMar>
          </w:tcPr>
          <w:p>
            <w:r>
              <w:rPr>
                <w:b w:val="false"/>
                <w:bCs w:val="false"/>
                <w:color w:val="1c2028"/>
                <w:sz w:val="20"/>
                <w:szCs w:val="20"/>
              </w:rPr>
              <w:t xml:space="preserve">Labeller fault</w:t>
            </w:r>
          </w:p>
        </w:tc>
        <w:tc>
          <w:tcPr>
            <w:tcW w:type="dxa" w:w="1300"/>
            <w:tcMar>
              <w:top w:type="dxa" w:w="90"/>
              <w:left w:type="dxa" w:w="110"/>
              <w:bottom w:type="dxa" w:w="90"/>
              <w:right w:type="dxa" w:w="110"/>
            </w:tcMar>
          </w:tcPr>
          <w:p>
            <w:r>
              <w:rPr>
                <w:b w:val="false"/>
                <w:bCs w:val="false"/>
                <w:color w:val="1c2028"/>
                <w:sz w:val="20"/>
                <w:szCs w:val="20"/>
              </w:rPr>
              <w:t xml:space="preserve">438</w:t>
            </w:r>
          </w:p>
        </w:tc>
        <w:tc>
          <w:tcPr>
            <w:tcW w:type="dxa" w:w="3300"/>
            <w:tcMar>
              <w:top w:type="dxa" w:w="90"/>
              <w:left w:type="dxa" w:w="110"/>
              <w:bottom w:type="dxa" w:w="90"/>
              <w:right w:type="dxa" w:w="110"/>
            </w:tcMar>
          </w:tcPr>
          <w:p>
            <w:r>
              <w:rPr>
                <w:b w:val="false"/>
                <w:bCs w:val="false"/>
                <w:color w:val="1c2028"/>
                <w:sz w:val="20"/>
                <w:szCs w:val="20"/>
              </w:rPr>
              <w:t xml:space="preserve">Disinfection</w:t>
            </w:r>
          </w:p>
        </w:tc>
        <w:tc>
          <w:tcPr>
            <w:tcW w:type="dxa" w:w="1600"/>
            <w:tcMar>
              <w:top w:type="dxa" w:w="90"/>
              <w:left w:type="dxa" w:w="110"/>
              <w:bottom w:type="dxa" w:w="90"/>
              <w:right w:type="dxa" w:w="110"/>
            </w:tcMar>
          </w:tcPr>
          <w:p>
            <w:r>
              <w:rPr>
                <w:b w:val="false"/>
                <w:bCs w:val="false"/>
                <w:color w:val="1c2028"/>
                <w:sz w:val="20"/>
                <w:szCs w:val="20"/>
              </w:rPr>
              <w:t xml:space="preserve">344</w:t>
            </w:r>
          </w:p>
        </w:tc>
      </w:tr>
      <w:tr>
        <w:tc>
          <w:tcPr>
            <w:tcW w:type="dxa" w:w="3160"/>
            <w:tcMar>
              <w:top w:type="dxa" w:w="90"/>
              <w:left w:type="dxa" w:w="110"/>
              <w:bottom w:type="dxa" w:w="90"/>
              <w:right w:type="dxa" w:w="110"/>
            </w:tcMar>
          </w:tcPr>
          <w:p>
            <w:r>
              <w:rPr>
                <w:b w:val="false"/>
                <w:bCs w:val="false"/>
                <w:color w:val="1c2028"/>
                <w:sz w:val="20"/>
                <w:szCs w:val="20"/>
              </w:rPr>
              <w:t xml:space="preserve">Disinfection</w:t>
            </w:r>
          </w:p>
        </w:tc>
        <w:tc>
          <w:tcPr>
            <w:tcW w:type="dxa" w:w="1300"/>
            <w:tcMar>
              <w:top w:type="dxa" w:w="90"/>
              <w:left w:type="dxa" w:w="110"/>
              <w:bottom w:type="dxa" w:w="90"/>
              <w:right w:type="dxa" w:w="110"/>
            </w:tcMar>
          </w:tcPr>
          <w:p>
            <w:r>
              <w:rPr>
                <w:b w:val="false"/>
                <w:bCs w:val="false"/>
                <w:color w:val="1c2028"/>
                <w:sz w:val="20"/>
                <w:szCs w:val="20"/>
              </w:rPr>
              <w:t xml:space="preserve">262</w:t>
            </w:r>
          </w:p>
        </w:tc>
        <w:tc>
          <w:tcPr>
            <w:tcW w:type="dxa" w:w="3300"/>
            <w:tcMar>
              <w:top w:type="dxa" w:w="90"/>
              <w:left w:type="dxa" w:w="110"/>
              <w:bottom w:type="dxa" w:w="90"/>
              <w:right w:type="dxa" w:w="110"/>
            </w:tcMar>
          </w:tcPr>
          <w:p>
            <w:r>
              <w:rPr>
                <w:b w:val="false"/>
                <w:bCs w:val="false"/>
                <w:color w:val="1c2028"/>
                <w:sz w:val="20"/>
                <w:szCs w:val="20"/>
              </w:rPr>
              <w:t xml:space="preserve">Tube-machine fault</w:t>
            </w:r>
          </w:p>
        </w:tc>
        <w:tc>
          <w:tcPr>
            <w:tcW w:type="dxa" w:w="1600"/>
            <w:tcMar>
              <w:top w:type="dxa" w:w="90"/>
              <w:left w:type="dxa" w:w="110"/>
              <w:bottom w:type="dxa" w:w="90"/>
              <w:right w:type="dxa" w:w="110"/>
            </w:tcMar>
          </w:tcPr>
          <w:p>
            <w:r>
              <w:rPr>
                <w:b w:val="false"/>
                <w:bCs w:val="false"/>
                <w:color w:val="1c2028"/>
                <w:sz w:val="20"/>
                <w:szCs w:val="20"/>
              </w:rPr>
              <w:t xml:space="preserve">268</w:t>
            </w:r>
          </w:p>
        </w:tc>
      </w:tr>
      <w:tr>
        <w:tc>
          <w:tcPr>
            <w:tcW w:type="dxa" w:w="3160"/>
            <w:tcMar>
              <w:top w:type="dxa" w:w="90"/>
              <w:left w:type="dxa" w:w="110"/>
              <w:bottom w:type="dxa" w:w="90"/>
              <w:right w:type="dxa" w:w="110"/>
            </w:tcMar>
          </w:tcPr>
          <w:p>
            <w:r>
              <w:rPr>
                <w:b w:val="false"/>
                <w:bCs w:val="false"/>
                <w:color w:val="1c2028"/>
                <w:sz w:val="20"/>
                <w:szCs w:val="20"/>
              </w:rPr>
              <w:t xml:space="preserve">Carton folder fault</w:t>
            </w:r>
          </w:p>
        </w:tc>
        <w:tc>
          <w:tcPr>
            <w:tcW w:type="dxa" w:w="1300"/>
            <w:tcMar>
              <w:top w:type="dxa" w:w="90"/>
              <w:left w:type="dxa" w:w="110"/>
              <w:bottom w:type="dxa" w:w="90"/>
              <w:right w:type="dxa" w:w="110"/>
            </w:tcMar>
          </w:tcPr>
          <w:p>
            <w:r>
              <w:rPr>
                <w:b w:val="false"/>
                <w:bCs w:val="false"/>
                <w:color w:val="1c2028"/>
                <w:sz w:val="20"/>
                <w:szCs w:val="20"/>
              </w:rPr>
              <w:t xml:space="preserve">197</w:t>
            </w:r>
          </w:p>
        </w:tc>
        <w:tc>
          <w:tcPr>
            <w:tcW w:type="dxa" w:w="3300"/>
            <w:tcMar>
              <w:top w:type="dxa" w:w="90"/>
              <w:left w:type="dxa" w:w="110"/>
              <w:bottom w:type="dxa" w:w="90"/>
              <w:right w:type="dxa" w:w="110"/>
            </w:tcMar>
          </w:tcPr>
          <w:p>
            <w:r>
              <w:rPr>
                <w:b w:val="false"/>
                <w:bCs w:val="false"/>
                <w:color w:val="1c2028"/>
                <w:sz w:val="20"/>
                <w:szCs w:val="20"/>
              </w:rPr>
              <w:t xml:space="preserve">Bulk material change</w:t>
            </w:r>
          </w:p>
        </w:tc>
        <w:tc>
          <w:tcPr>
            <w:tcW w:type="dxa" w:w="1600"/>
            <w:tcMar>
              <w:top w:type="dxa" w:w="90"/>
              <w:left w:type="dxa" w:w="110"/>
              <w:bottom w:type="dxa" w:w="90"/>
              <w:right w:type="dxa" w:w="110"/>
            </w:tcMar>
          </w:tcPr>
          <w:p>
            <w:r>
              <w:rPr>
                <w:b w:val="false"/>
                <w:bCs w:val="false"/>
                <w:color w:val="1c2028"/>
                <w:sz w:val="20"/>
                <w:szCs w:val="20"/>
              </w:rPr>
              <w:t xml:space="preserve">109</w:t>
            </w:r>
          </w:p>
        </w:tc>
      </w:tr>
    </w:tbl>
    <w:p>
      <w:pPr>
        <w:spacing w:after="160"/>
      </w:pPr>
      <w:r>
        <w:rPr>
          <w:color w:val="1c2028"/>
        </w:rPr>
        <w:t xml:space="preserve"/>
      </w:r>
    </w:p>
    <w:p>
      <w:pPr>
        <w:spacing w:after="160"/>
      </w:pPr>
      <w:r>
        <w:rPr>
          <w:color w:val="1c2028"/>
        </w:rPr>
        <w:t xml:space="preserve">A separate "RUHE" (line at rest) code accounts for a further 1,213 h on the bottle lines and 4,222 h on the tube lines. That is unplanned-looking idle time with no production scheduled, and it deserves its own conversation about scheduling rather than being counted as a fault.</w:t>
      </w:r>
    </w:p>
    <w:p>
      <w:pPr>
        <w:spacing w:after="160"/>
      </w:pPr>
      <w:r>
        <w:rPr>
          <w:b/>
          <w:bCs/>
          <w:color w:val="1c2028"/>
        </w:rPr>
        <w:t xml:space="preserve">What it means. </w:t>
      </w:r>
      <w:r>
        <w:rPr>
          <w:color w:val="1c2028"/>
        </w:rPr>
        <w:t xml:space="preserve">On the tube lines, four in five lost minutes can be addressed with process discipline: SMED-style changeover work, cleaning standards and material staging. KM1 is the exception, where the labeller and carton folder are the recurring technical culprits, so maintenance focus belongs there.</w:t>
      </w:r>
    </w:p>
    <w:p>
      <w:pPr>
        <w:pStyle w:val="Heading1"/>
        <w:spacing w:after="200" w:before="400"/>
      </w:pPr>
      <w:r>
        <w:rPr>
          <w:b/>
          <w:bCs/>
          <w:color w:val="1c2028"/>
        </w:rPr>
        <w:t xml:space="preserve">Finding 4. Can the plant trust its own records?</w:t>
      </w:r>
    </w:p>
    <w:p>
      <w:pPr>
        <w:spacing w:after="160"/>
      </w:pPr>
      <w:r>
        <w:rPr>
          <w:color w:val="1c2028"/>
        </w:rPr>
        <w:t xml:space="preserve">The brief said explicitly: don't just declare one system correct, find where and how they differ.</w:t>
      </w:r>
    </w:p>
    <w:p>
      <w:pPr>
        <w:spacing w:after="160"/>
      </w:pPr>
      <w:r>
        <w:rPr>
          <w:b/>
          <w:bCs/>
          <w:color w:val="1c2028"/>
        </w:rPr>
        <w:t xml:space="preserve">Per order. </w:t>
      </w:r>
      <w:r>
        <w:rPr>
          <w:color w:val="1c2028"/>
        </w:rPr>
        <w:t xml:space="preserve">263 orders appear in both MES and the Excel log with a usable order number.</w:t>
      </w:r>
    </w:p>
    <w:tbl>
      <w:tblPr>
        <w:tblW w:type="dxa" w:w="9360"/>
        <w:tblBorders>
          <w:top w:val="single" w:color="e2ded5" w:sz="4"/>
          <w:left w:val="single" w:color="e2ded5" w:sz="4"/>
          <w:bottom w:val="single" w:color="e2ded5" w:sz="4"/>
          <w:right w:val="single" w:color="e2ded5" w:sz="4"/>
          <w:insideH w:val="single" w:color="e2ded5" w:sz="4"/>
          <w:insideV w:val="single" w:color="e2ded5" w:sz="4"/>
        </w:tblBorders>
      </w:tblPr>
      <w:tblGrid>
        <w:gridCol w:w="4500"/>
        <w:gridCol w:w="2430"/>
        <w:gridCol w:w="2430"/>
      </w:tblGrid>
      <w:tr>
        <w:trPr>
          <w:tblHeader/>
        </w:trPr>
        <w:tc>
          <w:tcPr>
            <w:tcW w:type="dxa" w:w="4500"/>
            <w:shd w:fill="2b2f38" w:val="clear"/>
            <w:tcMar>
              <w:top w:type="dxa" w:w="90"/>
              <w:left w:type="dxa" w:w="110"/>
              <w:bottom w:type="dxa" w:w="90"/>
              <w:right w:type="dxa" w:w="110"/>
            </w:tcMar>
          </w:tcPr>
          <w:p>
            <w:r>
              <w:rPr>
                <w:b/>
                <w:bCs/>
                <w:color w:val="ffffff"/>
                <w:sz w:val="19"/>
                <w:szCs w:val="19"/>
              </w:rPr>
              <w:t xml:space="preserve">Quantity gap between MES and Excel</w:t>
            </w:r>
          </w:p>
        </w:tc>
        <w:tc>
          <w:tcPr>
            <w:tcW w:type="dxa" w:w="2430"/>
            <w:shd w:fill="2b2f38" w:val="clear"/>
            <w:tcMar>
              <w:top w:type="dxa" w:w="90"/>
              <w:left w:type="dxa" w:w="110"/>
              <w:bottom w:type="dxa" w:w="90"/>
              <w:right w:type="dxa" w:w="110"/>
            </w:tcMar>
          </w:tcPr>
          <w:p>
            <w:r>
              <w:rPr>
                <w:b/>
                <w:bCs/>
                <w:color w:val="ffffff"/>
                <w:sz w:val="19"/>
                <w:szCs w:val="19"/>
              </w:rPr>
              <w:t xml:space="preserve">Orders</w:t>
            </w:r>
          </w:p>
        </w:tc>
        <w:tc>
          <w:tcPr>
            <w:tcW w:type="dxa" w:w="2430"/>
            <w:shd w:fill="2b2f38" w:val="clear"/>
            <w:tcMar>
              <w:top w:type="dxa" w:w="90"/>
              <w:left w:type="dxa" w:w="110"/>
              <w:bottom w:type="dxa" w:w="90"/>
              <w:right w:type="dxa" w:w="110"/>
            </w:tcMar>
          </w:tcPr>
          <w:p>
            <w:r>
              <w:rPr>
                <w:b/>
                <w:bCs/>
                <w:color w:val="ffffff"/>
                <w:sz w:val="19"/>
                <w:szCs w:val="19"/>
              </w:rPr>
              <w:t xml:space="preserve">Share</w:t>
            </w:r>
          </w:p>
        </w:tc>
      </w:tr>
      <w:tr>
        <w:tc>
          <w:tcPr>
            <w:tcW w:type="dxa" w:w="4500"/>
            <w:tcMar>
              <w:top w:type="dxa" w:w="90"/>
              <w:left w:type="dxa" w:w="110"/>
              <w:bottom w:type="dxa" w:w="90"/>
              <w:right w:type="dxa" w:w="110"/>
            </w:tcMar>
          </w:tcPr>
          <w:p>
            <w:r>
              <w:rPr>
                <w:b w:val="false"/>
                <w:bCs w:val="false"/>
                <w:color w:val="1c2028"/>
                <w:sz w:val="20"/>
                <w:szCs w:val="20"/>
              </w:rPr>
              <w:t xml:space="preserve">0 to 5%</w:t>
            </w:r>
          </w:p>
        </w:tc>
        <w:tc>
          <w:tcPr>
            <w:tcW w:type="dxa" w:w="2430"/>
            <w:tcMar>
              <w:top w:type="dxa" w:w="90"/>
              <w:left w:type="dxa" w:w="110"/>
              <w:bottom w:type="dxa" w:w="90"/>
              <w:right w:type="dxa" w:w="110"/>
            </w:tcMar>
          </w:tcPr>
          <w:p>
            <w:r>
              <w:rPr>
                <w:b w:val="false"/>
                <w:bCs w:val="false"/>
                <w:color w:val="1c2028"/>
                <w:sz w:val="20"/>
                <w:szCs w:val="20"/>
              </w:rPr>
              <w:t xml:space="preserve">228</w:t>
            </w:r>
          </w:p>
        </w:tc>
        <w:tc>
          <w:tcPr>
            <w:tcW w:type="dxa" w:w="2430"/>
            <w:tcMar>
              <w:top w:type="dxa" w:w="90"/>
              <w:left w:type="dxa" w:w="110"/>
              <w:bottom w:type="dxa" w:w="90"/>
              <w:right w:type="dxa" w:w="110"/>
            </w:tcMar>
          </w:tcPr>
          <w:p>
            <w:r>
              <w:rPr>
                <w:b w:val="false"/>
                <w:bCs w:val="false"/>
                <w:color w:val="1c2028"/>
                <w:sz w:val="20"/>
                <w:szCs w:val="20"/>
              </w:rPr>
              <w:t xml:space="preserve">87%</w:t>
            </w:r>
          </w:p>
        </w:tc>
      </w:tr>
      <w:tr>
        <w:tc>
          <w:tcPr>
            <w:tcW w:type="dxa" w:w="4500"/>
            <w:tcMar>
              <w:top w:type="dxa" w:w="90"/>
              <w:left w:type="dxa" w:w="110"/>
              <w:bottom w:type="dxa" w:w="90"/>
              <w:right w:type="dxa" w:w="110"/>
            </w:tcMar>
          </w:tcPr>
          <w:p>
            <w:r>
              <w:rPr>
                <w:b w:val="false"/>
                <w:bCs w:val="false"/>
                <w:color w:val="1c2028"/>
                <w:sz w:val="20"/>
                <w:szCs w:val="20"/>
              </w:rPr>
              <w:t xml:space="preserve">5 to 10%</w:t>
            </w:r>
          </w:p>
        </w:tc>
        <w:tc>
          <w:tcPr>
            <w:tcW w:type="dxa" w:w="2430"/>
            <w:tcMar>
              <w:top w:type="dxa" w:w="90"/>
              <w:left w:type="dxa" w:w="110"/>
              <w:bottom w:type="dxa" w:w="90"/>
              <w:right w:type="dxa" w:w="110"/>
            </w:tcMar>
          </w:tcPr>
          <w:p>
            <w:r>
              <w:rPr>
                <w:b w:val="false"/>
                <w:bCs w:val="false"/>
                <w:color w:val="1c2028"/>
                <w:sz w:val="20"/>
                <w:szCs w:val="20"/>
              </w:rPr>
              <w:t xml:space="preserve">9</w:t>
            </w:r>
          </w:p>
        </w:tc>
        <w:tc>
          <w:tcPr>
            <w:tcW w:type="dxa" w:w="2430"/>
            <w:tcMar>
              <w:top w:type="dxa" w:w="90"/>
              <w:left w:type="dxa" w:w="110"/>
              <w:bottom w:type="dxa" w:w="90"/>
              <w:right w:type="dxa" w:w="110"/>
            </w:tcMar>
          </w:tcPr>
          <w:p>
            <w:r>
              <w:rPr>
                <w:b w:val="false"/>
                <w:bCs w:val="false"/>
                <w:color w:val="1c2028"/>
                <w:sz w:val="20"/>
                <w:szCs w:val="20"/>
              </w:rPr>
              <w:t xml:space="preserve">3%</w:t>
            </w:r>
          </w:p>
        </w:tc>
      </w:tr>
      <w:tr>
        <w:tc>
          <w:tcPr>
            <w:tcW w:type="dxa" w:w="4500"/>
            <w:tcMar>
              <w:top w:type="dxa" w:w="90"/>
              <w:left w:type="dxa" w:w="110"/>
              <w:bottom w:type="dxa" w:w="90"/>
              <w:right w:type="dxa" w:w="110"/>
            </w:tcMar>
          </w:tcPr>
          <w:p>
            <w:r>
              <w:rPr>
                <w:b w:val="false"/>
                <w:bCs w:val="false"/>
                <w:color w:val="1c2028"/>
                <w:sz w:val="20"/>
                <w:szCs w:val="20"/>
              </w:rPr>
              <w:t xml:space="preserve">10 to 50%</w:t>
            </w:r>
          </w:p>
        </w:tc>
        <w:tc>
          <w:tcPr>
            <w:tcW w:type="dxa" w:w="2430"/>
            <w:tcMar>
              <w:top w:type="dxa" w:w="90"/>
              <w:left w:type="dxa" w:w="110"/>
              <w:bottom w:type="dxa" w:w="90"/>
              <w:right w:type="dxa" w:w="110"/>
            </w:tcMar>
          </w:tcPr>
          <w:p>
            <w:r>
              <w:rPr>
                <w:b w:val="false"/>
                <w:bCs w:val="false"/>
                <w:color w:val="1c2028"/>
                <w:sz w:val="20"/>
                <w:szCs w:val="20"/>
              </w:rPr>
              <w:t xml:space="preserve">16</w:t>
            </w:r>
          </w:p>
        </w:tc>
        <w:tc>
          <w:tcPr>
            <w:tcW w:type="dxa" w:w="2430"/>
            <w:tcMar>
              <w:top w:type="dxa" w:w="90"/>
              <w:left w:type="dxa" w:w="110"/>
              <w:bottom w:type="dxa" w:w="90"/>
              <w:right w:type="dxa" w:w="110"/>
            </w:tcMar>
          </w:tcPr>
          <w:p>
            <w:r>
              <w:rPr>
                <w:b w:val="false"/>
                <w:bCs w:val="false"/>
                <w:color w:val="1c2028"/>
                <w:sz w:val="20"/>
                <w:szCs w:val="20"/>
              </w:rPr>
              <w:t xml:space="preserve">6%</w:t>
            </w:r>
          </w:p>
        </w:tc>
      </w:tr>
      <w:tr>
        <w:tc>
          <w:tcPr>
            <w:tcW w:type="dxa" w:w="4500"/>
            <w:tcMar>
              <w:top w:type="dxa" w:w="90"/>
              <w:left w:type="dxa" w:w="110"/>
              <w:bottom w:type="dxa" w:w="90"/>
              <w:right w:type="dxa" w:w="110"/>
            </w:tcMar>
          </w:tcPr>
          <w:p>
            <w:r>
              <w:rPr>
                <w:b w:val="false"/>
                <w:bCs w:val="false"/>
                <w:color w:val="1c2028"/>
                <w:sz w:val="20"/>
                <w:szCs w:val="20"/>
              </w:rPr>
              <w:t xml:space="preserve">over 50%</w:t>
            </w:r>
          </w:p>
        </w:tc>
        <w:tc>
          <w:tcPr>
            <w:tcW w:type="dxa" w:w="2430"/>
            <w:tcMar>
              <w:top w:type="dxa" w:w="90"/>
              <w:left w:type="dxa" w:w="110"/>
              <w:bottom w:type="dxa" w:w="90"/>
              <w:right w:type="dxa" w:w="110"/>
            </w:tcMar>
          </w:tcPr>
          <w:p>
            <w:r>
              <w:rPr>
                <w:b w:val="false"/>
                <w:bCs w:val="false"/>
                <w:color w:val="1c2028"/>
                <w:sz w:val="20"/>
                <w:szCs w:val="20"/>
              </w:rPr>
              <w:t xml:space="preserve">9</w:t>
            </w:r>
          </w:p>
        </w:tc>
        <w:tc>
          <w:tcPr>
            <w:tcW w:type="dxa" w:w="2430"/>
            <w:tcMar>
              <w:top w:type="dxa" w:w="90"/>
              <w:left w:type="dxa" w:w="110"/>
              <w:bottom w:type="dxa" w:w="90"/>
              <w:right w:type="dxa" w:w="110"/>
            </w:tcMar>
          </w:tcPr>
          <w:p>
            <w:r>
              <w:rPr>
                <w:b w:val="false"/>
                <w:bCs w:val="false"/>
                <w:color w:val="1c2028"/>
                <w:sz w:val="20"/>
                <w:szCs w:val="20"/>
              </w:rPr>
              <w:t xml:space="preserve">3%</w:t>
            </w:r>
          </w:p>
        </w:tc>
      </w:tr>
    </w:tbl>
    <w:p>
      <w:pPr>
        <w:spacing w:after="160"/>
      </w:pPr>
      <w:r>
        <w:rPr>
          <w:color w:val="1c2028"/>
        </w:rPr>
        <w:t xml:space="preserve"/>
      </w:r>
    </w:p>
    <w:p>
      <w:pPr>
        <w:spacing w:after="160"/>
      </w:pPr>
      <w:r>
        <w:rPr>
          <w:color w:val="1c2028"/>
        </w:rPr>
        <w:t xml:space="preserve">The median gap is just 0.65%, but the mean is 30%, dragged up entirely by nine orders where MES shows 2 to 55 times the Excel quantity (order 701145: 1,026 units in Excel, 57,554 in MES). Machine assignment agrees for 261 of 263 orders, so the disagreement is about quantity, not about which line ran the job. The pattern looks like record splitting: one Excel line capturing a single shift of a multi-day order that MES aggregates in full.</w:t>
      </w:r>
    </w:p>
    <w:p>
      <w:pPr>
        <w:spacing w:after="160"/>
      </w:pPr>
      <w:r>
        <w:rPr>
          <w:b/>
          <w:bCs/>
          <w:color w:val="1c2028"/>
        </w:rPr>
        <w:t xml:space="preserve">Per order-day (follow-up analysis). </w:t>
      </w:r>
      <w:r>
        <w:rPr>
          <w:color w:val="1c2028"/>
        </w:rPr>
        <w:t xml:space="preserve">Matching at the finer grain of order plus calendar day gave 645 comparable order-days, 1,852 MES-only and 520 Excel-only. Three systematic patterns showed up:</w:t>
      </w:r>
    </w:p>
    <w:p>
      <w:pPr>
        <w:pStyle w:val="ListParagraph"/>
        <w:numPr>
          <w:ilvl w:val="0"/>
          <w:numId w:val="3"/>
        </w:numPr>
        <w:spacing w:after="90"/>
      </w:pPr>
      <w:r>
        <w:rPr>
          <w:b/>
          <w:bCs/>
          <w:color w:val="1c2028"/>
        </w:rPr>
        <w:t xml:space="preserve">Quantities still agree: </w:t>
      </w:r>
      <w:r>
        <w:rPr>
          <w:color w:val="1c2028"/>
        </w:rPr>
        <w:t xml:space="preserve">median absolute gap 0.6%, three quarters within 2.3%.</w:t>
      </w:r>
    </w:p>
    <w:p>
      <w:pPr>
        <w:pStyle w:val="ListParagraph"/>
        <w:numPr>
          <w:ilvl w:val="0"/>
          <w:numId w:val="3"/>
        </w:numPr>
        <w:spacing w:after="90"/>
      </w:pPr>
      <w:r>
        <w:rPr>
          <w:b/>
          <w:bCs/>
          <w:color w:val="1c2028"/>
        </w:rPr>
        <w:t xml:space="preserve">Excel starts about 5 minutes earlier. </w:t>
      </w:r>
      <w:r>
        <w:rPr>
          <w:color w:val="1c2028"/>
        </w:rPr>
        <w:t xml:space="preserve">Operators write the shift start (05:55) while MES logs the first booked minute. Harmless, but it means start times should never be compared to the minute.</w:t>
      </w:r>
    </w:p>
    <w:p>
      <w:pPr>
        <w:pStyle w:val="ListParagraph"/>
        <w:numPr>
          <w:ilvl w:val="0"/>
          <w:numId w:val="3"/>
        </w:numPr>
        <w:spacing w:after="90"/>
      </w:pPr>
      <w:r>
        <w:rPr>
          <w:b/>
          <w:bCs/>
          <w:color w:val="1c2028"/>
        </w:rPr>
        <w:t xml:space="preserve">MES keeps the clock running overnight. </w:t>
      </w:r>
      <w:r>
        <w:rPr>
          <w:color w:val="1c2028"/>
        </w:rPr>
        <w:t xml:space="preserve">Many MES order-days run until 06:00 the next morning while Excel closes at the end of the late shift (22:50). On a quarter of matched order-days the MES duration is at least 140 minutes longer than Excel's. Any rate calculated from MES elapsed time will look worse than reality on multi-day orders unless idle night time is removed.</w:t>
      </w:r>
    </w:p>
    <w:p>
      <w:pPr>
        <w:spacing w:after="160"/>
      </w:pPr>
      <w:r>
        <w:rPr>
          <w:color w:val="1c2028"/>
        </w:rPr>
        <w:t xml:space="preserve"/>
      </w:r>
    </w:p>
    <w:p>
      <w:pPr>
        <w:spacing w:after="160"/>
      </w:pPr>
      <w:r>
        <w:rPr>
          <w:i/>
          <w:iCs/>
          <w:color w:val="5d6470"/>
        </w:rPr>
        <w:t xml:space="preserve">Consequence for KPIs: summarise agreement with medians, not means, and treat any order with a gap above 50% as a data problem to audit before it enters a performance report. Several of the 20 performance-above-150% orders excluded in cleaning trace back to this same mismatch.</w:t>
      </w:r>
    </w:p>
    <w:p>
      <w:pPr>
        <w:pStyle w:val="Heading1"/>
        <w:spacing w:after="200" w:before="400"/>
      </w:pPr>
      <w:r>
        <w:rPr>
          <w:b/>
          <w:bCs/>
          <w:color w:val="1c2028"/>
        </w:rPr>
        <w:t xml:space="preserve">Finding 5. Energy on KM1: where it goes and what a bottle costs</w:t>
      </w:r>
    </w:p>
    <w:p>
      <w:pPr>
        <w:spacing w:after="160"/>
      </w:pPr>
      <w:r>
        <w:drawing>
          <wp:inline distT="0" distB="0" distL="0" distR="0">
            <wp:extent cx="5762625"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990850"/>
                    </a:xfrm>
                    <a:prstGeom prst="rect">
                      <a:avLst/>
                    </a:prstGeom>
                  </pic:spPr>
                </pic:pic>
              </a:graphicData>
            </a:graphic>
          </wp:inline>
        </w:drawing>
      </w:r>
    </w:p>
    <w:p>
      <w:pPr>
        <w:spacing w:after="160"/>
      </w:pPr>
      <w:r>
        <w:rPr>
          <w:b/>
          <w:bCs/>
          <w:color w:val="1c2028"/>
        </w:rPr>
        <w:t xml:space="preserve">Where it goes. </w:t>
      </w:r>
      <w:r>
        <w:rPr>
          <w:color w:val="1c2028"/>
        </w:rPr>
        <w:t xml:space="preserve">The five meters on KM1 draw about 3.2 kW combined. The capper (verschr) and carton folder (falschacht) account for 61% of that; the labeller draws a tenth of the capper. The split held steady across every hourly block in the window, so it is a property of the machines, not a one-off spike.</w:t>
      </w:r>
    </w:p>
    <w:p>
      <w:pPr>
        <w:spacing w:after="160"/>
      </w:pPr>
      <w:r>
        <w:rPr>
          <w:b/>
          <w:bCs/>
          <w:color w:val="1c2028"/>
        </w:rPr>
        <w:t xml:space="preserve">Closing the loop to an order. </w:t>
      </w:r>
      <w:r>
        <w:rPr>
          <w:color w:val="1c2028"/>
        </w:rPr>
        <w:t xml:space="preserve">At the datathon we treated energy as impossible to attach to orders. Going back through the data afterwards, the meter window turned out to overlap a single MES work record on KM1: order 702026, product 10269202061-1 (100 ml bottle, liquid density 1.02 g/ml), which ran from 14:31 to 22:46 with a crew of three.</w:t>
      </w:r>
    </w:p>
    <w:tbl>
      <w:tblPr>
        <w:tblW w:type="dxa" w:w="9360"/>
        <w:tblBorders>
          <w:top w:val="single" w:color="e2ded5" w:sz="4"/>
          <w:left w:val="single" w:color="e2ded5" w:sz="4"/>
          <w:bottom w:val="single" w:color="e2ded5" w:sz="4"/>
          <w:right w:val="single" w:color="e2ded5" w:sz="4"/>
          <w:insideH w:val="single" w:color="e2ded5" w:sz="4"/>
          <w:insideV w:val="single" w:color="e2ded5" w:sz="4"/>
        </w:tblBorders>
      </w:tblPr>
      <w:tblGrid>
        <w:gridCol w:w="5400"/>
        <w:gridCol w:w="3960"/>
      </w:tblGrid>
      <w:tr>
        <w:trPr>
          <w:tblHeader/>
        </w:trPr>
        <w:tc>
          <w:tcPr>
            <w:tcW w:type="dxa" w:w="5400"/>
            <w:shd w:fill="2b2f38" w:val="clear"/>
            <w:tcMar>
              <w:top w:type="dxa" w:w="90"/>
              <w:left w:type="dxa" w:w="110"/>
              <w:bottom w:type="dxa" w:w="90"/>
              <w:right w:type="dxa" w:w="110"/>
            </w:tcMar>
          </w:tcPr>
          <w:p>
            <w:r>
              <w:rPr>
                <w:b/>
                <w:bCs/>
                <w:color w:val="ffffff"/>
                <w:sz w:val="19"/>
                <w:szCs w:val="19"/>
              </w:rPr>
              <w:t xml:space="preserve">Order 702026 on KM1</w:t>
            </w:r>
          </w:p>
        </w:tc>
        <w:tc>
          <w:tcPr>
            <w:tcW w:type="dxa" w:w="3960"/>
            <w:shd w:fill="2b2f38" w:val="clear"/>
            <w:tcMar>
              <w:top w:type="dxa" w:w="90"/>
              <w:left w:type="dxa" w:w="110"/>
              <w:bottom w:type="dxa" w:w="90"/>
              <w:right w:type="dxa" w:w="110"/>
            </w:tcMar>
          </w:tcPr>
          <w:p>
            <w:r>
              <w:rPr>
                <w:b/>
                <w:bCs/>
                <w:color w:val="ffffff"/>
                <w:sz w:val="19"/>
                <w:szCs w:val="19"/>
              </w:rPr>
              <w:t xml:space="preserve">Value</w:t>
            </w:r>
          </w:p>
        </w:tc>
      </w:tr>
      <w:tr>
        <w:tc>
          <w:tcPr>
            <w:tcW w:type="dxa" w:w="5400"/>
            <w:tcMar>
              <w:top w:type="dxa" w:w="90"/>
              <w:left w:type="dxa" w:w="110"/>
              <w:bottom w:type="dxa" w:w="90"/>
              <w:right w:type="dxa" w:w="110"/>
            </w:tcMar>
          </w:tcPr>
          <w:p>
            <w:r>
              <w:rPr>
                <w:b w:val="false"/>
                <w:bCs w:val="false"/>
                <w:color w:val="1c2028"/>
                <w:sz w:val="20"/>
                <w:szCs w:val="20"/>
              </w:rPr>
              <w:t xml:space="preserve">Booked time</w:t>
            </w:r>
          </w:p>
        </w:tc>
        <w:tc>
          <w:tcPr>
            <w:tcW w:type="dxa" w:w="3960"/>
            <w:tcMar>
              <w:top w:type="dxa" w:w="90"/>
              <w:left w:type="dxa" w:w="110"/>
              <w:bottom w:type="dxa" w:w="90"/>
              <w:right w:type="dxa" w:w="110"/>
            </w:tcMar>
          </w:tcPr>
          <w:p>
            <w:r>
              <w:rPr>
                <w:b w:val="false"/>
                <w:bCs w:val="false"/>
                <w:color w:val="1c2028"/>
                <w:sz w:val="20"/>
                <w:szCs w:val="20"/>
              </w:rPr>
              <w:t xml:space="preserve">8 h 15 min</w:t>
            </w:r>
          </w:p>
        </w:tc>
      </w:tr>
      <w:tr>
        <w:tc>
          <w:tcPr>
            <w:tcW w:type="dxa" w:w="5400"/>
            <w:tcMar>
              <w:top w:type="dxa" w:w="90"/>
              <w:left w:type="dxa" w:w="110"/>
              <w:bottom w:type="dxa" w:w="90"/>
              <w:right w:type="dxa" w:w="110"/>
            </w:tcMar>
          </w:tcPr>
          <w:p>
            <w:r>
              <w:rPr>
                <w:b w:val="false"/>
                <w:bCs w:val="false"/>
                <w:color w:val="1c2028"/>
                <w:sz w:val="20"/>
                <w:szCs w:val="20"/>
              </w:rPr>
              <w:t xml:space="preserve">Of which producing</w:t>
            </w:r>
          </w:p>
        </w:tc>
        <w:tc>
          <w:tcPr>
            <w:tcW w:type="dxa" w:w="3960"/>
            <w:tcMar>
              <w:top w:type="dxa" w:w="90"/>
              <w:left w:type="dxa" w:w="110"/>
              <w:bottom w:type="dxa" w:w="90"/>
              <w:right w:type="dxa" w:w="110"/>
            </w:tcMar>
          </w:tcPr>
          <w:p>
            <w:r>
              <w:rPr>
                <w:b w:val="false"/>
                <w:bCs w:val="false"/>
                <w:color w:val="1c2028"/>
                <w:sz w:val="20"/>
                <w:szCs w:val="20"/>
              </w:rPr>
              <w:t xml:space="preserve">5 h 34 min (67%)</w:t>
            </w:r>
          </w:p>
        </w:tc>
      </w:tr>
      <w:tr>
        <w:tc>
          <w:tcPr>
            <w:tcW w:type="dxa" w:w="5400"/>
            <w:tcMar>
              <w:top w:type="dxa" w:w="90"/>
              <w:left w:type="dxa" w:w="110"/>
              <w:bottom w:type="dxa" w:w="90"/>
              <w:right w:type="dxa" w:w="110"/>
            </w:tcMar>
          </w:tcPr>
          <w:p>
            <w:r>
              <w:rPr>
                <w:b w:val="false"/>
                <w:bCs w:val="false"/>
                <w:color w:val="1c2028"/>
                <w:sz w:val="20"/>
                <w:szCs w:val="20"/>
              </w:rPr>
              <w:t xml:space="preserve">Units produced</w:t>
            </w:r>
          </w:p>
        </w:tc>
        <w:tc>
          <w:tcPr>
            <w:tcW w:type="dxa" w:w="3960"/>
            <w:tcMar>
              <w:top w:type="dxa" w:w="90"/>
              <w:left w:type="dxa" w:w="110"/>
              <w:bottom w:type="dxa" w:w="90"/>
              <w:right w:type="dxa" w:w="110"/>
            </w:tcMar>
          </w:tcPr>
          <w:p>
            <w:r>
              <w:rPr>
                <w:b w:val="false"/>
                <w:bCs w:val="false"/>
                <w:color w:val="1c2028"/>
                <w:sz w:val="20"/>
                <w:szCs w:val="20"/>
              </w:rPr>
              <w:t xml:space="preserve">9,112 bottles</w:t>
            </w:r>
          </w:p>
        </w:tc>
      </w:tr>
      <w:tr>
        <w:tc>
          <w:tcPr>
            <w:tcW w:type="dxa" w:w="5400"/>
            <w:tcMar>
              <w:top w:type="dxa" w:w="90"/>
              <w:left w:type="dxa" w:w="110"/>
              <w:bottom w:type="dxa" w:w="90"/>
              <w:right w:type="dxa" w:w="110"/>
            </w:tcMar>
          </w:tcPr>
          <w:p>
            <w:r>
              <w:rPr>
                <w:b w:val="false"/>
                <w:bCs w:val="false"/>
                <w:color w:val="1c2028"/>
                <w:sz w:val="20"/>
                <w:szCs w:val="20"/>
              </w:rPr>
              <w:t xml:space="preserve">Estimated energy (3.1 kW x booked time)</w:t>
            </w:r>
          </w:p>
        </w:tc>
        <w:tc>
          <w:tcPr>
            <w:tcW w:type="dxa" w:w="3960"/>
            <w:tcMar>
              <w:top w:type="dxa" w:w="90"/>
              <w:left w:type="dxa" w:w="110"/>
              <w:bottom w:type="dxa" w:w="90"/>
              <w:right w:type="dxa" w:w="110"/>
            </w:tcMar>
          </w:tcPr>
          <w:p>
            <w:r>
              <w:rPr>
                <w:b w:val="false"/>
                <w:bCs w:val="false"/>
                <w:color w:val="1c2028"/>
                <w:sz w:val="20"/>
                <w:szCs w:val="20"/>
              </w:rPr>
              <w:t xml:space="preserve">about 25.6 kWh</w:t>
            </w:r>
          </w:p>
        </w:tc>
      </w:tr>
      <w:tr>
        <w:tc>
          <w:tcPr>
            <w:tcW w:type="dxa" w:w="5400"/>
            <w:tcMar>
              <w:top w:type="dxa" w:w="90"/>
              <w:left w:type="dxa" w:w="110"/>
              <w:bottom w:type="dxa" w:w="90"/>
              <w:right w:type="dxa" w:w="110"/>
            </w:tcMar>
          </w:tcPr>
          <w:p>
            <w:r>
              <w:rPr>
                <w:b w:val="false"/>
                <w:bCs w:val="false"/>
                <w:color w:val="1c2028"/>
                <w:sz w:val="20"/>
                <w:szCs w:val="20"/>
              </w:rPr>
              <w:t xml:space="preserve">Energy intensity</w:t>
            </w:r>
          </w:p>
        </w:tc>
        <w:tc>
          <w:tcPr>
            <w:tcW w:type="dxa" w:w="3960"/>
            <w:tcMar>
              <w:top w:type="dxa" w:w="90"/>
              <w:left w:type="dxa" w:w="110"/>
              <w:bottom w:type="dxa" w:w="90"/>
              <w:right w:type="dxa" w:w="110"/>
            </w:tcMar>
          </w:tcPr>
          <w:p>
            <w:r>
              <w:rPr>
                <w:b w:val="false"/>
                <w:bCs w:val="false"/>
                <w:color w:val="1c2028"/>
                <w:sz w:val="20"/>
                <w:szCs w:val="20"/>
              </w:rPr>
              <w:t xml:space="preserve">about 2.8 kWh per 1,000 bottles</w:t>
            </w:r>
          </w:p>
        </w:tc>
      </w:tr>
      <w:tr>
        <w:tc>
          <w:tcPr>
            <w:tcW w:type="dxa" w:w="5400"/>
            <w:tcMar>
              <w:top w:type="dxa" w:w="90"/>
              <w:left w:type="dxa" w:w="110"/>
              <w:bottom w:type="dxa" w:w="90"/>
              <w:right w:type="dxa" w:w="110"/>
            </w:tcMar>
          </w:tcPr>
          <w:p>
            <w:r>
              <w:rPr>
                <w:b w:val="false"/>
                <w:bCs w:val="false"/>
                <w:color w:val="1c2028"/>
                <w:sz w:val="20"/>
                <w:szCs w:val="20"/>
              </w:rPr>
              <w:t xml:space="preserve">Energy drawn while the line was stopped</w:t>
            </w:r>
          </w:p>
        </w:tc>
        <w:tc>
          <w:tcPr>
            <w:tcW w:type="dxa" w:w="3960"/>
            <w:tcMar>
              <w:top w:type="dxa" w:w="90"/>
              <w:left w:type="dxa" w:w="110"/>
              <w:bottom w:type="dxa" w:w="90"/>
              <w:right w:type="dxa" w:w="110"/>
            </w:tcMar>
          </w:tcPr>
          <w:p>
            <w:r>
              <w:rPr>
                <w:b w:val="false"/>
                <w:bCs w:val="false"/>
                <w:color w:val="1c2028"/>
                <w:sz w:val="20"/>
                <w:szCs w:val="20"/>
              </w:rPr>
              <w:t xml:space="preserve">about 8.4 kWh (about one third)</w:t>
            </w:r>
          </w:p>
        </w:tc>
      </w:tr>
    </w:tbl>
    <w:p>
      <w:pPr>
        <w:spacing w:after="160"/>
      </w:pPr>
      <w:r>
        <w:rPr>
          <w:color w:val="1c2028"/>
        </w:rPr>
        <w:t xml:space="preserve"/>
      </w:r>
    </w:p>
    <w:p>
      <w:pPr>
        <w:spacing w:after="160"/>
      </w:pPr>
      <w:r>
        <w:rPr>
          <w:b/>
          <w:bCs/>
          <w:color w:val="1c2028"/>
        </w:rPr>
        <w:t xml:space="preserve">The line doesn't power down when it stops. </w:t>
      </w:r>
      <w:r>
        <w:rPr>
          <w:color w:val="1c2028"/>
        </w:rPr>
        <w:t xml:space="preserve">Across fifteen-minute blocks during the order, total draw varied by only +/-5% even though a third of the run was downtime. That is the signature of a baseload-dominated line: the motors, heaters and control cabinets keep drawing whether or not bottles move.</w:t>
      </w:r>
    </w:p>
    <w:p>
      <w:pPr>
        <w:spacing w:after="160"/>
      </w:pPr>
      <w:r>
        <w:rPr>
          <w:b/>
          <w:bCs/>
          <w:color w:val="1c2028"/>
        </w:rPr>
        <w:t xml:space="preserve">Scaling it up, as an order-of-magnitude estimate. </w:t>
      </w:r>
      <w:r>
        <w:rPr>
          <w:color w:val="1c2028"/>
        </w:rPr>
        <w:t xml:space="preserve">Between January 2025 and September 2026 KM1 was booked for about 6,500 hours and producing for about 3,700. At the same draw, the roughly 2,800 stopped hours represent roughly 8,600 kWh, about EUR 1,700 at an assumed industrial tariff of EUR 0.20/kWh. The money is modest for one line; the point is that the same logic applied to all five lines, with meters on the tube lines too, turns downtime into a number finance can see.</w:t>
      </w:r>
    </w:p>
    <w:p>
      <w:pPr>
        <w:spacing w:after="160"/>
      </w:pPr>
      <w:r>
        <w:rPr>
          <w:i/>
          <w:iCs/>
          <w:color w:val="5d6470"/>
        </w:rPr>
        <w:t xml:space="preserve">Honesty box: this rests on 3.5 hours of meter data, one order and one product. It cannot yet answer the brief's questions on density, production rate or stoppage-reason energy. What it does prove is that the join works: with meters logging continuously, every one of those questions becomes a query.</w:t>
      </w:r>
    </w:p>
    <w:p>
      <w:pPr>
        <w:pStyle w:val="Heading1"/>
        <w:spacing w:after="200" w:before="400"/>
      </w:pPr>
      <w:r>
        <w:rPr>
          <w:b/>
          <w:bCs/>
          <w:color w:val="1c2028"/>
        </w:rPr>
        <w:t xml:space="preserve">Post-event deep dive. Decoding the stoppage table</w:t>
      </w:r>
    </w:p>
    <w:p>
      <w:pPr>
        <w:spacing w:after="160"/>
      </w:pPr>
      <w:r>
        <w:rPr>
          <w:color w:val="1c2028"/>
        </w:rPr>
        <w:t xml:space="preserve">During the datathon both workstreams hit the same wall in </w:t>
      </w:r>
      <w:r>
        <w:rPr>
          <w:rFonts w:ascii="Consolas" w:cs="Consolas" w:eastAsia="Consolas" w:hAnsi="Consolas"/>
          <w:color w:val="9a3412"/>
          <w:sz w:val="20"/>
          <w:szCs w:val="20"/>
        </w:rPr>
        <w:t xml:space="preserve">mes_stoppages</w:t>
      </w:r>
      <w:r>
        <w:rPr>
          <w:color w:val="1c2028"/>
        </w:rPr>
        <w:t xml:space="preserve">: stoppage type 0 is not defined anywhere, and summed stoppage durations exceeded the elapsed time of their parent period for most work records (one record showed 1,529,552 seconds, almost 18 days). We treated the table as unreliable and worked around it.</w:t>
      </w:r>
    </w:p>
    <w:p>
      <w:pPr>
        <w:spacing w:after="160"/>
      </w:pPr>
      <w:r>
        <w:rPr>
          <w:color w:val="1c2028"/>
        </w:rPr>
        <w:t xml:space="preserve">After the event I went back and tested it properly against the period table, record by record. It is not broken; it is a state-time ledger, and every type has a meaning:</w:t>
      </w:r>
    </w:p>
    <w:tbl>
      <w:tblPr>
        <w:tblW w:type="dxa" w:w="9360"/>
        <w:tblBorders>
          <w:top w:val="single" w:color="e2ded5" w:sz="4"/>
          <w:left w:val="single" w:color="e2ded5" w:sz="4"/>
          <w:bottom w:val="single" w:color="e2ded5" w:sz="4"/>
          <w:right w:val="single" w:color="e2ded5" w:sz="4"/>
          <w:insideH w:val="single" w:color="e2ded5" w:sz="4"/>
          <w:insideV w:val="single" w:color="e2ded5" w:sz="4"/>
        </w:tblBorders>
      </w:tblPr>
      <w:tblGrid>
        <w:gridCol w:w="1500"/>
        <w:gridCol w:w="3500"/>
        <w:gridCol w:w="4360"/>
      </w:tblGrid>
      <w:tr>
        <w:trPr>
          <w:tblHeader/>
        </w:trPr>
        <w:tc>
          <w:tcPr>
            <w:tcW w:type="dxa" w:w="1500"/>
            <w:shd w:fill="2b2f38" w:val="clear"/>
            <w:tcMar>
              <w:top w:type="dxa" w:w="90"/>
              <w:left w:type="dxa" w:w="110"/>
              <w:bottom w:type="dxa" w:w="90"/>
              <w:right w:type="dxa" w:w="110"/>
            </w:tcMar>
          </w:tcPr>
          <w:p>
            <w:r>
              <w:rPr>
                <w:b/>
                <w:bCs/>
                <w:color w:val="ffffff"/>
                <w:sz w:val="19"/>
                <w:szCs w:val="19"/>
              </w:rPr>
              <w:t xml:space="preserve">Stoppage type</w:t>
            </w:r>
          </w:p>
        </w:tc>
        <w:tc>
          <w:tcPr>
            <w:tcW w:type="dxa" w:w="3500"/>
            <w:shd w:fill="2b2f38" w:val="clear"/>
            <w:tcMar>
              <w:top w:type="dxa" w:w="90"/>
              <w:left w:type="dxa" w:w="110"/>
              <w:bottom w:type="dxa" w:w="90"/>
              <w:right w:type="dxa" w:w="110"/>
            </w:tcMar>
          </w:tcPr>
          <w:p>
            <w:r>
              <w:rPr>
                <w:b/>
                <w:bCs/>
                <w:color w:val="ffffff"/>
                <w:sz w:val="19"/>
                <w:szCs w:val="19"/>
              </w:rPr>
              <w:t xml:space="preserve">What it actually is</w:t>
            </w:r>
          </w:p>
        </w:tc>
        <w:tc>
          <w:tcPr>
            <w:tcW w:type="dxa" w:w="4360"/>
            <w:shd w:fill="2b2f38" w:val="clear"/>
            <w:tcMar>
              <w:top w:type="dxa" w:w="90"/>
              <w:left w:type="dxa" w:w="110"/>
              <w:bottom w:type="dxa" w:w="90"/>
              <w:right w:type="dxa" w:w="110"/>
            </w:tcMar>
          </w:tcPr>
          <w:p>
            <w:r>
              <w:rPr>
                <w:b/>
                <w:bCs/>
                <w:color w:val="ffffff"/>
                <w:sz w:val="19"/>
                <w:szCs w:val="19"/>
              </w:rPr>
              <w:t xml:space="preserve">Evidence</w:t>
            </w:r>
          </w:p>
        </w:tc>
      </w:tr>
      <w:tr>
        <w:tc>
          <w:tcPr>
            <w:tcW w:type="dxa" w:w="1500"/>
            <w:tcMar>
              <w:top w:type="dxa" w:w="90"/>
              <w:left w:type="dxa" w:w="110"/>
              <w:bottom w:type="dxa" w:w="90"/>
              <w:right w:type="dxa" w:w="110"/>
            </w:tcMar>
          </w:tcPr>
          <w:p>
            <w:r>
              <w:rPr>
                <w:b w:val="false"/>
                <w:bCs w:val="false"/>
                <w:color w:val="1c2028"/>
                <w:sz w:val="20"/>
                <w:szCs w:val="20"/>
              </w:rPr>
              <w:t xml:space="preserve">3</w:t>
            </w:r>
          </w:p>
        </w:tc>
        <w:tc>
          <w:tcPr>
            <w:tcW w:type="dxa" w:w="3500"/>
            <w:tcMar>
              <w:top w:type="dxa" w:w="90"/>
              <w:left w:type="dxa" w:w="110"/>
              <w:bottom w:type="dxa" w:w="90"/>
              <w:right w:type="dxa" w:w="110"/>
            </w:tcMar>
          </w:tcPr>
          <w:p>
            <w:r>
              <w:rPr>
                <w:b w:val="false"/>
                <w:bCs w:val="false"/>
                <w:color w:val="1c2028"/>
                <w:sz w:val="20"/>
                <w:szCs w:val="20"/>
              </w:rPr>
              <w:t xml:space="preserve">Time the line was producing</w:t>
            </w:r>
          </w:p>
        </w:tc>
        <w:tc>
          <w:tcPr>
            <w:tcW w:type="dxa" w:w="4360"/>
            <w:tcMar>
              <w:top w:type="dxa" w:w="90"/>
              <w:left w:type="dxa" w:w="110"/>
              <w:bottom w:type="dxa" w:w="90"/>
              <w:right w:type="dxa" w:w="110"/>
            </w:tcMar>
          </w:tcPr>
          <w:p>
            <w:r>
              <w:rPr>
                <w:b w:val="false"/>
                <w:bCs w:val="false"/>
                <w:color w:val="1c2028"/>
                <w:sz w:val="20"/>
                <w:szCs w:val="20"/>
              </w:rPr>
              <w:t xml:space="preserve">Equals CalcProductionTime exactly for 6,023 of 6,023 work records</w:t>
            </w:r>
          </w:p>
        </w:tc>
      </w:tr>
      <w:tr>
        <w:tc>
          <w:tcPr>
            <w:tcW w:type="dxa" w:w="1500"/>
            <w:tcMar>
              <w:top w:type="dxa" w:w="90"/>
              <w:left w:type="dxa" w:w="110"/>
              <w:bottom w:type="dxa" w:w="90"/>
              <w:right w:type="dxa" w:w="110"/>
            </w:tcMar>
          </w:tcPr>
          <w:p>
            <w:r>
              <w:rPr>
                <w:b w:val="false"/>
                <w:bCs w:val="false"/>
                <w:color w:val="1c2028"/>
                <w:sz w:val="20"/>
                <w:szCs w:val="20"/>
              </w:rPr>
              <w:t xml:space="preserve">1</w:t>
            </w:r>
          </w:p>
        </w:tc>
        <w:tc>
          <w:tcPr>
            <w:tcW w:type="dxa" w:w="3500"/>
            <w:tcMar>
              <w:top w:type="dxa" w:w="90"/>
              <w:left w:type="dxa" w:w="110"/>
              <w:bottom w:type="dxa" w:w="90"/>
              <w:right w:type="dxa" w:w="110"/>
            </w:tcMar>
          </w:tcPr>
          <w:p>
            <w:r>
              <w:rPr>
                <w:b w:val="false"/>
                <w:bCs w:val="false"/>
                <w:color w:val="1c2028"/>
                <w:sz w:val="20"/>
                <w:szCs w:val="20"/>
              </w:rPr>
              <w:t xml:space="preserve">Classified stoppages, one row per reason code</w:t>
            </w:r>
          </w:p>
        </w:tc>
        <w:tc>
          <w:tcPr>
            <w:tcW w:type="dxa" w:w="4360"/>
            <w:tcMar>
              <w:top w:type="dxa" w:w="90"/>
              <w:left w:type="dxa" w:w="110"/>
              <w:bottom w:type="dxa" w:w="90"/>
              <w:right w:type="dxa" w:w="110"/>
            </w:tcMar>
          </w:tcPr>
          <w:p>
            <w:r>
              <w:rPr>
                <w:b w:val="false"/>
                <w:bCs w:val="false"/>
                <w:color w:val="1c2028"/>
                <w:sz w:val="20"/>
                <w:szCs w:val="20"/>
              </w:rPr>
              <w:t xml:space="preserve">Reason = StoppageNo, looked up per machine group</w:t>
            </w:r>
          </w:p>
        </w:tc>
      </w:tr>
      <w:tr>
        <w:tc>
          <w:tcPr>
            <w:tcW w:type="dxa" w:w="1500"/>
            <w:tcMar>
              <w:top w:type="dxa" w:w="90"/>
              <w:left w:type="dxa" w:w="110"/>
              <w:bottom w:type="dxa" w:w="90"/>
              <w:right w:type="dxa" w:w="110"/>
            </w:tcMar>
          </w:tcPr>
          <w:p>
            <w:r>
              <w:rPr>
                <w:b w:val="false"/>
                <w:bCs w:val="false"/>
                <w:color w:val="1c2028"/>
                <w:sz w:val="20"/>
                <w:szCs w:val="20"/>
              </w:rPr>
              <w:t xml:space="preserve">0</w:t>
            </w:r>
          </w:p>
        </w:tc>
        <w:tc>
          <w:tcPr>
            <w:tcW w:type="dxa" w:w="3500"/>
            <w:tcMar>
              <w:top w:type="dxa" w:w="90"/>
              <w:left w:type="dxa" w:w="110"/>
              <w:bottom w:type="dxa" w:w="90"/>
              <w:right w:type="dxa" w:w="110"/>
            </w:tcMar>
          </w:tcPr>
          <w:p>
            <w:r>
              <w:rPr>
                <w:b w:val="false"/>
                <w:bCs w:val="false"/>
                <w:color w:val="1c2028"/>
                <w:sz w:val="20"/>
                <w:szCs w:val="20"/>
              </w:rPr>
              <w:t xml:space="preserve">Unclassified short stops, never given a reason</w:t>
            </w:r>
          </w:p>
        </w:tc>
        <w:tc>
          <w:tcPr>
            <w:tcW w:type="dxa" w:w="4360"/>
            <w:tcMar>
              <w:top w:type="dxa" w:w="90"/>
              <w:left w:type="dxa" w:w="110"/>
              <w:bottom w:type="dxa" w:w="90"/>
              <w:right w:type="dxa" w:w="110"/>
            </w:tcMar>
          </w:tcPr>
          <w:p>
            <w:r>
              <w:rPr>
                <w:b w:val="false"/>
                <w:bCs w:val="false"/>
                <w:color w:val="1c2028"/>
                <w:sz w:val="20"/>
                <w:szCs w:val="20"/>
              </w:rPr>
              <w:t xml:space="preserve">Many events, short durations (e.g. 54 events, 43 min in one shift)</w:t>
            </w:r>
          </w:p>
        </w:tc>
      </w:tr>
      <w:tr>
        <w:tc>
          <w:tcPr>
            <w:tcW w:type="dxa" w:w="1500"/>
            <w:tcMar>
              <w:top w:type="dxa" w:w="90"/>
              <w:left w:type="dxa" w:w="110"/>
              <w:bottom w:type="dxa" w:w="90"/>
              <w:right w:type="dxa" w:w="110"/>
            </w:tcMar>
          </w:tcPr>
          <w:p>
            <w:r>
              <w:rPr>
                <w:b w:val="false"/>
                <w:bCs w:val="false"/>
                <w:color w:val="1c2028"/>
                <w:sz w:val="20"/>
                <w:szCs w:val="20"/>
              </w:rPr>
              <w:t xml:space="preserve">2</w:t>
            </w:r>
          </w:p>
        </w:tc>
        <w:tc>
          <w:tcPr>
            <w:tcW w:type="dxa" w:w="3500"/>
            <w:tcMar>
              <w:top w:type="dxa" w:w="90"/>
              <w:left w:type="dxa" w:w="110"/>
              <w:bottom w:type="dxa" w:w="90"/>
              <w:right w:type="dxa" w:w="110"/>
            </w:tcMar>
          </w:tcPr>
          <w:p>
            <w:r>
              <w:rPr>
                <w:b w:val="false"/>
                <w:bCs w:val="false"/>
                <w:color w:val="1c2028"/>
                <w:sz w:val="20"/>
                <w:szCs w:val="20"/>
              </w:rPr>
              <w:t xml:space="preserve">Idle time before the period began</w:t>
            </w:r>
          </w:p>
        </w:tc>
        <w:tc>
          <w:tcPr>
            <w:tcW w:type="dxa" w:w="4360"/>
            <w:tcMar>
              <w:top w:type="dxa" w:w="90"/>
              <w:left w:type="dxa" w:w="110"/>
              <w:bottom w:type="dxa" w:w="90"/>
              <w:right w:type="dxa" w:w="110"/>
            </w:tcMar>
          </w:tcPr>
          <w:p>
            <w:r>
              <w:rPr>
                <w:b w:val="false"/>
                <w:bCs w:val="false"/>
                <w:color w:val="1c2028"/>
                <w:sz w:val="20"/>
                <w:szCs w:val="20"/>
              </w:rPr>
              <w:t xml:space="preserve">For gaps over an hour, matches the time since the previous period on the same machine within 2 minutes in 95% of cases (r = 0.92)</w:t>
            </w:r>
          </w:p>
        </w:tc>
      </w:tr>
    </w:tbl>
    <w:p>
      <w:pPr>
        <w:spacing w:after="160"/>
      </w:pPr>
      <w:r>
        <w:rPr>
          <w:color w:val="1c2028"/>
        </w:rPr>
        <w:t xml:space="preserve"/>
      </w:r>
    </w:p>
    <w:p>
      <w:pPr>
        <w:spacing w:after="160"/>
      </w:pPr>
      <w:r>
        <w:rPr>
          <w:color w:val="1c2028"/>
        </w:rPr>
        <w:t xml:space="preserve">Types 0, 1 and 3 together never exceed the booked time of their period (true for 100% of records). The huge numbers all sit in type 2, which is the machine standing idle between orders, over weekends or holidays, not a counting error.</w:t>
      </w:r>
    </w:p>
    <w:p>
      <w:pPr>
        <w:spacing w:after="160"/>
      </w:pPr>
      <w:r>
        <w:rPr>
          <w:b/>
          <w:bCs/>
          <w:color w:val="1c2028"/>
        </w:rPr>
        <w:t xml:space="preserve">Why this matters. </w:t>
      </w:r>
      <w:r>
        <w:rPr>
          <w:color w:val="1c2028"/>
        </w:rPr>
        <w:t xml:space="preserve">It overturns two conclusions from the presentation ("type 0 is undefined" and "stoppage durations can't be summed") and unlocks the analysis we thought was blocked: lost time by reason, micro-stop frequency per product, and, joined to energy, stoppage energy by reason. It is also a good lesson in not stopping at "the data is wrong": the more useful question is what the data would have to mean for it to be right.</w:t>
      </w:r>
    </w:p>
    <w:p>
      <w:pPr>
        <w:pStyle w:val="Heading1"/>
        <w:spacing w:after="200" w:before="400"/>
      </w:pPr>
      <w:r>
        <w:rPr>
          <w:b/>
          <w:bCs/>
          <w:color w:val="1c2028"/>
        </w:rPr>
        <w:t xml:space="preserve">Recommendations</w:t>
      </w:r>
    </w:p>
    <w:p>
      <w:pPr>
        <w:pStyle w:val="Heading3"/>
        <w:spacing w:after="110" w:before="220"/>
      </w:pPr>
      <w:r>
        <w:rPr>
          <w:b/>
          <w:bCs/>
          <w:color w:val="1c2028"/>
        </w:rPr>
        <w:t xml:space="preserve">For operations</w:t>
      </w:r>
    </w:p>
    <w:p>
      <w:pPr>
        <w:pStyle w:val="ListParagraph"/>
        <w:numPr>
          <w:ilvl w:val="0"/>
          <w:numId w:val="2"/>
        </w:numPr>
        <w:spacing w:after="90"/>
      </w:pPr>
      <w:r>
        <w:rPr>
          <w:b/>
          <w:bCs/>
          <w:color w:val="1c2028"/>
        </w:rPr>
        <w:t xml:space="preserve">Batch small orders. </w:t>
      </w:r>
      <w:r>
        <w:rPr>
          <w:color w:val="1c2028"/>
        </w:rPr>
        <w:t xml:space="preserve">The clearest, largest lever in the data: the smallest quarter of orders loses about 16 points of availability to the largest.</w:t>
      </w:r>
    </w:p>
    <w:p>
      <w:pPr>
        <w:pStyle w:val="ListParagraph"/>
        <w:numPr>
          <w:ilvl w:val="0"/>
          <w:numId w:val="2"/>
        </w:numPr>
        <w:spacing w:after="90"/>
      </w:pPr>
      <w:r>
        <w:rPr>
          <w:b/>
          <w:bCs/>
          <w:color w:val="1c2028"/>
        </w:rPr>
        <w:t xml:space="preserve">Run a changeover study on the AXO tube lines. </w:t>
      </w:r>
      <w:r>
        <w:rPr>
          <w:color w:val="1c2028"/>
        </w:rPr>
        <w:t xml:space="preserve">77 to 82% of their downtime is organisational; a SMED-style review of setup, cleaning and material staging should beat maintenance spend there.</w:t>
      </w:r>
    </w:p>
    <w:p>
      <w:pPr>
        <w:pStyle w:val="ListParagraph"/>
        <w:numPr>
          <w:ilvl w:val="0"/>
          <w:numId w:val="2"/>
        </w:numPr>
        <w:spacing w:after="90"/>
      </w:pPr>
      <w:r>
        <w:rPr>
          <w:b/>
          <w:bCs/>
          <w:color w:val="1c2028"/>
        </w:rPr>
        <w:t xml:space="preserve">Focus KM1 maintenance on the labeller and carton folder, </w:t>
      </w:r>
      <w:r>
        <w:rPr>
          <w:color w:val="1c2028"/>
        </w:rPr>
        <w:t xml:space="preserve">the recurring technical stoppages on the only line where faults outweigh organisation.</w:t>
      </w:r>
    </w:p>
    <w:p>
      <w:pPr>
        <w:pStyle w:val="ListParagraph"/>
        <w:numPr>
          <w:ilvl w:val="0"/>
          <w:numId w:val="2"/>
        </w:numPr>
        <w:spacing w:after="90"/>
      </w:pPr>
      <w:r>
        <w:rPr>
          <w:b/>
          <w:bCs/>
          <w:color w:val="1c2028"/>
        </w:rPr>
        <w:t xml:space="preserve">Put KM1 into standby during long stops. </w:t>
      </w:r>
      <w:r>
        <w:rPr>
          <w:color w:val="1c2028"/>
        </w:rPr>
        <w:t xml:space="preserve">Power barely drops when the line is idle; an automatic standby for the capper and carton folder, the two largest draws, is the most direct energy saving.</w:t>
      </w:r>
    </w:p>
    <w:p>
      <w:pPr>
        <w:pStyle w:val="Heading3"/>
        <w:spacing w:after="110" w:before="220"/>
      </w:pPr>
      <w:r>
        <w:rPr>
          <w:b/>
          <w:bCs/>
          <w:color w:val="1c2028"/>
        </w:rPr>
        <w:t xml:space="preserve">For the data model</w:t>
      </w:r>
    </w:p>
    <w:p>
      <w:pPr>
        <w:pStyle w:val="ListParagraph"/>
        <w:numPr>
          <w:ilvl w:val="0"/>
          <w:numId w:val="2"/>
        </w:numPr>
        <w:spacing w:after="90"/>
      </w:pPr>
      <w:r>
        <w:rPr>
          <w:b/>
          <w:bCs/>
          <w:color w:val="1c2028"/>
        </w:rPr>
        <w:t xml:space="preserve">Make order number mandatory on every table, </w:t>
      </w:r>
      <w:r>
        <w:rPr>
          <w:color w:val="1c2028"/>
        </w:rPr>
        <w:t xml:space="preserve">including stoppages and rejects, so no record can exist without a parent order.</w:t>
      </w:r>
    </w:p>
    <w:p>
      <w:pPr>
        <w:pStyle w:val="ListParagraph"/>
        <w:numPr>
          <w:ilvl w:val="0"/>
          <w:numId w:val="2"/>
        </w:numPr>
        <w:spacing w:after="90"/>
      </w:pPr>
      <w:r>
        <w:rPr>
          <w:b/>
          <w:bCs/>
          <w:color w:val="1c2028"/>
        </w:rPr>
        <w:t xml:space="preserve">Rename MachineNumber to a single MachineID vocabulary </w:t>
      </w:r>
      <w:r>
        <w:rPr>
          <w:color w:val="1c2028"/>
        </w:rPr>
        <w:t xml:space="preserve">shared by MES, Excel and the energy meters (KM1, KM2, AXO10 to 12), and document the stoppage-type codes in the database itself.</w:t>
      </w:r>
    </w:p>
    <w:p>
      <w:pPr>
        <w:pStyle w:val="ListParagraph"/>
        <w:numPr>
          <w:ilvl w:val="0"/>
          <w:numId w:val="2"/>
        </w:numPr>
        <w:spacing w:after="90"/>
      </w:pPr>
      <w:r>
        <w:rPr>
          <w:b/>
          <w:bCs/>
          <w:color w:val="1c2028"/>
        </w:rPr>
        <w:t xml:space="preserve">Log energy continuously and tag it with the active work record, </w:t>
      </w:r>
      <w:r>
        <w:rPr>
          <w:color w:val="1c2028"/>
        </w:rPr>
        <w:t xml:space="preserve">then extend meters to KM2 and the tube lines. That single change answers every energy question in the brief.</w:t>
      </w:r>
    </w:p>
    <w:p>
      <w:pPr>
        <w:pStyle w:val="ListParagraph"/>
        <w:numPr>
          <w:ilvl w:val="0"/>
          <w:numId w:val="2"/>
        </w:numPr>
        <w:spacing w:after="90"/>
      </w:pPr>
      <w:r>
        <w:rPr>
          <w:b/>
          <w:bCs/>
          <w:color w:val="1c2028"/>
        </w:rPr>
        <w:t xml:space="preserve">Replace the free-form Excel log with MES entry, </w:t>
      </w:r>
      <w:r>
        <w:rPr>
          <w:color w:val="1c2028"/>
        </w:rPr>
        <w:t xml:space="preserve">or at minimum one Excel row per MES period rather than per shift, and drop redundant columns (Chargennummer, duplicate quantity fields).</w:t>
      </w:r>
    </w:p>
    <w:p>
      <w:pPr>
        <w:pStyle w:val="Heading3"/>
        <w:spacing w:after="110" w:before="220"/>
      </w:pPr>
      <w:r>
        <w:rPr>
          <w:b/>
          <w:bCs/>
          <w:color w:val="1c2028"/>
        </w:rPr>
        <w:t xml:space="preserve">Validation rules to introduce</w:t>
      </w:r>
    </w:p>
    <w:tbl>
      <w:tblPr>
        <w:tblW w:type="dxa" w:w="9360"/>
        <w:tblBorders>
          <w:top w:val="single" w:color="e2ded5" w:sz="4"/>
          <w:left w:val="single" w:color="e2ded5" w:sz="4"/>
          <w:bottom w:val="single" w:color="e2ded5" w:sz="4"/>
          <w:right w:val="single" w:color="e2ded5" w:sz="4"/>
          <w:insideH w:val="single" w:color="e2ded5" w:sz="4"/>
          <w:insideV w:val="single" w:color="e2ded5" w:sz="4"/>
        </w:tblBorders>
      </w:tblPr>
      <w:tblGrid>
        <w:gridCol w:w="5400"/>
        <w:gridCol w:w="3960"/>
      </w:tblGrid>
      <w:tr>
        <w:trPr>
          <w:tblHeader/>
        </w:trPr>
        <w:tc>
          <w:tcPr>
            <w:tcW w:type="dxa" w:w="5400"/>
            <w:shd w:fill="2b2f38" w:val="clear"/>
            <w:tcMar>
              <w:top w:type="dxa" w:w="90"/>
              <w:left w:type="dxa" w:w="110"/>
              <w:bottom w:type="dxa" w:w="90"/>
              <w:right w:type="dxa" w:w="110"/>
            </w:tcMar>
          </w:tcPr>
          <w:p>
            <w:r>
              <w:rPr>
                <w:b/>
                <w:bCs/>
                <w:color w:val="ffffff"/>
                <w:sz w:val="19"/>
                <w:szCs w:val="19"/>
              </w:rPr>
              <w:t xml:space="preserve">Rule</w:t>
            </w:r>
          </w:p>
        </w:tc>
        <w:tc>
          <w:tcPr>
            <w:tcW w:type="dxa" w:w="3960"/>
            <w:shd w:fill="2b2f38" w:val="clear"/>
            <w:tcMar>
              <w:top w:type="dxa" w:w="90"/>
              <w:left w:type="dxa" w:w="110"/>
              <w:bottom w:type="dxa" w:w="90"/>
              <w:right w:type="dxa" w:w="110"/>
            </w:tcMar>
          </w:tcPr>
          <w:p>
            <w:r>
              <w:rPr>
                <w:b/>
                <w:bCs/>
                <w:color w:val="ffffff"/>
                <w:sz w:val="19"/>
                <w:szCs w:val="19"/>
              </w:rPr>
              <w:t xml:space="preserve">Catches</w:t>
            </w:r>
          </w:p>
        </w:tc>
      </w:tr>
      <w:tr>
        <w:tc>
          <w:tcPr>
            <w:tcW w:type="dxa" w:w="5400"/>
            <w:tcMar>
              <w:top w:type="dxa" w:w="90"/>
              <w:left w:type="dxa" w:w="110"/>
              <w:bottom w:type="dxa" w:w="90"/>
              <w:right w:type="dxa" w:w="110"/>
            </w:tcMar>
          </w:tcPr>
          <w:p>
            <w:r>
              <w:rPr>
                <w:b w:val="false"/>
                <w:bCs w:val="false"/>
                <w:color w:val="1c2028"/>
                <w:sz w:val="20"/>
                <w:szCs w:val="20"/>
              </w:rPr>
              <w:t xml:space="preserve">Performance must be between 20% and 130% of target</w:t>
            </w:r>
          </w:p>
        </w:tc>
        <w:tc>
          <w:tcPr>
            <w:tcW w:type="dxa" w:w="3960"/>
            <w:tcMar>
              <w:top w:type="dxa" w:w="90"/>
              <w:left w:type="dxa" w:w="110"/>
              <w:bottom w:type="dxa" w:w="90"/>
              <w:right w:type="dxa" w:w="110"/>
            </w:tcMar>
          </w:tcPr>
          <w:p>
            <w:r>
              <w:rPr>
                <w:b w:val="false"/>
                <w:bCs w:val="false"/>
                <w:color w:val="1c2028"/>
                <w:sz w:val="20"/>
                <w:szCs w:val="20"/>
              </w:rPr>
              <w:t xml:space="preserve">Stale target-rate master data (20 orders today)</w:t>
            </w:r>
          </w:p>
        </w:tc>
      </w:tr>
      <w:tr>
        <w:tc>
          <w:tcPr>
            <w:tcW w:type="dxa" w:w="5400"/>
            <w:tcMar>
              <w:top w:type="dxa" w:w="90"/>
              <w:left w:type="dxa" w:w="110"/>
              <w:bottom w:type="dxa" w:w="90"/>
              <w:right w:type="dxa" w:w="110"/>
            </w:tcMar>
          </w:tcPr>
          <w:p>
            <w:r>
              <w:rPr>
                <w:b w:val="false"/>
                <w:bCs w:val="false"/>
                <w:color w:val="1c2028"/>
                <w:sz w:val="20"/>
                <w:szCs w:val="20"/>
              </w:rPr>
              <w:t xml:space="preserve">MES vs Excel quantity gap above 10% triggers a review</w:t>
            </w:r>
          </w:p>
        </w:tc>
        <w:tc>
          <w:tcPr>
            <w:tcW w:type="dxa" w:w="3960"/>
            <w:tcMar>
              <w:top w:type="dxa" w:w="90"/>
              <w:left w:type="dxa" w:w="110"/>
              <w:bottom w:type="dxa" w:w="90"/>
              <w:right w:type="dxa" w:w="110"/>
            </w:tcMar>
          </w:tcPr>
          <w:p>
            <w:r>
              <w:rPr>
                <w:b w:val="false"/>
                <w:bCs w:val="false"/>
                <w:color w:val="1c2028"/>
                <w:sz w:val="20"/>
                <w:szCs w:val="20"/>
              </w:rPr>
              <w:t xml:space="preserve">Record-splitting mismatches (9 orders over 50% today)</w:t>
            </w:r>
          </w:p>
        </w:tc>
      </w:tr>
      <w:tr>
        <w:tc>
          <w:tcPr>
            <w:tcW w:type="dxa" w:w="5400"/>
            <w:tcMar>
              <w:top w:type="dxa" w:w="90"/>
              <w:left w:type="dxa" w:w="110"/>
              <w:bottom w:type="dxa" w:w="90"/>
              <w:right w:type="dxa" w:w="110"/>
            </w:tcMar>
          </w:tcPr>
          <w:p>
            <w:r>
              <w:rPr>
                <w:b w:val="false"/>
                <w:bCs w:val="false"/>
                <w:color w:val="1c2028"/>
                <w:sz w:val="20"/>
                <w:szCs w:val="20"/>
              </w:rPr>
              <w:t xml:space="preserve">Every stoppage row must reference an existing work record</w:t>
            </w:r>
          </w:p>
        </w:tc>
        <w:tc>
          <w:tcPr>
            <w:tcW w:type="dxa" w:w="3960"/>
            <w:tcMar>
              <w:top w:type="dxa" w:w="90"/>
              <w:left w:type="dxa" w:w="110"/>
              <w:bottom w:type="dxa" w:w="90"/>
              <w:right w:type="dxa" w:w="110"/>
            </w:tcMar>
          </w:tcPr>
          <w:p>
            <w:r>
              <w:rPr>
                <w:b w:val="false"/>
                <w:bCs w:val="false"/>
                <w:color w:val="1c2028"/>
                <w:sz w:val="20"/>
                <w:szCs w:val="20"/>
              </w:rPr>
              <w:t xml:space="preserve">Orphaned stoppages (32% of rows today)</w:t>
            </w:r>
          </w:p>
        </w:tc>
      </w:tr>
      <w:tr>
        <w:tc>
          <w:tcPr>
            <w:tcW w:type="dxa" w:w="5400"/>
            <w:tcMar>
              <w:top w:type="dxa" w:w="90"/>
              <w:left w:type="dxa" w:w="110"/>
              <w:bottom w:type="dxa" w:w="90"/>
              <w:right w:type="dxa" w:w="110"/>
            </w:tcMar>
          </w:tcPr>
          <w:p>
            <w:r>
              <w:rPr>
                <w:b w:val="false"/>
                <w:bCs w:val="false"/>
                <w:color w:val="1c2028"/>
                <w:sz w:val="20"/>
                <w:szCs w:val="20"/>
              </w:rPr>
              <w:t xml:space="preserve">Every work record must carry a reject count, even if zero</w:t>
            </w:r>
          </w:p>
        </w:tc>
        <w:tc>
          <w:tcPr>
            <w:tcW w:type="dxa" w:w="3960"/>
            <w:tcMar>
              <w:top w:type="dxa" w:w="90"/>
              <w:left w:type="dxa" w:w="110"/>
              <w:bottom w:type="dxa" w:w="90"/>
              <w:right w:type="dxa" w:w="110"/>
            </w:tcMar>
          </w:tcPr>
          <w:p>
            <w:r>
              <w:rPr>
                <w:b w:val="false"/>
                <w:bCs w:val="false"/>
                <w:color w:val="1c2028"/>
                <w:sz w:val="20"/>
                <w:szCs w:val="20"/>
              </w:rPr>
              <w:t xml:space="preserve">Missing quality data (97% of records today)</w:t>
            </w:r>
          </w:p>
        </w:tc>
      </w:tr>
      <w:tr>
        <w:tc>
          <w:tcPr>
            <w:tcW w:type="dxa" w:w="5400"/>
            <w:tcMar>
              <w:top w:type="dxa" w:w="90"/>
              <w:left w:type="dxa" w:w="110"/>
              <w:bottom w:type="dxa" w:w="90"/>
              <w:right w:type="dxa" w:w="110"/>
            </w:tcMar>
          </w:tcPr>
          <w:p>
            <w:r>
              <w:rPr>
                <w:b w:val="false"/>
                <w:bCs w:val="false"/>
                <w:color w:val="1c2028"/>
                <w:sz w:val="20"/>
                <w:szCs w:val="20"/>
              </w:rPr>
              <w:t xml:space="preserve">Period end cannot pass the end of the last scheduled shift without an explicit night booking</w:t>
            </w:r>
          </w:p>
        </w:tc>
        <w:tc>
          <w:tcPr>
            <w:tcW w:type="dxa" w:w="3960"/>
            <w:tcMar>
              <w:top w:type="dxa" w:w="90"/>
              <w:left w:type="dxa" w:w="110"/>
              <w:bottom w:type="dxa" w:w="90"/>
              <w:right w:type="dxa" w:w="110"/>
            </w:tcMar>
          </w:tcPr>
          <w:p>
            <w:r>
              <w:rPr>
                <w:b w:val="false"/>
                <w:bCs w:val="false"/>
                <w:color w:val="1c2028"/>
                <w:sz w:val="20"/>
                <w:szCs w:val="20"/>
              </w:rPr>
              <w:t xml:space="preserve">Overnight clock inflating MES durations</w:t>
            </w:r>
          </w:p>
        </w:tc>
      </w:tr>
    </w:tbl>
    <w:p>
      <w:pPr>
        <w:pStyle w:val="Heading1"/>
        <w:spacing w:after="200" w:before="400"/>
      </w:pPr>
      <w:r>
        <w:rPr>
          <w:b/>
          <w:bCs/>
          <w:color w:val="1c2028"/>
        </w:rPr>
        <w:t xml:space="preserve">Limitations, stated plainly</w:t>
      </w:r>
    </w:p>
    <w:tbl>
      <w:tblPr>
        <w:tblW w:type="dxa" w:w="9360"/>
        <w:tblBorders>
          <w:top w:val="single" w:color="e2ded5" w:sz="4"/>
          <w:left w:val="single" w:color="e2ded5" w:sz="4"/>
          <w:bottom w:val="single" w:color="e2ded5" w:sz="4"/>
          <w:right w:val="single" w:color="e2ded5" w:sz="4"/>
          <w:insideH w:val="single" w:color="e2ded5" w:sz="4"/>
          <w:insideV w:val="single" w:color="e2ded5" w:sz="4"/>
        </w:tblBorders>
      </w:tblPr>
      <w:tblGrid>
        <w:gridCol w:w="4200"/>
        <w:gridCol w:w="5160"/>
      </w:tblGrid>
      <w:tr>
        <w:trPr>
          <w:tblHeader/>
        </w:trPr>
        <w:tc>
          <w:tcPr>
            <w:tcW w:type="dxa" w:w="4200"/>
            <w:shd w:fill="2b2f38" w:val="clear"/>
            <w:tcMar>
              <w:top w:type="dxa" w:w="90"/>
              <w:left w:type="dxa" w:w="110"/>
              <w:bottom w:type="dxa" w:w="90"/>
              <w:right w:type="dxa" w:w="110"/>
            </w:tcMar>
          </w:tcPr>
          <w:p>
            <w:r>
              <w:rPr>
                <w:b/>
                <w:bCs/>
                <w:color w:val="ffffff"/>
                <w:sz w:val="19"/>
                <w:szCs w:val="19"/>
              </w:rPr>
              <w:t xml:space="preserve">Limitation</w:t>
            </w:r>
          </w:p>
        </w:tc>
        <w:tc>
          <w:tcPr>
            <w:tcW w:type="dxa" w:w="5160"/>
            <w:shd w:fill="2b2f38" w:val="clear"/>
            <w:tcMar>
              <w:top w:type="dxa" w:w="90"/>
              <w:left w:type="dxa" w:w="110"/>
              <w:bottom w:type="dxa" w:w="90"/>
              <w:right w:type="dxa" w:w="110"/>
            </w:tcMar>
          </w:tcPr>
          <w:p>
            <w:r>
              <w:rPr>
                <w:b/>
                <w:bCs/>
                <w:color w:val="ffffff"/>
                <w:sz w:val="19"/>
                <w:szCs w:val="19"/>
              </w:rPr>
              <w:t xml:space="preserve">Effect on the results</w:t>
            </w:r>
          </w:p>
        </w:tc>
      </w:tr>
      <w:tr>
        <w:tc>
          <w:tcPr>
            <w:tcW w:type="dxa" w:w="4200"/>
            <w:tcMar>
              <w:top w:type="dxa" w:w="90"/>
              <w:left w:type="dxa" w:w="110"/>
              <w:bottom w:type="dxa" w:w="90"/>
              <w:right w:type="dxa" w:w="110"/>
            </w:tcMar>
          </w:tcPr>
          <w:p>
            <w:r>
              <w:rPr>
                <w:b w:val="false"/>
                <w:bCs w:val="false"/>
                <w:color w:val="1c2028"/>
                <w:sz w:val="20"/>
                <w:szCs w:val="20"/>
              </w:rPr>
              <w:t xml:space="preserve">No reliable Quality factor (rejects link to &lt;3% of work records)</w:t>
            </w:r>
          </w:p>
        </w:tc>
        <w:tc>
          <w:tcPr>
            <w:tcW w:type="dxa" w:w="5160"/>
            <w:tcMar>
              <w:top w:type="dxa" w:w="90"/>
              <w:left w:type="dxa" w:w="110"/>
              <w:bottom w:type="dxa" w:w="90"/>
              <w:right w:type="dxa" w:w="110"/>
            </w:tcMar>
          </w:tcPr>
          <w:p>
            <w:r>
              <w:rPr>
                <w:b w:val="false"/>
                <w:bCs w:val="false"/>
                <w:color w:val="1c2028"/>
                <w:sz w:val="20"/>
                <w:szCs w:val="20"/>
              </w:rPr>
              <w:t xml:space="preserve">OEE is an upper bound; true OEE is lower</w:t>
            </w:r>
          </w:p>
        </w:tc>
      </w:tr>
      <w:tr>
        <w:tc>
          <w:tcPr>
            <w:tcW w:type="dxa" w:w="4200"/>
            <w:tcMar>
              <w:top w:type="dxa" w:w="90"/>
              <w:left w:type="dxa" w:w="110"/>
              <w:bottom w:type="dxa" w:w="90"/>
              <w:right w:type="dxa" w:w="110"/>
            </w:tcMar>
          </w:tcPr>
          <w:p>
            <w:r>
              <w:rPr>
                <w:b w:val="false"/>
                <w:bCs w:val="false"/>
                <w:color w:val="1c2028"/>
                <w:sz w:val="20"/>
                <w:szCs w:val="20"/>
              </w:rPr>
              <w:t xml:space="preserve">Energy covers 3.5 hours on one line and one order</w:t>
            </w:r>
          </w:p>
        </w:tc>
        <w:tc>
          <w:tcPr>
            <w:tcW w:type="dxa" w:w="5160"/>
            <w:tcMar>
              <w:top w:type="dxa" w:w="90"/>
              <w:left w:type="dxa" w:w="110"/>
              <w:bottom w:type="dxa" w:w="90"/>
              <w:right w:type="dxa" w:w="110"/>
            </w:tcMar>
          </w:tcPr>
          <w:p>
            <w:r>
              <w:rPr>
                <w:b w:val="false"/>
                <w:bCs w:val="false"/>
                <w:color w:val="1c2028"/>
                <w:sz w:val="20"/>
                <w:szCs w:val="20"/>
              </w:rPr>
              <w:t xml:space="preserve">Sub-machine split is solid; per-order and scaled figures are estimates, and density or rate effects cannot be tested yet</w:t>
            </w:r>
          </w:p>
        </w:tc>
      </w:tr>
      <w:tr>
        <w:tc>
          <w:tcPr>
            <w:tcW w:type="dxa" w:w="4200"/>
            <w:tcMar>
              <w:top w:type="dxa" w:w="90"/>
              <w:left w:type="dxa" w:w="110"/>
              <w:bottom w:type="dxa" w:w="90"/>
              <w:right w:type="dxa" w:w="110"/>
            </w:tcMar>
          </w:tcPr>
          <w:p>
            <w:r>
              <w:rPr>
                <w:b w:val="false"/>
                <w:bCs w:val="false"/>
                <w:color w:val="1c2028"/>
                <w:sz w:val="20"/>
                <w:szCs w:val="20"/>
              </w:rPr>
              <w:t xml:space="preserve">Only 263 of 913 MES orders have an Excel counterpart</w:t>
            </w:r>
          </w:p>
        </w:tc>
        <w:tc>
          <w:tcPr>
            <w:tcW w:type="dxa" w:w="5160"/>
            <w:tcMar>
              <w:top w:type="dxa" w:w="90"/>
              <w:left w:type="dxa" w:w="110"/>
              <w:bottom w:type="dxa" w:w="90"/>
              <w:right w:type="dxa" w:w="110"/>
            </w:tcMar>
          </w:tcPr>
          <w:p>
            <w:r>
              <w:rPr>
                <w:b w:val="false"/>
                <w:bCs w:val="false"/>
                <w:color w:val="1c2028"/>
                <w:sz w:val="20"/>
                <w:szCs w:val="20"/>
              </w:rPr>
              <w:t xml:space="preserve">The reconciliation covers roughly a quarter of MES volume</w:t>
            </w:r>
          </w:p>
        </w:tc>
      </w:tr>
      <w:tr>
        <w:tc>
          <w:tcPr>
            <w:tcW w:type="dxa" w:w="4200"/>
            <w:tcMar>
              <w:top w:type="dxa" w:w="90"/>
              <w:left w:type="dxa" w:w="110"/>
              <w:bottom w:type="dxa" w:w="90"/>
              <w:right w:type="dxa" w:w="110"/>
            </w:tcMar>
          </w:tcPr>
          <w:p>
            <w:r>
              <w:rPr>
                <w:b w:val="false"/>
                <w:bCs w:val="false"/>
                <w:color w:val="1c2028"/>
                <w:sz w:val="20"/>
                <w:szCs w:val="20"/>
              </w:rPr>
              <w:t xml:space="preserve">Most products have fewer than 5 orders</w:t>
            </w:r>
          </w:p>
        </w:tc>
        <w:tc>
          <w:tcPr>
            <w:tcW w:type="dxa" w:w="5160"/>
            <w:tcMar>
              <w:top w:type="dxa" w:w="90"/>
              <w:left w:type="dxa" w:w="110"/>
              <w:bottom w:type="dxa" w:w="90"/>
              <w:right w:type="dxa" w:w="110"/>
            </w:tcMar>
          </w:tcPr>
          <w:p>
            <w:r>
              <w:rPr>
                <w:b w:val="false"/>
                <w:bCs w:val="false"/>
                <w:color w:val="1c2028"/>
                <w:sz w:val="20"/>
                <w:szCs w:val="20"/>
              </w:rPr>
              <w:t xml:space="preserve">Product-level comparisons hold only for the 41 higher-volume SKUs</w:t>
            </w:r>
          </w:p>
        </w:tc>
      </w:tr>
      <w:tr>
        <w:tc>
          <w:tcPr>
            <w:tcW w:type="dxa" w:w="4200"/>
            <w:tcMar>
              <w:top w:type="dxa" w:w="90"/>
              <w:left w:type="dxa" w:w="110"/>
              <w:bottom w:type="dxa" w:w="90"/>
              <w:right w:type="dxa" w:w="110"/>
            </w:tcMar>
          </w:tcPr>
          <w:p>
            <w:r>
              <w:rPr>
                <w:b w:val="false"/>
                <w:bCs w:val="false"/>
                <w:color w:val="1c2028"/>
                <w:sz w:val="20"/>
                <w:szCs w:val="20"/>
              </w:rPr>
              <w:t xml:space="preserve">Correlations are pairwise</w:t>
            </w:r>
          </w:p>
        </w:tc>
        <w:tc>
          <w:tcPr>
            <w:tcW w:type="dxa" w:w="5160"/>
            <w:tcMar>
              <w:top w:type="dxa" w:w="90"/>
              <w:left w:type="dxa" w:w="110"/>
              <w:bottom w:type="dxa" w:w="90"/>
              <w:right w:type="dxa" w:w="110"/>
            </w:tcMar>
          </w:tcPr>
          <w:p>
            <w:r>
              <w:rPr>
                <w:b w:val="false"/>
                <w:bCs w:val="false"/>
                <w:color w:val="1c2028"/>
                <w:sz w:val="20"/>
                <w:szCs w:val="20"/>
              </w:rPr>
              <w:t xml:space="preserve">Order size, crew size and product are entangled; a multivariate model is the next step before claiming causation</w:t>
            </w:r>
          </w:p>
        </w:tc>
      </w:tr>
      <w:tr>
        <w:tc>
          <w:tcPr>
            <w:tcW w:type="dxa" w:w="4200"/>
            <w:tcMar>
              <w:top w:type="dxa" w:w="90"/>
              <w:left w:type="dxa" w:w="110"/>
              <w:bottom w:type="dxa" w:w="90"/>
              <w:right w:type="dxa" w:w="110"/>
            </w:tcMar>
          </w:tcPr>
          <w:p>
            <w:r>
              <w:rPr>
                <w:b w:val="false"/>
                <w:bCs w:val="false"/>
                <w:color w:val="1c2028"/>
                <w:sz w:val="20"/>
                <w:szCs w:val="20"/>
              </w:rPr>
              <w:t xml:space="preserve">32% of stoppage rows have no parent period</w:t>
            </w:r>
          </w:p>
        </w:tc>
        <w:tc>
          <w:tcPr>
            <w:tcW w:type="dxa" w:w="5160"/>
            <w:tcMar>
              <w:top w:type="dxa" w:w="90"/>
              <w:left w:type="dxa" w:w="110"/>
              <w:bottom w:type="dxa" w:w="90"/>
              <w:right w:type="dxa" w:w="110"/>
            </w:tcMar>
          </w:tcPr>
          <w:p>
            <w:r>
              <w:rPr>
                <w:b w:val="false"/>
                <w:bCs w:val="false"/>
                <w:color w:val="1c2028"/>
                <w:sz w:val="20"/>
                <w:szCs w:val="20"/>
              </w:rPr>
              <w:t xml:space="preserve">Reason-level hours are a lower bound</w:t>
            </w:r>
          </w:p>
        </w:tc>
      </w:tr>
    </w:tbl>
    <w:p>
      <w:pPr>
        <w:pStyle w:val="Heading1"/>
        <w:spacing w:after="200" w:before="400"/>
      </w:pPr>
      <w:r>
        <w:rPr>
          <w:b/>
          <w:bCs/>
          <w:color w:val="1c2028"/>
        </w:rPr>
        <w:t xml:space="preserve">Skills and takeaways</w:t>
      </w:r>
    </w:p>
    <w:p>
      <w:pPr>
        <w:spacing w:after="160"/>
      </w:pPr>
      <w:r>
        <w:rPr>
          <w:b/>
          <w:bCs/>
          <w:color w:val="1c2028"/>
        </w:rPr>
        <w:t xml:space="preserve">Tools and methods: </w:t>
      </w:r>
      <w:r>
        <w:rPr>
          <w:color w:val="1c2028"/>
        </w:rPr>
        <w:t xml:space="preserve">Excel for exploration, plus Python scripts (pandas) to clean, cross-reference and visualise the data and surface patterns; relational data modelling and schema design; OEE and manufacturing KPI design; time-series alignment of energy-meter data to production events; source reconciliation at order and order-day grain; data-quality rules and validation design; translating German shop-floor terminology.</w:t>
      </w:r>
    </w:p>
    <w:p>
      <w:pPr>
        <w:pStyle w:val="Heading3"/>
        <w:spacing w:after="110" w:before="220"/>
      </w:pPr>
      <w:r>
        <w:rPr>
          <w:b/>
          <w:bCs/>
          <w:color w:val="1c2028"/>
        </w:rPr>
        <w:t xml:space="preserve">What I'd carry into the next project</w:t>
      </w:r>
    </w:p>
    <w:p>
      <w:pPr>
        <w:pStyle w:val="ListParagraph"/>
        <w:numPr>
          <w:ilvl w:val="0"/>
          <w:numId w:val="3"/>
        </w:numPr>
        <w:spacing w:after="90"/>
      </w:pPr>
      <w:r>
        <w:rPr>
          <w:b/>
          <w:bCs/>
          <w:color w:val="1c2028"/>
        </w:rPr>
        <w:t xml:space="preserve">Map before you measure. </w:t>
      </w:r>
      <w:r>
        <w:rPr>
          <w:color w:val="1c2028"/>
        </w:rPr>
        <w:t xml:space="preserve">The schema diagram was the most valuable hour of the 24 we had; every good finding came from knowing exactly which join it rested on.</w:t>
      </w:r>
    </w:p>
    <w:p>
      <w:pPr>
        <w:pStyle w:val="ListParagraph"/>
        <w:numPr>
          <w:ilvl w:val="0"/>
          <w:numId w:val="3"/>
        </w:numPr>
        <w:spacing w:after="90"/>
      </w:pPr>
      <w:r>
        <w:rPr>
          <w:b/>
          <w:bCs/>
          <w:color w:val="1c2028"/>
        </w:rPr>
        <w:t xml:space="preserve">Medians before means on operational data. </w:t>
      </w:r>
      <w:r>
        <w:rPr>
          <w:color w:val="1c2028"/>
        </w:rPr>
        <w:t xml:space="preserve">Nine bad orders out of 263 turned a 0.65% typical gap into a 30% average one.</w:t>
      </w:r>
    </w:p>
    <w:p>
      <w:pPr>
        <w:pStyle w:val="ListParagraph"/>
        <w:numPr>
          <w:ilvl w:val="0"/>
          <w:numId w:val="3"/>
        </w:numPr>
        <w:spacing w:after="90"/>
      </w:pPr>
      <w:r>
        <w:rPr>
          <w:b/>
          <w:bCs/>
          <w:color w:val="1c2028"/>
        </w:rPr>
        <w:t xml:space="preserve">"The data is broken" is a hypothesis, not a conclusion. </w:t>
      </w:r>
      <w:r>
        <w:rPr>
          <w:color w:val="1c2028"/>
        </w:rPr>
        <w:t xml:space="preserve">The stoppage table looked unusable until it was tested against a second source, at which point it explained itself.</w:t>
      </w:r>
    </w:p>
    <w:p>
      <w:pPr>
        <w:pStyle w:val="ListParagraph"/>
        <w:numPr>
          <w:ilvl w:val="0"/>
          <w:numId w:val="3"/>
        </w:numPr>
        <w:spacing w:after="90"/>
      </w:pPr>
      <w:r>
        <w:rPr>
          <w:b/>
          <w:bCs/>
          <w:color w:val="1c2028"/>
        </w:rPr>
        <w:t xml:space="preserve">Say what can't be answered, and what would fix it. </w:t>
      </w:r>
      <w:r>
        <w:rPr>
          <w:color w:val="1c2028"/>
        </w:rPr>
        <w:t xml:space="preserve">The energy workstream was more convincing as 'here is the one join that works, and the meter setup that would scale it' than any chart built on assumptions.</w:t>
      </w:r>
    </w:p>
    <w:p>
      <w:pPr>
        <w:pStyle w:val="ListParagraph"/>
        <w:numPr>
          <w:ilvl w:val="0"/>
          <w:numId w:val="3"/>
        </w:numPr>
        <w:spacing w:after="90"/>
      </w:pPr>
      <w:r>
        <w:rPr>
          <w:b/>
          <w:bCs/>
          <w:color w:val="1c2028"/>
        </w:rPr>
        <w:t xml:space="preserve">Presentation is part of the analysis. </w:t>
      </w:r>
      <w:r>
        <w:rPr>
          <w:color w:val="1c2028"/>
        </w:rPr>
        <w:t xml:space="preserve">Our findings were solid on the day but lost clarity in delivery; this write-up is the version I would present now: one claim per section, the evidence under it, and the limits next to the number.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3f5a8b8951c3b4b13bf862b28ab75a49247cad.png"/><Relationship Id="rId8" Type="http://schemas.openxmlformats.org/officeDocument/2006/relationships/image" Target="media/459797432a750ad44e1ae3f33b91cee481e34dcd.png"/><Relationship Id="rId9" Type="http://schemas.openxmlformats.org/officeDocument/2006/relationships/image" Target="media/44d98e750f92cec19ae79dac52f5e57cd2c55c62.png"/><Relationship Id="rId10" Type="http://schemas.openxmlformats.org/officeDocument/2006/relationships/image" Target="media/76f3eb542005ea64833ef0d0730f49f4f328e3c1.png"/><Relationship Id="rId11" Type="http://schemas.openxmlformats.org/officeDocument/2006/relationships/image" Target="media/ee2e21b93f71ceb8da46cf73f45337f13e229f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2026-10-01T07:29:04.544Z</dcterms:created>
  <dcterms:modified xsi:type="dcterms:W3CDTF">2026-10-01T07:29:04.544Z</dcterms:modified>
</cp:coreProperties>
</file>

<file path=docProps/custom.xml><?xml version="1.0" encoding="utf-8"?>
<Properties xmlns="http://schemas.openxmlformats.org/officeDocument/2006/custom-properties" xmlns:vt="http://schemas.openxmlformats.org/officeDocument/2006/docPropsVTypes"/>
</file>