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Индивидуальный образовательный маршрут</w:t>
      </w:r>
    </w:p>
    <w:p>
      <w:r>
        <w:t>Отчёт сформирован: 27.01.2026 10:52</w:t>
      </w:r>
    </w:p>
    <w:p/>
    <w:p>
      <w:pPr>
        <w:pStyle w:val="Heading1"/>
      </w:pPr>
      <w:r>
        <w:t>Цели</w:t>
      </w:r>
    </w:p>
    <w:p>
      <w:pPr>
        <w:pStyle w:val="Heading2"/>
      </w:pPr>
      <w:r>
        <w:t>вепо</w:t>
      </w:r>
    </w:p>
    <w:p>
      <w:r>
        <w:t>Тип: Другое</w:t>
      </w:r>
    </w:p>
    <w:p>
      <w:r>
        <w:t>Статус: Новая</w:t>
      </w:r>
    </w:p>
    <w:p>
      <w:r>
        <w:t>Плановая дата: 2000-12-12</w:t>
      </w:r>
    </w:p>
    <w:p>
      <w:r>
        <w:t>Фактическая дата: 2001-12-12</w:t>
      </w:r>
    </w:p>
    <w:p>
      <w:r>
        <w:t>Темп: быстрый</w:t>
      </w:r>
    </w:p>
    <w:p>
      <w:r>
        <w:t>3пну</w:t>
      </w:r>
    </w:p>
    <w:p/>
    <w:p>
      <w:pPr>
        <w:pStyle w:val="Heading1"/>
      </w:pPr>
      <w:r>
        <w:t>Навыки</w:t>
      </w:r>
    </w:p>
    <w:p>
      <w:pPr>
        <w:pStyle w:val="ListBullet"/>
      </w:pPr>
      <w:r>
        <w:t>странный — 1 цели</w:t>
      </w:r>
    </w:p>
    <w:p>
      <w:pPr>
        <w:pStyle w:val="Heading1"/>
      </w:pPr>
      <w:r>
        <w:t>Компетенции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Компетенция</w:t>
            </w:r>
          </w:p>
        </w:tc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Средний уровень</w:t>
            </w:r>
          </w:p>
        </w:tc>
      </w:tr>
      <w:tr>
        <w:tc>
          <w:tcPr>
            <w:tcW w:type="dxa" w:w="2880"/>
          </w:tcPr>
          <w:p>
            <w:r>
              <w:t>Работа с БД</w:t>
            </w:r>
          </w:p>
        </w:tc>
        <w:tc>
          <w:tcPr>
            <w:tcW w:type="dxa" w:w="2880"/>
          </w:tcPr>
          <w:p>
            <w:r>
              <w:t>Технические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  <w:tr>
        <w:tc>
          <w:tcPr>
            <w:tcW w:type="dxa" w:w="2880"/>
          </w:tcPr>
          <w:p>
            <w:r>
              <w:t>Презентация результатов</w:t>
            </w:r>
          </w:p>
        </w:tc>
        <w:tc>
          <w:tcPr>
            <w:tcW w:type="dxa" w:w="2880"/>
          </w:tcPr>
          <w:p>
            <w:r>
              <w:t>Коммуникативные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Управление проектами</w:t>
            </w:r>
          </w:p>
        </w:tc>
        <w:tc>
          <w:tcPr>
            <w:tcW w:type="dxa" w:w="2880"/>
          </w:tcPr>
          <w:p>
            <w:r>
              <w:t>Организационные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</w:tbl>
    <w:p>
      <w:pPr>
        <w:pStyle w:val="Heading1"/>
      </w:pPr>
      <w:r>
        <w:t>Слабые зоны</w:t>
      </w:r>
    </w:p>
    <w:p>
      <w:r>
        <w:t>Слабых зон не обнаружено</w:t>
      </w:r>
    </w:p>
    <w:p>
      <w:pPr>
        <w:pStyle w:val="Heading1"/>
      </w:pPr>
      <w:r>
        <w:t>Рекомендации</w:t>
      </w:r>
    </w:p>
    <w:p>
      <w:r>
        <w:t>Все компетенции развиваются хорошо. Продолжайте в том же духе!</w:t>
      </w:r>
    </w:p>
    <w:p>
      <w:pPr>
        <w:pStyle w:val="Heading1"/>
      </w:pPr>
      <w:r>
        <w:t>Достижения</w:t>
      </w:r>
    </w:p>
    <w:p>
      <w:pPr>
        <w:pStyle w:val="ListBullet"/>
      </w:pPr>
      <w:r>
        <w:t>Старт — Создана первая цель</w:t>
      </w:r>
    </w:p>
    <w:p>
      <w:pPr>
        <w:pStyle w:val="Heading1"/>
      </w:pPr>
      <w:r>
        <w:t>Цели на семестр</w:t>
      </w:r>
    </w:p>
    <w:p>
      <w:r>
        <w:t>Цели на семестр не установлены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