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219" w:rsidRPr="00962219" w:rsidRDefault="00FC2770" w:rsidP="00962219">
      <w:pPr>
        <w:pStyle w:val="Heading1"/>
        <w:jc w:val="left"/>
        <w:rPr>
          <w:b w:val="0"/>
          <w:caps w:val="0"/>
          <w:color w:val="002776"/>
        </w:rPr>
      </w:pPr>
      <w:r w:rsidRPr="00780A9B">
        <w:rPr>
          <w:rFonts w:ascii="Verdana" w:hAnsi="Verdana"/>
          <w:noProof/>
          <w:color w:val="00A3E0"/>
          <w:sz w:val="28"/>
          <w:szCs w:val="28"/>
        </w:rPr>
        <w:drawing>
          <wp:anchor distT="0" distB="0" distL="114300" distR="114300" simplePos="0" relativeHeight="251659264" behindDoc="0" locked="0" layoutInCell="1" allowOverlap="1" wp14:anchorId="41E22A18" wp14:editId="1C75A593">
            <wp:simplePos x="0" y="0"/>
            <wp:positionH relativeFrom="margin">
              <wp:align>left</wp:align>
            </wp:positionH>
            <wp:positionV relativeFrom="paragraph">
              <wp:posOffset>-270510</wp:posOffset>
            </wp:positionV>
            <wp:extent cx="1435100" cy="27051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0" cy="270510"/>
                    </a:xfrm>
                    <a:prstGeom prst="rect">
                      <a:avLst/>
                    </a:prstGeom>
                  </pic:spPr>
                </pic:pic>
              </a:graphicData>
            </a:graphic>
          </wp:anchor>
        </w:drawing>
      </w:r>
    </w:p>
    <w:p w:rsidR="00275E18" w:rsidRDefault="00275E18" w:rsidP="00962219">
      <w:pPr>
        <w:pStyle w:val="Heading1"/>
        <w:jc w:val="left"/>
        <w:rPr>
          <w:b w:val="0"/>
          <w:caps w:val="0"/>
          <w:color w:val="002776"/>
          <w:sz w:val="40"/>
          <w:szCs w:val="28"/>
        </w:rPr>
      </w:pPr>
      <w:r w:rsidRPr="00885675">
        <w:rPr>
          <w:b w:val="0"/>
          <w:caps w:val="0"/>
          <w:color w:val="002776"/>
          <w:sz w:val="40"/>
          <w:szCs w:val="28"/>
        </w:rPr>
        <w:t>Employment separation checklist</w:t>
      </w:r>
    </w:p>
    <w:p w:rsidR="003A78D1" w:rsidRPr="003A78D1" w:rsidRDefault="003A78D1" w:rsidP="00962219">
      <w:pPr>
        <w:pStyle w:val="Heading1"/>
        <w:jc w:val="left"/>
        <w:rPr>
          <w:b w:val="0"/>
          <w:caps w:val="0"/>
          <w:color w:val="002776"/>
          <w:sz w:val="16"/>
          <w:szCs w:val="16"/>
        </w:rPr>
      </w:pPr>
    </w:p>
    <w:p w:rsidR="004D3E91" w:rsidRDefault="00275E18" w:rsidP="00275E18">
      <w:pPr>
        <w:pStyle w:val="NormalWeb"/>
        <w:spacing w:before="0" w:beforeAutospacing="0" w:after="0" w:afterAutospacing="0"/>
        <w:rPr>
          <w:rFonts w:ascii="Arial" w:hAnsi="Arial" w:cs="Arial"/>
          <w:sz w:val="18"/>
          <w:szCs w:val="18"/>
        </w:rPr>
      </w:pPr>
      <w:r w:rsidRPr="00557D04">
        <w:rPr>
          <w:rFonts w:ascii="Arial" w:hAnsi="Arial" w:cs="Arial"/>
          <w:sz w:val="18"/>
          <w:szCs w:val="18"/>
        </w:rPr>
        <w:t xml:space="preserve">This checklist is designed to guide you through the process when you resign or retire from Deloitte LLP or any of its subsidiaries (collectively the “Deloitte U.S. Firms”). </w:t>
      </w:r>
    </w:p>
    <w:p w:rsidR="00275E18" w:rsidRPr="00275E18" w:rsidRDefault="00275E18" w:rsidP="00275E18">
      <w:pPr>
        <w:pStyle w:val="NormalWeb"/>
        <w:spacing w:before="0" w:beforeAutospacing="0" w:after="0" w:afterAutospacing="0"/>
        <w:rPr>
          <w:rFonts w:ascii="Arial" w:hAnsi="Arial" w:cs="Arial"/>
          <w:sz w:val="18"/>
          <w:szCs w:val="18"/>
        </w:rPr>
      </w:pPr>
    </w:p>
    <w:tbl>
      <w:tblPr>
        <w:tblStyle w:val="TableGrid"/>
        <w:tblW w:w="10255" w:type="dxa"/>
        <w:tblLayout w:type="fixed"/>
        <w:tblLook w:val="04A0" w:firstRow="1" w:lastRow="0" w:firstColumn="1" w:lastColumn="0" w:noHBand="0" w:noVBand="1"/>
      </w:tblPr>
      <w:tblGrid>
        <w:gridCol w:w="9445"/>
        <w:gridCol w:w="810"/>
      </w:tblGrid>
      <w:tr w:rsidR="00A5168C" w:rsidTr="00275E18">
        <w:trPr>
          <w:trHeight w:val="260"/>
        </w:trPr>
        <w:tc>
          <w:tcPr>
            <w:tcW w:w="10255" w:type="dxa"/>
            <w:gridSpan w:val="2"/>
            <w:shd w:val="clear" w:color="auto" w:fill="9CC2E5" w:themeFill="accent1" w:themeFillTint="99"/>
            <w:vAlign w:val="center"/>
          </w:tcPr>
          <w:p w:rsidR="00A5168C" w:rsidRDefault="00A5168C" w:rsidP="00A5168C">
            <w:r w:rsidRPr="00E4042C">
              <w:rPr>
                <w:rFonts w:ascii="Arial" w:hAnsi="Arial" w:cs="Arial"/>
                <w:b/>
                <w:color w:val="002060"/>
                <w:sz w:val="18"/>
                <w:szCs w:val="18"/>
              </w:rPr>
              <w:t xml:space="preserve">Your </w:t>
            </w:r>
            <w:r>
              <w:rPr>
                <w:rFonts w:ascii="Arial" w:hAnsi="Arial" w:cs="Arial"/>
                <w:b/>
                <w:color w:val="002060"/>
                <w:sz w:val="18"/>
                <w:szCs w:val="18"/>
              </w:rPr>
              <w:t xml:space="preserve">Certification of Compliance, </w:t>
            </w:r>
            <w:r w:rsidRPr="00E4042C">
              <w:rPr>
                <w:rFonts w:ascii="Arial" w:hAnsi="Arial" w:cs="Arial"/>
                <w:b/>
                <w:color w:val="002060"/>
                <w:sz w:val="18"/>
                <w:szCs w:val="18"/>
              </w:rPr>
              <w:t>Separation Memorandum</w:t>
            </w:r>
            <w:r>
              <w:rPr>
                <w:rFonts w:ascii="Arial" w:hAnsi="Arial" w:cs="Arial"/>
                <w:b/>
                <w:color w:val="002060"/>
                <w:sz w:val="18"/>
                <w:szCs w:val="18"/>
              </w:rPr>
              <w:t xml:space="preserve"> and Exit Checklist</w:t>
            </w:r>
          </w:p>
        </w:tc>
      </w:tr>
      <w:tr w:rsidR="00A5168C" w:rsidTr="00275E18">
        <w:trPr>
          <w:trHeight w:val="701"/>
        </w:trPr>
        <w:tc>
          <w:tcPr>
            <w:tcW w:w="9445" w:type="dxa"/>
            <w:vAlign w:val="center"/>
          </w:tcPr>
          <w:p w:rsidR="00A5168C" w:rsidRPr="00557D04" w:rsidRDefault="00A5168C" w:rsidP="00D00147">
            <w:pPr>
              <w:numPr>
                <w:ilvl w:val="12"/>
                <w:numId w:val="0"/>
              </w:numPr>
              <w:autoSpaceDE w:val="0"/>
              <w:autoSpaceDN w:val="0"/>
              <w:spacing w:before="80" w:after="80"/>
              <w:rPr>
                <w:rFonts w:ascii="Arial" w:hAnsi="Arial" w:cs="Arial"/>
                <w:color w:val="000000"/>
                <w:sz w:val="18"/>
                <w:szCs w:val="18"/>
                <w:lang w:val="en-GB"/>
              </w:rPr>
            </w:pPr>
            <w:r>
              <w:rPr>
                <w:rFonts w:ascii="Arial" w:hAnsi="Arial" w:cs="Arial"/>
                <w:sz w:val="18"/>
                <w:szCs w:val="18"/>
              </w:rPr>
              <w:t>C</w:t>
            </w:r>
            <w:r w:rsidRPr="00F150DD">
              <w:rPr>
                <w:rFonts w:ascii="Arial" w:hAnsi="Arial" w:cs="Arial"/>
                <w:sz w:val="18"/>
                <w:szCs w:val="18"/>
              </w:rPr>
              <w:t xml:space="preserve">arefully review the attached </w:t>
            </w:r>
            <w:r>
              <w:rPr>
                <w:rFonts w:ascii="Arial" w:hAnsi="Arial" w:cs="Arial"/>
                <w:sz w:val="18"/>
                <w:szCs w:val="18"/>
              </w:rPr>
              <w:t xml:space="preserve">Certificate of Compliance and </w:t>
            </w:r>
            <w:r w:rsidRPr="00F150DD">
              <w:rPr>
                <w:rFonts w:ascii="Arial" w:hAnsi="Arial" w:cs="Arial"/>
                <w:sz w:val="18"/>
                <w:szCs w:val="18"/>
              </w:rPr>
              <w:t xml:space="preserve">Separation Memorandum </w:t>
            </w:r>
            <w:r>
              <w:rPr>
                <w:rFonts w:ascii="Arial" w:hAnsi="Arial" w:cs="Arial"/>
                <w:sz w:val="18"/>
                <w:szCs w:val="18"/>
              </w:rPr>
              <w:t>as it</w:t>
            </w:r>
            <w:r w:rsidRPr="00F150DD">
              <w:rPr>
                <w:rFonts w:ascii="Arial" w:hAnsi="Arial" w:cs="Arial"/>
                <w:sz w:val="18"/>
                <w:szCs w:val="18"/>
              </w:rPr>
              <w:t xml:space="preserve"> contains important information regarding </w:t>
            </w:r>
            <w:r>
              <w:rPr>
                <w:rFonts w:ascii="Arial" w:hAnsi="Arial" w:cs="Arial"/>
                <w:sz w:val="18"/>
                <w:szCs w:val="18"/>
              </w:rPr>
              <w:t xml:space="preserve">your internship or summer scholar assignment end </w:t>
            </w:r>
            <w:r w:rsidRPr="00F150DD">
              <w:rPr>
                <w:rFonts w:ascii="Arial" w:hAnsi="Arial" w:cs="Arial"/>
                <w:sz w:val="18"/>
                <w:szCs w:val="18"/>
              </w:rPr>
              <w:t xml:space="preserve">from Deloitte.  </w:t>
            </w:r>
            <w:r>
              <w:rPr>
                <w:rStyle w:val="Strong"/>
                <w:rFonts w:ascii="Arial" w:hAnsi="Arial" w:cs="Arial"/>
                <w:sz w:val="18"/>
                <w:szCs w:val="18"/>
              </w:rPr>
              <w:t>F</w:t>
            </w:r>
            <w:r w:rsidRPr="00F150DD">
              <w:rPr>
                <w:rStyle w:val="Strong"/>
                <w:rFonts w:ascii="Arial" w:hAnsi="Arial" w:cs="Arial"/>
                <w:sz w:val="18"/>
                <w:szCs w:val="18"/>
              </w:rPr>
              <w:t>ollow the instructions outlined on the “Immediate Action Required”</w:t>
            </w:r>
            <w:r>
              <w:rPr>
                <w:rStyle w:val="Strong"/>
                <w:rFonts w:ascii="Arial" w:hAnsi="Arial" w:cs="Arial"/>
                <w:sz w:val="18"/>
                <w:szCs w:val="18"/>
              </w:rPr>
              <w:t xml:space="preserve"> email. </w:t>
            </w:r>
            <w:r w:rsidRPr="00F150DD">
              <w:rPr>
                <w:rStyle w:val="Strong"/>
                <w:rFonts w:ascii="Arial" w:hAnsi="Arial" w:cs="Arial"/>
                <w:sz w:val="18"/>
                <w:szCs w:val="18"/>
              </w:rPr>
              <w:t xml:space="preserve"> </w:t>
            </w:r>
            <w:r>
              <w:rPr>
                <w:rStyle w:val="Strong"/>
                <w:rFonts w:ascii="Arial" w:hAnsi="Arial" w:cs="Arial"/>
                <w:sz w:val="18"/>
                <w:szCs w:val="18"/>
              </w:rPr>
              <w:t>P</w:t>
            </w:r>
            <w:r w:rsidRPr="00F150DD">
              <w:rPr>
                <w:rStyle w:val="Strong"/>
                <w:rFonts w:ascii="Arial" w:hAnsi="Arial" w:cs="Arial"/>
                <w:sz w:val="18"/>
                <w:szCs w:val="18"/>
              </w:rPr>
              <w:t xml:space="preserve">rint out a copy for your </w:t>
            </w:r>
            <w:r>
              <w:rPr>
                <w:rStyle w:val="Strong"/>
                <w:rFonts w:ascii="Arial" w:hAnsi="Arial" w:cs="Arial"/>
                <w:sz w:val="18"/>
                <w:szCs w:val="18"/>
              </w:rPr>
              <w:t xml:space="preserve">Separation Memo for your </w:t>
            </w:r>
            <w:r w:rsidRPr="00F150DD">
              <w:rPr>
                <w:rStyle w:val="Strong"/>
                <w:rFonts w:ascii="Arial" w:hAnsi="Arial" w:cs="Arial"/>
                <w:sz w:val="18"/>
                <w:szCs w:val="18"/>
              </w:rPr>
              <w:t>records.</w:t>
            </w:r>
          </w:p>
        </w:tc>
        <w:tc>
          <w:tcPr>
            <w:tcW w:w="810" w:type="dxa"/>
            <w:vAlign w:val="center"/>
          </w:tcPr>
          <w:p w:rsidR="00A5168C" w:rsidRPr="00557D04" w:rsidRDefault="00A5168C" w:rsidP="00A5168C">
            <w:pPr>
              <w:jc w:val="center"/>
              <w:rPr>
                <w:rFonts w:ascii="Arial" w:hAnsi="Arial" w:cs="Arial"/>
                <w:sz w:val="18"/>
                <w:szCs w:val="18"/>
              </w:rPr>
            </w:pPr>
            <w:r w:rsidRPr="00557D04">
              <w:rPr>
                <w:rFonts w:ascii="Arial" w:hAnsi="Arial" w:cs="Arial"/>
                <w:sz w:val="18"/>
                <w:szCs w:val="18"/>
              </w:rPr>
              <w:sym w:font="Wingdings 2" w:char="F0A3"/>
            </w:r>
          </w:p>
        </w:tc>
      </w:tr>
      <w:tr w:rsidR="004D3E91" w:rsidTr="00275E18">
        <w:trPr>
          <w:trHeight w:val="251"/>
        </w:trPr>
        <w:tc>
          <w:tcPr>
            <w:tcW w:w="10255" w:type="dxa"/>
            <w:gridSpan w:val="2"/>
            <w:shd w:val="clear" w:color="auto" w:fill="9CC2E5" w:themeFill="accent1" w:themeFillTint="99"/>
            <w:vAlign w:val="center"/>
          </w:tcPr>
          <w:p w:rsidR="004D3E91" w:rsidRDefault="004D3E91" w:rsidP="00275E18">
            <w:r w:rsidRPr="00E4042C">
              <w:rPr>
                <w:rFonts w:ascii="Arial" w:hAnsi="Arial" w:cs="Arial"/>
                <w:b/>
                <w:color w:val="002060"/>
                <w:sz w:val="18"/>
                <w:szCs w:val="18"/>
              </w:rPr>
              <w:t>Your Obligations to Return Computer and Software Equipment</w:t>
            </w:r>
          </w:p>
        </w:tc>
      </w:tr>
      <w:tr w:rsidR="004D3E91" w:rsidTr="00275E18">
        <w:trPr>
          <w:trHeight w:val="2960"/>
        </w:trPr>
        <w:tc>
          <w:tcPr>
            <w:tcW w:w="9445" w:type="dxa"/>
          </w:tcPr>
          <w:p w:rsidR="004D3E91" w:rsidRPr="00F37F3C" w:rsidRDefault="004D3E91" w:rsidP="009E5636">
            <w:pPr>
              <w:spacing w:before="80" w:after="80"/>
              <w:rPr>
                <w:rFonts w:ascii="Arial" w:hAnsi="Arial" w:cs="Arial"/>
                <w:sz w:val="18"/>
                <w:szCs w:val="18"/>
              </w:rPr>
            </w:pPr>
            <w:r w:rsidRPr="00F37F3C">
              <w:rPr>
                <w:rFonts w:ascii="Arial" w:hAnsi="Arial" w:cs="Arial"/>
                <w:sz w:val="18"/>
                <w:szCs w:val="18"/>
              </w:rPr>
              <w:t>Prepare to turn in your Deloitte laptop</w:t>
            </w:r>
            <w:r w:rsidRPr="00A61C46">
              <w:rPr>
                <w:rFonts w:ascii="Arial" w:hAnsi="Arial" w:cs="Arial"/>
                <w:sz w:val="18"/>
                <w:szCs w:val="18"/>
              </w:rPr>
              <w:t xml:space="preserve">.  </w:t>
            </w:r>
            <w:r w:rsidRPr="00023022">
              <w:rPr>
                <w:rFonts w:ascii="Arial" w:hAnsi="Arial" w:cs="Arial"/>
                <w:b/>
                <w:sz w:val="18"/>
                <w:szCs w:val="18"/>
              </w:rPr>
              <w:t>Ensure all client data that currently exists on the computer has been copied or transferred to appropriate individual(s). Ensure all client data on the network has been moved to an appropriate location and any responsible parties have been notified of its location.</w:t>
            </w:r>
            <w:r w:rsidRPr="00F37F3C">
              <w:rPr>
                <w:rFonts w:ascii="Arial" w:hAnsi="Arial" w:cs="Arial"/>
                <w:sz w:val="18"/>
                <w:szCs w:val="18"/>
              </w:rPr>
              <w:t xml:space="preserve">  Any additional items should be moved to the “My Documents” folder. </w:t>
            </w:r>
          </w:p>
          <w:p w:rsidR="004D3E91" w:rsidRPr="00560066" w:rsidRDefault="004D3E91" w:rsidP="004D0BEB">
            <w:pPr>
              <w:pStyle w:val="ListParagraph"/>
              <w:numPr>
                <w:ilvl w:val="0"/>
                <w:numId w:val="14"/>
              </w:numPr>
              <w:rPr>
                <w:rFonts w:ascii="Arial" w:hAnsi="Arial" w:cs="Arial"/>
                <w:sz w:val="18"/>
                <w:szCs w:val="18"/>
              </w:rPr>
            </w:pPr>
            <w:r w:rsidRPr="00F37F3C">
              <w:rPr>
                <w:rFonts w:ascii="Arial" w:hAnsi="Arial" w:cs="Arial"/>
                <w:sz w:val="18"/>
                <w:szCs w:val="18"/>
              </w:rPr>
              <w:t xml:space="preserve">Perform a back-up of your computer. If you need assistance with this, contact Technology Services or </w:t>
            </w:r>
            <w:r w:rsidRPr="007E59B7">
              <w:rPr>
                <w:rFonts w:ascii="Arial" w:hAnsi="Arial" w:cs="Arial"/>
                <w:b/>
                <w:i/>
                <w:sz w:val="18"/>
                <w:szCs w:val="18"/>
                <w:u w:val="single"/>
              </w:rPr>
              <w:t>copy</w:t>
            </w:r>
            <w:r w:rsidRPr="007E59B7">
              <w:rPr>
                <w:rFonts w:ascii="Arial" w:hAnsi="Arial" w:cs="Arial"/>
                <w:sz w:val="18"/>
                <w:szCs w:val="18"/>
                <w:u w:val="single"/>
              </w:rPr>
              <w:t xml:space="preserve"> </w:t>
            </w:r>
            <w:r w:rsidRPr="00F37F3C">
              <w:rPr>
                <w:rFonts w:ascii="Arial" w:hAnsi="Arial" w:cs="Arial"/>
                <w:sz w:val="18"/>
                <w:szCs w:val="18"/>
              </w:rPr>
              <w:t xml:space="preserve">this </w:t>
            </w:r>
            <w:r>
              <w:rPr>
                <w:rFonts w:ascii="Arial" w:hAnsi="Arial" w:cs="Arial"/>
                <w:sz w:val="18"/>
                <w:szCs w:val="18"/>
              </w:rPr>
              <w:t xml:space="preserve">link </w:t>
            </w:r>
            <w:hyperlink r:id="rId9" w:history="1">
              <w:r w:rsidRPr="00560066">
                <w:rPr>
                  <w:rStyle w:val="Hyperlink"/>
                  <w:rFonts w:ascii="Arial" w:hAnsi="Arial" w:cs="Arial"/>
                  <w:b/>
                  <w:color w:val="C00000"/>
                  <w:sz w:val="18"/>
                  <w:szCs w:val="18"/>
                </w:rPr>
                <w:t>https://deloittenet.deloitte.com/WT/Tech/Software/Pages/ConnectedBackupPC.aspx</w:t>
              </w:r>
            </w:hyperlink>
            <w:r w:rsidRPr="00560066">
              <w:rPr>
                <w:rFonts w:ascii="Arial" w:hAnsi="Arial" w:cs="Arial"/>
                <w:sz w:val="18"/>
                <w:szCs w:val="18"/>
              </w:rPr>
              <w:t xml:space="preserve">. </w:t>
            </w:r>
          </w:p>
          <w:p w:rsidR="004D3E91" w:rsidRPr="00560066" w:rsidRDefault="004D3E91" w:rsidP="004D3E91">
            <w:pPr>
              <w:rPr>
                <w:rFonts w:ascii="Arial" w:hAnsi="Arial" w:cs="Arial"/>
                <w:sz w:val="18"/>
                <w:szCs w:val="18"/>
              </w:rPr>
            </w:pPr>
          </w:p>
          <w:p w:rsidR="004D0BEB" w:rsidRDefault="004D0BEB" w:rsidP="004D0BEB">
            <w:pPr>
              <w:pStyle w:val="ListParagraph"/>
              <w:numPr>
                <w:ilvl w:val="0"/>
                <w:numId w:val="14"/>
              </w:numPr>
              <w:rPr>
                <w:rFonts w:ascii="Arial" w:hAnsi="Arial" w:cs="Arial"/>
                <w:sz w:val="18"/>
                <w:szCs w:val="18"/>
              </w:rPr>
            </w:pPr>
            <w:r>
              <w:rPr>
                <w:rFonts w:ascii="Arial" w:hAnsi="Arial" w:cs="Arial"/>
                <w:sz w:val="18"/>
                <w:szCs w:val="18"/>
              </w:rPr>
              <w:t xml:space="preserve">It is your responsibility as a resigning employee to identify all </w:t>
            </w:r>
            <w:r>
              <w:rPr>
                <w:rFonts w:ascii="Arial" w:hAnsi="Arial" w:cs="Arial"/>
                <w:b/>
                <w:bCs/>
                <w:sz w:val="18"/>
                <w:szCs w:val="18"/>
              </w:rPr>
              <w:t>personal information</w:t>
            </w:r>
            <w:r>
              <w:rPr>
                <w:rFonts w:ascii="Arial" w:hAnsi="Arial" w:cs="Arial"/>
                <w:sz w:val="18"/>
                <w:szCs w:val="18"/>
              </w:rPr>
              <w:t xml:space="preserve"> from your laptop </w:t>
            </w:r>
            <w:r>
              <w:rPr>
                <w:rFonts w:ascii="Arial" w:hAnsi="Arial" w:cs="Arial"/>
                <w:b/>
                <w:bCs/>
                <w:sz w:val="18"/>
                <w:szCs w:val="18"/>
              </w:rPr>
              <w:t>PRIOR TO</w:t>
            </w:r>
            <w:r>
              <w:rPr>
                <w:rFonts w:ascii="Arial" w:hAnsi="Arial" w:cs="Arial"/>
                <w:sz w:val="18"/>
                <w:szCs w:val="18"/>
              </w:rPr>
              <w:t xml:space="preserve"> turning in your equipment. You are prohibited from taking any client or Deloitte confidential information off your equipment.  You may contact </w:t>
            </w:r>
            <w:r w:rsidRPr="004D0BEB">
              <w:rPr>
                <w:rFonts w:ascii="Arial" w:hAnsi="Arial" w:cs="Arial"/>
                <w:b/>
                <w:sz w:val="18"/>
                <w:szCs w:val="18"/>
              </w:rPr>
              <w:t xml:space="preserve">US Data Removal Request (US) </w:t>
            </w:r>
            <w:hyperlink r:id="rId10" w:history="1">
              <w:r>
                <w:rPr>
                  <w:rStyle w:val="Hyperlink"/>
                  <w:rFonts w:ascii="Arial" w:hAnsi="Arial" w:cs="Arial"/>
                  <w:sz w:val="18"/>
                  <w:szCs w:val="18"/>
                </w:rPr>
                <w:t>usdataremovalrequest@deloitte.com</w:t>
              </w:r>
            </w:hyperlink>
            <w:r>
              <w:rPr>
                <w:rFonts w:ascii="Arial" w:hAnsi="Arial" w:cs="Arial"/>
                <w:sz w:val="18"/>
                <w:szCs w:val="18"/>
              </w:rPr>
              <w:t xml:space="preserve"> for assistance with your </w:t>
            </w:r>
            <w:r>
              <w:rPr>
                <w:rFonts w:ascii="Arial" w:hAnsi="Arial" w:cs="Arial"/>
                <w:b/>
                <w:bCs/>
                <w:sz w:val="18"/>
                <w:szCs w:val="18"/>
              </w:rPr>
              <w:t>personal files</w:t>
            </w:r>
            <w:r>
              <w:rPr>
                <w:rFonts w:ascii="Arial" w:hAnsi="Arial" w:cs="Arial"/>
                <w:sz w:val="18"/>
                <w:szCs w:val="18"/>
              </w:rPr>
              <w:t xml:space="preserve">.  Depending on the amount of personal files, data transfer could take hours to vet and move especially if you have media files (music, photos, videos); therefore, be selective in the personal files you wish to take.    Once you have </w:t>
            </w:r>
            <w:r>
              <w:rPr>
                <w:rFonts w:ascii="Arial" w:hAnsi="Arial" w:cs="Arial"/>
                <w:b/>
                <w:bCs/>
                <w:sz w:val="18"/>
                <w:szCs w:val="18"/>
              </w:rPr>
              <w:t>returned your laptop</w:t>
            </w:r>
            <w:r>
              <w:rPr>
                <w:rFonts w:ascii="Arial" w:hAnsi="Arial" w:cs="Arial"/>
                <w:sz w:val="18"/>
                <w:szCs w:val="18"/>
              </w:rPr>
              <w:t>, it may NOT be possible for the local technology team to retrieve your personal information due to legal policies.</w:t>
            </w:r>
          </w:p>
          <w:p w:rsidR="004D3E91" w:rsidRPr="004D0BEB" w:rsidRDefault="004D3E91" w:rsidP="004D0BEB">
            <w:pPr>
              <w:spacing w:after="80"/>
              <w:ind w:left="360"/>
              <w:rPr>
                <w:rFonts w:ascii="Arial" w:hAnsi="Arial" w:cs="Arial"/>
                <w:sz w:val="18"/>
                <w:szCs w:val="18"/>
              </w:rPr>
            </w:pPr>
          </w:p>
        </w:tc>
        <w:tc>
          <w:tcPr>
            <w:tcW w:w="810" w:type="dxa"/>
          </w:tcPr>
          <w:p w:rsidR="004D3E91" w:rsidRDefault="004D3E91" w:rsidP="004D3E91">
            <w:pPr>
              <w:jc w:val="center"/>
              <w:rPr>
                <w:rFonts w:ascii="Arial" w:hAnsi="Arial" w:cs="Arial"/>
                <w:sz w:val="18"/>
                <w:szCs w:val="18"/>
              </w:rPr>
            </w:pPr>
          </w:p>
          <w:p w:rsidR="004D3E91" w:rsidRPr="00557D04" w:rsidRDefault="004D3E91" w:rsidP="004D3E91">
            <w:pPr>
              <w:jc w:val="center"/>
              <w:rPr>
                <w:rFonts w:ascii="Arial" w:hAnsi="Arial" w:cs="Arial"/>
                <w:sz w:val="18"/>
                <w:szCs w:val="18"/>
              </w:rPr>
            </w:pPr>
            <w:r w:rsidRPr="00557D04">
              <w:rPr>
                <w:rFonts w:ascii="Arial" w:hAnsi="Arial" w:cs="Arial"/>
                <w:sz w:val="18"/>
                <w:szCs w:val="18"/>
              </w:rPr>
              <w:sym w:font="Wingdings 2" w:char="F0A3"/>
            </w:r>
          </w:p>
          <w:p w:rsidR="004D3E91" w:rsidRPr="00557D04" w:rsidRDefault="004D3E91" w:rsidP="004D3E91">
            <w:pPr>
              <w:jc w:val="center"/>
              <w:rPr>
                <w:rFonts w:ascii="Arial" w:hAnsi="Arial" w:cs="Arial"/>
                <w:sz w:val="18"/>
                <w:szCs w:val="18"/>
              </w:rPr>
            </w:pPr>
          </w:p>
          <w:p w:rsidR="004D3E91" w:rsidRPr="00557D04" w:rsidRDefault="004D3E91" w:rsidP="004D3E91">
            <w:pPr>
              <w:jc w:val="center"/>
              <w:rPr>
                <w:rFonts w:ascii="Arial" w:hAnsi="Arial" w:cs="Arial"/>
                <w:sz w:val="18"/>
                <w:szCs w:val="18"/>
              </w:rPr>
            </w:pPr>
          </w:p>
          <w:p w:rsidR="004D3E91" w:rsidRPr="00557D04" w:rsidRDefault="004D3E91" w:rsidP="004D3E91">
            <w:pPr>
              <w:jc w:val="center"/>
              <w:rPr>
                <w:rFonts w:ascii="Arial" w:hAnsi="Arial" w:cs="Arial"/>
                <w:sz w:val="18"/>
                <w:szCs w:val="18"/>
              </w:rPr>
            </w:pPr>
            <w:r w:rsidRPr="00557D04">
              <w:rPr>
                <w:rFonts w:ascii="Arial" w:hAnsi="Arial" w:cs="Arial"/>
                <w:sz w:val="18"/>
                <w:szCs w:val="18"/>
              </w:rPr>
              <w:sym w:font="Wingdings 2" w:char="F0A3"/>
            </w:r>
          </w:p>
          <w:p w:rsidR="004D3E91" w:rsidRPr="00557D04" w:rsidRDefault="004D3E91" w:rsidP="004D3E91">
            <w:pPr>
              <w:jc w:val="center"/>
              <w:rPr>
                <w:rFonts w:ascii="Arial" w:hAnsi="Arial" w:cs="Arial"/>
                <w:sz w:val="18"/>
                <w:szCs w:val="18"/>
              </w:rPr>
            </w:pPr>
          </w:p>
          <w:p w:rsidR="004D3E91" w:rsidRPr="00557D04" w:rsidRDefault="004D3E91" w:rsidP="004D3E91">
            <w:pPr>
              <w:jc w:val="center"/>
              <w:rPr>
                <w:rFonts w:ascii="Arial" w:hAnsi="Arial" w:cs="Arial"/>
                <w:sz w:val="18"/>
                <w:szCs w:val="18"/>
              </w:rPr>
            </w:pPr>
            <w:r w:rsidRPr="00557D04">
              <w:rPr>
                <w:rFonts w:ascii="Arial" w:hAnsi="Arial" w:cs="Arial"/>
                <w:sz w:val="18"/>
                <w:szCs w:val="18"/>
              </w:rPr>
              <w:sym w:font="Wingdings 2" w:char="F0A3"/>
            </w:r>
          </w:p>
        </w:tc>
      </w:tr>
      <w:tr w:rsidR="00AD5469" w:rsidTr="00275E18">
        <w:trPr>
          <w:trHeight w:val="269"/>
        </w:trPr>
        <w:tc>
          <w:tcPr>
            <w:tcW w:w="9445" w:type="dxa"/>
            <w:vAlign w:val="center"/>
          </w:tcPr>
          <w:p w:rsidR="00AD5469" w:rsidRPr="00F37F3C" w:rsidRDefault="00AD5469" w:rsidP="00AD5469">
            <w:pPr>
              <w:rPr>
                <w:rFonts w:ascii="Arial" w:hAnsi="Arial" w:cs="Arial"/>
                <w:sz w:val="18"/>
                <w:szCs w:val="18"/>
              </w:rPr>
            </w:pPr>
            <w:r w:rsidRPr="00F37F3C">
              <w:rPr>
                <w:rFonts w:ascii="Arial" w:hAnsi="Arial" w:cs="Arial"/>
                <w:color w:val="000000"/>
                <w:sz w:val="18"/>
                <w:szCs w:val="18"/>
              </w:rPr>
              <w:t>Provide ITS all access passwords on office PCs and other equipment.</w:t>
            </w:r>
          </w:p>
        </w:tc>
        <w:tc>
          <w:tcPr>
            <w:tcW w:w="810" w:type="dxa"/>
            <w:vAlign w:val="center"/>
          </w:tcPr>
          <w:p w:rsidR="00AD5469" w:rsidRPr="00557D04" w:rsidRDefault="00AD5469" w:rsidP="00AD5469">
            <w:pPr>
              <w:jc w:val="center"/>
              <w:rPr>
                <w:rFonts w:ascii="Arial" w:hAnsi="Arial" w:cs="Arial"/>
                <w:sz w:val="18"/>
                <w:szCs w:val="18"/>
              </w:rPr>
            </w:pPr>
            <w:r w:rsidRPr="00557D04">
              <w:rPr>
                <w:rFonts w:ascii="Arial" w:hAnsi="Arial" w:cs="Arial"/>
                <w:sz w:val="18"/>
                <w:szCs w:val="18"/>
              </w:rPr>
              <w:sym w:font="Wingdings 2" w:char="F0A3"/>
            </w:r>
          </w:p>
        </w:tc>
      </w:tr>
      <w:tr w:rsidR="00E92E44" w:rsidTr="006A1FAC">
        <w:tc>
          <w:tcPr>
            <w:tcW w:w="9445" w:type="dxa"/>
            <w:tcBorders>
              <w:bottom w:val="single" w:sz="4" w:space="0" w:color="auto"/>
            </w:tcBorders>
            <w:vAlign w:val="center"/>
          </w:tcPr>
          <w:p w:rsidR="00E92E44" w:rsidRPr="00F37F3C" w:rsidRDefault="00E92E44" w:rsidP="00864055">
            <w:pPr>
              <w:spacing w:before="80" w:after="80"/>
              <w:rPr>
                <w:rFonts w:ascii="Arial" w:hAnsi="Arial" w:cs="Arial"/>
                <w:color w:val="000000"/>
                <w:sz w:val="18"/>
                <w:szCs w:val="18"/>
              </w:rPr>
            </w:pPr>
            <w:r w:rsidRPr="00F37F3C">
              <w:rPr>
                <w:rFonts w:ascii="Arial" w:hAnsi="Arial" w:cs="Arial"/>
                <w:color w:val="000000"/>
                <w:sz w:val="18"/>
                <w:szCs w:val="18"/>
              </w:rPr>
              <w:t>Return all of the following items to your local IT Walk Up window:</w:t>
            </w:r>
          </w:p>
          <w:p w:rsidR="00E92E44" w:rsidRPr="00F37F3C" w:rsidRDefault="00E92E44" w:rsidP="00E92E44">
            <w:pPr>
              <w:pStyle w:val="ListParagraph"/>
              <w:numPr>
                <w:ilvl w:val="0"/>
                <w:numId w:val="2"/>
              </w:numPr>
              <w:rPr>
                <w:rFonts w:ascii="Arial" w:hAnsi="Arial" w:cs="Arial"/>
                <w:color w:val="000000"/>
                <w:sz w:val="18"/>
                <w:szCs w:val="18"/>
              </w:rPr>
            </w:pPr>
            <w:r w:rsidRPr="00F37F3C">
              <w:rPr>
                <w:rFonts w:ascii="Arial" w:hAnsi="Arial" w:cs="Arial"/>
                <w:color w:val="000000"/>
                <w:sz w:val="18"/>
                <w:szCs w:val="18"/>
              </w:rPr>
              <w:t>Laptop, power cord, cable lock and key, network cable, computer bag</w:t>
            </w:r>
          </w:p>
          <w:p w:rsidR="00E92E44" w:rsidRPr="00F37F3C" w:rsidRDefault="00E92E44" w:rsidP="00E92E44">
            <w:pPr>
              <w:pStyle w:val="ListParagraph"/>
              <w:numPr>
                <w:ilvl w:val="0"/>
                <w:numId w:val="2"/>
              </w:numPr>
              <w:rPr>
                <w:rFonts w:ascii="Arial" w:hAnsi="Arial" w:cs="Arial"/>
                <w:color w:val="000000"/>
                <w:sz w:val="18"/>
                <w:szCs w:val="18"/>
              </w:rPr>
            </w:pPr>
            <w:r w:rsidRPr="00F37F3C">
              <w:rPr>
                <w:rFonts w:ascii="Arial" w:hAnsi="Arial" w:cs="Arial"/>
                <w:color w:val="000000"/>
                <w:sz w:val="18"/>
                <w:szCs w:val="18"/>
              </w:rPr>
              <w:t>USB Flash drive, portable hard drives, computer discs, tapes</w:t>
            </w:r>
            <w:r w:rsidRPr="00F37F3C">
              <w:rPr>
                <w:rFonts w:ascii="Arial" w:hAnsi="Arial" w:cs="Arial"/>
                <w:noProof/>
                <w:sz w:val="18"/>
                <w:szCs w:val="18"/>
              </w:rPr>
              <w:t xml:space="preserve"> </w:t>
            </w:r>
          </w:p>
          <w:p w:rsidR="00E92E44" w:rsidRPr="00F37F3C" w:rsidRDefault="00E92E44" w:rsidP="00E92E44">
            <w:pPr>
              <w:pStyle w:val="ListParagraph"/>
              <w:numPr>
                <w:ilvl w:val="0"/>
                <w:numId w:val="2"/>
              </w:numPr>
              <w:rPr>
                <w:rFonts w:ascii="Arial" w:hAnsi="Arial" w:cs="Arial"/>
                <w:color w:val="000000"/>
                <w:sz w:val="18"/>
                <w:szCs w:val="18"/>
              </w:rPr>
            </w:pPr>
            <w:r w:rsidRPr="00F37F3C">
              <w:rPr>
                <w:rFonts w:ascii="Arial" w:hAnsi="Arial" w:cs="Arial"/>
                <w:color w:val="000000"/>
                <w:sz w:val="18"/>
                <w:szCs w:val="18"/>
              </w:rPr>
              <w:t>Any other IT-related equipment or accessories (ex. PDA, air card, numeric keypad, headset, etc.)</w:t>
            </w:r>
            <w:r w:rsidRPr="00F37F3C">
              <w:rPr>
                <w:rFonts w:ascii="Arial" w:hAnsi="Arial" w:cs="Arial"/>
                <w:b/>
                <w:sz w:val="18"/>
                <w:szCs w:val="18"/>
                <w:lang w:val="en-GB"/>
              </w:rPr>
              <w:t xml:space="preserve"> </w:t>
            </w:r>
          </w:p>
          <w:p w:rsidR="00E92E44" w:rsidRPr="00F37F3C" w:rsidRDefault="00E92E44" w:rsidP="00E92E44">
            <w:pPr>
              <w:ind w:left="360"/>
              <w:rPr>
                <w:rFonts w:ascii="Arial" w:hAnsi="Arial" w:cs="Arial"/>
                <w:b/>
                <w:color w:val="FF0000"/>
                <w:sz w:val="18"/>
                <w:szCs w:val="18"/>
                <w:lang w:val="en-GB"/>
              </w:rPr>
            </w:pPr>
          </w:p>
          <w:p w:rsidR="00E92E44" w:rsidRPr="00F37F3C" w:rsidRDefault="00E92E44" w:rsidP="00E92E44">
            <w:pPr>
              <w:rPr>
                <w:rFonts w:ascii="Arial" w:hAnsi="Arial" w:cs="Arial"/>
                <w:color w:val="FF0000"/>
                <w:sz w:val="18"/>
                <w:szCs w:val="18"/>
              </w:rPr>
            </w:pPr>
            <w:r w:rsidRPr="00560066">
              <w:rPr>
                <w:rFonts w:ascii="Arial" w:hAnsi="Arial" w:cs="Arial"/>
                <w:b/>
                <w:color w:val="C00000"/>
                <w:sz w:val="18"/>
                <w:szCs w:val="18"/>
                <w:lang w:val="en-GB"/>
              </w:rPr>
              <w:t xml:space="preserve">If you will be returning the above items to another office other than your home office – please notify your local ITS group.  </w:t>
            </w:r>
          </w:p>
          <w:p w:rsidR="00E92E44" w:rsidRPr="00F37F3C" w:rsidRDefault="00E92E44" w:rsidP="00E92E44">
            <w:pPr>
              <w:rPr>
                <w:rFonts w:ascii="Arial" w:hAnsi="Arial" w:cs="Arial"/>
                <w:b/>
                <w:color w:val="FF0000"/>
                <w:sz w:val="18"/>
                <w:szCs w:val="18"/>
                <w:lang w:val="en-GB"/>
              </w:rPr>
            </w:pPr>
          </w:p>
          <w:p w:rsidR="00864055" w:rsidRDefault="00E92E44" w:rsidP="00A5168C">
            <w:pPr>
              <w:spacing w:after="80"/>
              <w:rPr>
                <w:rFonts w:ascii="Arial" w:hAnsi="Arial" w:cs="Arial"/>
                <w:b/>
                <w:sz w:val="18"/>
                <w:szCs w:val="18"/>
                <w:lang w:val="en-GB"/>
              </w:rPr>
            </w:pPr>
            <w:r w:rsidRPr="00F37F3C">
              <w:rPr>
                <w:rFonts w:ascii="Arial" w:hAnsi="Arial" w:cs="Arial"/>
                <w:b/>
                <w:sz w:val="18"/>
                <w:szCs w:val="18"/>
                <w:lang w:val="en-GB"/>
              </w:rPr>
              <w:t xml:space="preserve">Record of Return: The ITS team will provide you with a confirmation number.  Keep that number for your records. </w:t>
            </w:r>
          </w:p>
          <w:p w:rsidR="00A5168C" w:rsidRDefault="00A5168C" w:rsidP="00A5168C">
            <w:pPr>
              <w:spacing w:after="80"/>
              <w:rPr>
                <w:rFonts w:ascii="Arial" w:hAnsi="Arial" w:cs="Arial"/>
                <w:b/>
                <w:sz w:val="18"/>
                <w:szCs w:val="18"/>
                <w:lang w:val="en-GB"/>
              </w:rPr>
            </w:pPr>
          </w:p>
          <w:p w:rsidR="00A5168C" w:rsidRDefault="00A5168C" w:rsidP="00A5168C">
            <w:pPr>
              <w:spacing w:after="80"/>
              <w:rPr>
                <w:rFonts w:ascii="Arial" w:hAnsi="Arial" w:cs="Arial"/>
                <w:b/>
                <w:sz w:val="18"/>
                <w:szCs w:val="18"/>
                <w:lang w:val="en-GB"/>
              </w:rPr>
            </w:pPr>
          </w:p>
          <w:p w:rsidR="00A5168C" w:rsidRDefault="00A5168C" w:rsidP="00A5168C">
            <w:pPr>
              <w:spacing w:after="80"/>
              <w:rPr>
                <w:rFonts w:ascii="Arial" w:hAnsi="Arial" w:cs="Arial"/>
                <w:b/>
                <w:sz w:val="18"/>
                <w:szCs w:val="18"/>
                <w:lang w:val="en-GB"/>
              </w:rPr>
            </w:pPr>
          </w:p>
          <w:p w:rsidR="00A5168C" w:rsidRDefault="00A5168C" w:rsidP="00A5168C">
            <w:pPr>
              <w:spacing w:after="80"/>
              <w:rPr>
                <w:rFonts w:ascii="Arial" w:hAnsi="Arial" w:cs="Arial"/>
                <w:b/>
                <w:sz w:val="18"/>
                <w:szCs w:val="18"/>
                <w:lang w:val="en-GB"/>
              </w:rPr>
            </w:pPr>
          </w:p>
          <w:p w:rsidR="00A5168C" w:rsidRDefault="00A5168C" w:rsidP="00A5168C">
            <w:pPr>
              <w:spacing w:after="80"/>
              <w:rPr>
                <w:rFonts w:ascii="Arial" w:hAnsi="Arial" w:cs="Arial"/>
                <w:b/>
                <w:sz w:val="18"/>
                <w:szCs w:val="18"/>
                <w:lang w:val="en-GB"/>
              </w:rPr>
            </w:pPr>
          </w:p>
          <w:p w:rsidR="00A5168C" w:rsidRDefault="00A5168C" w:rsidP="00A5168C">
            <w:pPr>
              <w:spacing w:after="80"/>
              <w:rPr>
                <w:rFonts w:ascii="Arial" w:hAnsi="Arial" w:cs="Arial"/>
                <w:b/>
                <w:sz w:val="18"/>
                <w:szCs w:val="18"/>
                <w:lang w:val="en-GB"/>
              </w:rPr>
            </w:pPr>
          </w:p>
          <w:p w:rsidR="00A5168C" w:rsidRDefault="00A5168C" w:rsidP="00A5168C">
            <w:pPr>
              <w:spacing w:after="80"/>
              <w:rPr>
                <w:rFonts w:ascii="Arial" w:hAnsi="Arial" w:cs="Arial"/>
                <w:b/>
                <w:sz w:val="18"/>
                <w:szCs w:val="18"/>
                <w:lang w:val="en-GB"/>
              </w:rPr>
            </w:pPr>
          </w:p>
          <w:p w:rsidR="00A5168C" w:rsidRDefault="00A5168C" w:rsidP="00A5168C">
            <w:pPr>
              <w:spacing w:after="80"/>
              <w:rPr>
                <w:rFonts w:ascii="Arial" w:hAnsi="Arial" w:cs="Arial"/>
                <w:b/>
                <w:sz w:val="18"/>
                <w:szCs w:val="18"/>
                <w:lang w:val="en-GB"/>
              </w:rPr>
            </w:pPr>
          </w:p>
          <w:p w:rsidR="00A5168C" w:rsidRDefault="00A5168C" w:rsidP="00A5168C">
            <w:pPr>
              <w:spacing w:after="80"/>
              <w:rPr>
                <w:rFonts w:ascii="Arial" w:hAnsi="Arial" w:cs="Arial"/>
                <w:b/>
                <w:sz w:val="18"/>
                <w:szCs w:val="18"/>
                <w:lang w:val="en-GB"/>
              </w:rPr>
            </w:pPr>
          </w:p>
          <w:p w:rsidR="00D00147" w:rsidRDefault="00D00147" w:rsidP="00A5168C">
            <w:pPr>
              <w:spacing w:after="80"/>
              <w:rPr>
                <w:rFonts w:ascii="Arial" w:hAnsi="Arial" w:cs="Arial"/>
                <w:b/>
                <w:sz w:val="18"/>
                <w:szCs w:val="18"/>
                <w:lang w:val="en-GB"/>
              </w:rPr>
            </w:pPr>
          </w:p>
          <w:p w:rsidR="00AD710D" w:rsidRDefault="00AD710D" w:rsidP="00A5168C">
            <w:pPr>
              <w:spacing w:after="80"/>
              <w:rPr>
                <w:rFonts w:ascii="Arial" w:hAnsi="Arial" w:cs="Arial"/>
                <w:b/>
                <w:sz w:val="18"/>
                <w:szCs w:val="18"/>
                <w:lang w:val="en-GB"/>
              </w:rPr>
            </w:pPr>
          </w:p>
          <w:p w:rsidR="00A5168C" w:rsidRPr="00F37F3C" w:rsidRDefault="00A5168C" w:rsidP="00A5168C">
            <w:pPr>
              <w:spacing w:after="80"/>
              <w:rPr>
                <w:rFonts w:ascii="Arial" w:hAnsi="Arial" w:cs="Arial"/>
                <w:b/>
                <w:sz w:val="18"/>
                <w:szCs w:val="18"/>
                <w:lang w:val="en-GB"/>
              </w:rPr>
            </w:pPr>
          </w:p>
        </w:tc>
        <w:tc>
          <w:tcPr>
            <w:tcW w:w="810" w:type="dxa"/>
            <w:tcBorders>
              <w:bottom w:val="single" w:sz="4" w:space="0" w:color="auto"/>
            </w:tcBorders>
          </w:tcPr>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sz w:val="18"/>
                <w:szCs w:val="18"/>
              </w:rPr>
            </w:pPr>
          </w:p>
        </w:tc>
      </w:tr>
      <w:tr w:rsidR="00AD710D" w:rsidTr="00D30CB3">
        <w:trPr>
          <w:trHeight w:val="269"/>
        </w:trPr>
        <w:tc>
          <w:tcPr>
            <w:tcW w:w="10255" w:type="dxa"/>
            <w:gridSpan w:val="2"/>
            <w:shd w:val="clear" w:color="auto" w:fill="9CC2E5" w:themeFill="accent1" w:themeFillTint="99"/>
            <w:vAlign w:val="center"/>
          </w:tcPr>
          <w:p w:rsidR="00AD710D" w:rsidRDefault="00AD710D" w:rsidP="00D30CB3">
            <w:r>
              <w:rPr>
                <w:rFonts w:ascii="Arial" w:hAnsi="Arial" w:cs="Arial"/>
                <w:b/>
                <w:color w:val="002060"/>
                <w:sz w:val="18"/>
                <w:szCs w:val="18"/>
              </w:rPr>
              <w:lastRenderedPageBreak/>
              <w:t>Understanding What Data You Can Take With You</w:t>
            </w:r>
          </w:p>
        </w:tc>
      </w:tr>
      <w:tr w:rsidR="00AD710D" w:rsidTr="00D30CB3">
        <w:tc>
          <w:tcPr>
            <w:tcW w:w="9445" w:type="dxa"/>
            <w:vAlign w:val="center"/>
          </w:tcPr>
          <w:p w:rsidR="00E679C5" w:rsidRDefault="00097A61" w:rsidP="00097A61">
            <w:pPr>
              <w:spacing w:after="80"/>
              <w:rPr>
                <w:rFonts w:ascii="Arial" w:hAnsi="Arial" w:cs="Arial"/>
                <w:b/>
                <w:bCs/>
                <w:i/>
                <w:iCs/>
                <w:sz w:val="18"/>
                <w:szCs w:val="18"/>
                <w:u w:val="single"/>
              </w:rPr>
            </w:pPr>
            <w:r w:rsidRPr="00097A61">
              <w:rPr>
                <w:rFonts w:ascii="Arial" w:hAnsi="Arial" w:cs="Arial"/>
                <w:sz w:val="18"/>
                <w:szCs w:val="18"/>
              </w:rPr>
              <w:t xml:space="preserve">Upon your separation from Deloitte, you must return any and all Confidential Information in accordance with APR 223 (Confidential Information and Other Vital Business Interests) and the </w:t>
            </w:r>
            <w:r w:rsidRPr="00097A61">
              <w:rPr>
                <w:rFonts w:ascii="Arial" w:hAnsi="Arial" w:cs="Arial"/>
                <w:i/>
                <w:iCs/>
                <w:sz w:val="18"/>
                <w:szCs w:val="18"/>
              </w:rPr>
              <w:t xml:space="preserve">Agreement on Confidentiality and Other Vital Business Interests </w:t>
            </w:r>
            <w:r w:rsidRPr="00097A61">
              <w:rPr>
                <w:rFonts w:ascii="Arial" w:hAnsi="Arial" w:cs="Arial"/>
                <w:sz w:val="18"/>
                <w:szCs w:val="18"/>
              </w:rPr>
              <w:t xml:space="preserve">(“Agreement”), which you agreed to when you began your internship. Please remember that, pursuant to APR 223 and your Agreement, Confidential Information includes any information about Deloitte and its clients that is not known to the public, </w:t>
            </w:r>
            <w:r w:rsidRPr="00097A61">
              <w:rPr>
                <w:rFonts w:ascii="Arial" w:hAnsi="Arial" w:cs="Arial"/>
                <w:b/>
                <w:bCs/>
                <w:i/>
                <w:iCs/>
                <w:sz w:val="18"/>
                <w:szCs w:val="18"/>
                <w:u w:val="single"/>
              </w:rPr>
              <w:t xml:space="preserve">regardless of whether or not you used or created it during your internship. </w:t>
            </w:r>
          </w:p>
          <w:p w:rsidR="005859BF" w:rsidRDefault="007F2491" w:rsidP="00097A61">
            <w:pPr>
              <w:spacing w:after="80"/>
              <w:rPr>
                <w:rFonts w:ascii="Arial" w:hAnsi="Arial" w:cs="Arial"/>
                <w:b/>
                <w:bCs/>
                <w:i/>
                <w:iCs/>
                <w:sz w:val="18"/>
                <w:szCs w:val="18"/>
                <w:u w:val="single"/>
              </w:rPr>
            </w:pPr>
            <w:r>
              <w:rPr>
                <w:noProof/>
              </w:rPr>
              <w:drawing>
                <wp:inline distT="0" distB="0" distL="0" distR="0" wp14:anchorId="37E2EE23" wp14:editId="17D68AE3">
                  <wp:extent cx="4737100" cy="19254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0940" cy="1943301"/>
                          </a:xfrm>
                          <a:prstGeom prst="rect">
                            <a:avLst/>
                          </a:prstGeom>
                        </pic:spPr>
                      </pic:pic>
                    </a:graphicData>
                  </a:graphic>
                </wp:inline>
              </w:drawing>
            </w:r>
          </w:p>
          <w:p w:rsidR="00097A61" w:rsidRDefault="00097A61" w:rsidP="00097A61">
            <w:pPr>
              <w:spacing w:after="80"/>
              <w:rPr>
                <w:rFonts w:ascii="Arial" w:hAnsi="Arial" w:cs="Arial"/>
                <w:sz w:val="18"/>
                <w:szCs w:val="18"/>
              </w:rPr>
            </w:pPr>
          </w:p>
          <w:p w:rsidR="00AD710D" w:rsidRPr="00E61036" w:rsidRDefault="00097A61" w:rsidP="00097A61">
            <w:pPr>
              <w:spacing w:after="80"/>
              <w:rPr>
                <w:rFonts w:ascii="Arial" w:hAnsi="Arial" w:cs="Arial"/>
                <w:color w:val="C00000"/>
                <w:sz w:val="18"/>
                <w:szCs w:val="18"/>
              </w:rPr>
            </w:pPr>
            <w:r w:rsidRPr="00097A61">
              <w:rPr>
                <w:rFonts w:ascii="Arial" w:hAnsi="Arial" w:cs="Arial"/>
                <w:sz w:val="18"/>
                <w:szCs w:val="18"/>
              </w:rPr>
              <w:t>*Generally, Confidential Information is information not known to the public that relates to our business or that we receive in the course of business from our clients, our personnel, or other third parties. This information can be in any format, for example, in an email, in a Word document, in Power Point, in a printed copy, and so on. For a complete definition of Confide</w:t>
            </w:r>
            <w:bookmarkStart w:id="0" w:name="_GoBack"/>
            <w:bookmarkEnd w:id="0"/>
            <w:r w:rsidRPr="00097A61">
              <w:rPr>
                <w:rFonts w:ascii="Arial" w:hAnsi="Arial" w:cs="Arial"/>
                <w:sz w:val="18"/>
                <w:szCs w:val="18"/>
              </w:rPr>
              <w:t xml:space="preserve">ntial Information, please refer to your </w:t>
            </w:r>
            <w:r w:rsidRPr="00097A61">
              <w:rPr>
                <w:rFonts w:ascii="Arial" w:hAnsi="Arial" w:cs="Arial"/>
                <w:i/>
                <w:iCs/>
                <w:sz w:val="18"/>
                <w:szCs w:val="18"/>
              </w:rPr>
              <w:t xml:space="preserve">Agreement on Confidentiality and Other Vital Business Interests </w:t>
            </w:r>
            <w:r w:rsidRPr="00097A61">
              <w:rPr>
                <w:rFonts w:ascii="Arial" w:hAnsi="Arial" w:cs="Arial"/>
                <w:sz w:val="18"/>
                <w:szCs w:val="18"/>
              </w:rPr>
              <w:t>and APR 223</w:t>
            </w:r>
            <w:r w:rsidRPr="00097A61">
              <w:rPr>
                <w:rFonts w:ascii="Arial" w:hAnsi="Arial" w:cs="Arial"/>
                <w:i/>
                <w:iCs/>
                <w:sz w:val="18"/>
                <w:szCs w:val="18"/>
              </w:rPr>
              <w:t xml:space="preserve">. </w:t>
            </w:r>
            <w:r w:rsidRPr="00097A61">
              <w:rPr>
                <w:rFonts w:ascii="Arial" w:hAnsi="Arial" w:cs="Arial"/>
                <w:sz w:val="18"/>
                <w:szCs w:val="18"/>
              </w:rPr>
              <w:t xml:space="preserve">If you have questions about whether you are permitted to keep a specific type of information, please consult with your manager. </w:t>
            </w:r>
          </w:p>
        </w:tc>
        <w:tc>
          <w:tcPr>
            <w:tcW w:w="810" w:type="dxa"/>
            <w:vAlign w:val="center"/>
          </w:tcPr>
          <w:p w:rsidR="00AD710D" w:rsidRPr="00557D04" w:rsidRDefault="00AD710D" w:rsidP="00D30CB3">
            <w:pPr>
              <w:jc w:val="center"/>
              <w:rPr>
                <w:rFonts w:ascii="Arial" w:hAnsi="Arial" w:cs="Arial"/>
                <w:color w:val="FFFFFF"/>
                <w:sz w:val="18"/>
                <w:szCs w:val="18"/>
                <w:lang w:val="en-GB"/>
              </w:rPr>
            </w:pPr>
            <w:r w:rsidRPr="00557D04">
              <w:rPr>
                <w:rFonts w:ascii="Arial" w:hAnsi="Arial" w:cs="Arial"/>
                <w:sz w:val="18"/>
                <w:szCs w:val="18"/>
              </w:rPr>
              <w:sym w:font="Wingdings 2" w:char="F0A3"/>
            </w:r>
          </w:p>
        </w:tc>
      </w:tr>
      <w:tr w:rsidR="00E92E44" w:rsidTr="00275E18">
        <w:trPr>
          <w:trHeight w:val="251"/>
        </w:trPr>
        <w:tc>
          <w:tcPr>
            <w:tcW w:w="10255" w:type="dxa"/>
            <w:gridSpan w:val="2"/>
            <w:shd w:val="clear" w:color="auto" w:fill="9CC2E5" w:themeFill="accent1" w:themeFillTint="99"/>
            <w:vAlign w:val="center"/>
          </w:tcPr>
          <w:p w:rsidR="00E92E44" w:rsidRDefault="00E92E44" w:rsidP="00E92E44">
            <w:r w:rsidRPr="00E4042C">
              <w:rPr>
                <w:rFonts w:ascii="Arial" w:hAnsi="Arial" w:cs="Arial"/>
                <w:b/>
                <w:color w:val="002060"/>
                <w:sz w:val="18"/>
                <w:szCs w:val="18"/>
              </w:rPr>
              <w:t>Your Obligation to Return Client Work Papers belonging to the Deloitte U.S. Firms and Their Clients</w:t>
            </w:r>
          </w:p>
        </w:tc>
      </w:tr>
      <w:tr w:rsidR="00E92E44" w:rsidTr="00275E18">
        <w:tc>
          <w:tcPr>
            <w:tcW w:w="9445" w:type="dxa"/>
          </w:tcPr>
          <w:p w:rsidR="00E92E44" w:rsidRPr="004775B3" w:rsidRDefault="00E92E44" w:rsidP="00864055">
            <w:pPr>
              <w:spacing w:before="80"/>
              <w:rPr>
                <w:rFonts w:ascii="Arial" w:hAnsi="Arial" w:cs="Arial"/>
                <w:sz w:val="18"/>
                <w:szCs w:val="18"/>
              </w:rPr>
            </w:pPr>
            <w:r w:rsidRPr="00557D04">
              <w:rPr>
                <w:rFonts w:ascii="Arial" w:hAnsi="Arial" w:cs="Arial"/>
                <w:sz w:val="18"/>
                <w:szCs w:val="18"/>
              </w:rPr>
              <w:t>You will receive an e-mail from Records Management listing those official records currently checked out in your name in the Deloitte Records Management System (DRMS</w:t>
            </w:r>
            <w:r w:rsidRPr="00A61C46">
              <w:rPr>
                <w:rFonts w:ascii="Arial" w:hAnsi="Arial" w:cs="Arial"/>
                <w:sz w:val="18"/>
                <w:szCs w:val="18"/>
              </w:rPr>
              <w:t xml:space="preserve">).  It is </w:t>
            </w:r>
            <w:r w:rsidRPr="00A61C46">
              <w:rPr>
                <w:rFonts w:ascii="Arial" w:hAnsi="Arial" w:cs="Arial"/>
                <w:b/>
                <w:sz w:val="18"/>
                <w:szCs w:val="18"/>
              </w:rPr>
              <w:t xml:space="preserve">critical </w:t>
            </w:r>
            <w:r w:rsidRPr="00A61C46">
              <w:rPr>
                <w:rFonts w:ascii="Arial" w:hAnsi="Arial" w:cs="Arial"/>
                <w:sz w:val="18"/>
                <w:szCs w:val="18"/>
              </w:rPr>
              <w:t>that you return all such records to Central Files</w:t>
            </w:r>
            <w:r w:rsidRPr="00557D04">
              <w:rPr>
                <w:rFonts w:ascii="Arial" w:hAnsi="Arial" w:cs="Arial"/>
                <w:sz w:val="18"/>
                <w:szCs w:val="18"/>
              </w:rPr>
              <w:t xml:space="preserve">. </w:t>
            </w:r>
            <w:r>
              <w:rPr>
                <w:rFonts w:ascii="Arial" w:hAnsi="Arial" w:cs="Arial"/>
                <w:sz w:val="18"/>
                <w:szCs w:val="18"/>
              </w:rPr>
              <w:t>T</w:t>
            </w:r>
            <w:r w:rsidRPr="004775B3">
              <w:rPr>
                <w:rFonts w:ascii="Arial" w:hAnsi="Arial" w:cs="Arial"/>
                <w:sz w:val="18"/>
                <w:szCs w:val="18"/>
              </w:rPr>
              <w:t xml:space="preserve">he Records Management Services (RMS) organization wants to remind you of the following steps </w:t>
            </w:r>
            <w:r>
              <w:rPr>
                <w:rFonts w:ascii="Arial" w:hAnsi="Arial" w:cs="Arial"/>
                <w:sz w:val="18"/>
                <w:szCs w:val="18"/>
              </w:rPr>
              <w:t xml:space="preserve">to be taken </w:t>
            </w:r>
            <w:r w:rsidRPr="004775B3">
              <w:rPr>
                <w:rFonts w:ascii="Arial" w:hAnsi="Arial" w:cs="Arial"/>
                <w:sz w:val="18"/>
                <w:szCs w:val="18"/>
              </w:rPr>
              <w:t xml:space="preserve">prior to your departure from Deloitte. </w:t>
            </w:r>
          </w:p>
          <w:p w:rsidR="00E92E44" w:rsidRPr="004775B3" w:rsidRDefault="00E92E44" w:rsidP="00E92E44">
            <w:pPr>
              <w:rPr>
                <w:rFonts w:ascii="Arial" w:hAnsi="Arial" w:cs="Arial"/>
                <w:sz w:val="18"/>
                <w:szCs w:val="18"/>
              </w:rPr>
            </w:pPr>
          </w:p>
          <w:p w:rsidR="00E92E44" w:rsidRPr="004775B3" w:rsidRDefault="00E92E44" w:rsidP="00E92E44">
            <w:pPr>
              <w:tabs>
                <w:tab w:val="left" w:pos="3772"/>
              </w:tabs>
              <w:rPr>
                <w:rFonts w:ascii="Arial" w:hAnsi="Arial" w:cs="Arial"/>
                <w:b/>
                <w:sz w:val="18"/>
                <w:szCs w:val="18"/>
              </w:rPr>
            </w:pPr>
            <w:r w:rsidRPr="004775B3">
              <w:rPr>
                <w:rFonts w:ascii="Arial" w:hAnsi="Arial" w:cs="Arial"/>
                <w:b/>
                <w:sz w:val="18"/>
                <w:szCs w:val="18"/>
              </w:rPr>
              <w:t>Required Records Management steps to be completed prior to your separation:</w:t>
            </w:r>
          </w:p>
          <w:p w:rsidR="00E92E44" w:rsidRPr="004775B3" w:rsidRDefault="00E92E44" w:rsidP="00E92E44">
            <w:pPr>
              <w:ind w:left="259"/>
              <w:rPr>
                <w:rFonts w:ascii="Arial" w:hAnsi="Arial" w:cs="Arial"/>
                <w:sz w:val="18"/>
                <w:szCs w:val="18"/>
              </w:rPr>
            </w:pPr>
          </w:p>
          <w:p w:rsidR="00E92E44" w:rsidRPr="004775B3" w:rsidRDefault="00E92E44" w:rsidP="00E92E44">
            <w:pPr>
              <w:pStyle w:val="Bulletlevel1"/>
              <w:ind w:left="306" w:hanging="259"/>
              <w:rPr>
                <w:color w:val="auto"/>
              </w:rPr>
            </w:pPr>
            <w:r w:rsidRPr="004775B3">
              <w:rPr>
                <w:color w:val="auto"/>
              </w:rPr>
              <w:t xml:space="preserve">If appropriate, transition your electronic archive management access in </w:t>
            </w:r>
            <w:proofErr w:type="spellStart"/>
            <w:r w:rsidRPr="004775B3">
              <w:rPr>
                <w:color w:val="auto"/>
              </w:rPr>
              <w:t>eDRMS</w:t>
            </w:r>
            <w:proofErr w:type="spellEnd"/>
            <w:r w:rsidRPr="004775B3">
              <w:rPr>
                <w:color w:val="auto"/>
              </w:rPr>
              <w:t xml:space="preserve"> 2, </w:t>
            </w:r>
            <w:proofErr w:type="spellStart"/>
            <w:r w:rsidRPr="004775B3">
              <w:rPr>
                <w:color w:val="auto"/>
              </w:rPr>
              <w:t>eDRMS</w:t>
            </w:r>
            <w:proofErr w:type="spellEnd"/>
            <w:r w:rsidRPr="004775B3">
              <w:rPr>
                <w:color w:val="auto"/>
              </w:rPr>
              <w:t xml:space="preserve"> for Audit (</w:t>
            </w:r>
            <w:proofErr w:type="spellStart"/>
            <w:r w:rsidRPr="004775B3">
              <w:rPr>
                <w:color w:val="auto"/>
              </w:rPr>
              <w:t>efA</w:t>
            </w:r>
            <w:proofErr w:type="spellEnd"/>
            <w:r w:rsidRPr="004775B3">
              <w:rPr>
                <w:color w:val="auto"/>
              </w:rPr>
              <w:t xml:space="preserve">), </w:t>
            </w:r>
            <w:proofErr w:type="spellStart"/>
            <w:r w:rsidRPr="004775B3">
              <w:rPr>
                <w:color w:val="auto"/>
              </w:rPr>
              <w:t>eDRMS</w:t>
            </w:r>
            <w:proofErr w:type="spellEnd"/>
            <w:r w:rsidRPr="004775B3">
              <w:rPr>
                <w:color w:val="auto"/>
              </w:rPr>
              <w:t xml:space="preserve"> for Federal, or </w:t>
            </w:r>
            <w:proofErr w:type="spellStart"/>
            <w:r w:rsidRPr="004775B3">
              <w:rPr>
                <w:color w:val="auto"/>
              </w:rPr>
              <w:t>eDRMS</w:t>
            </w:r>
            <w:proofErr w:type="spellEnd"/>
            <w:r w:rsidRPr="004775B3">
              <w:rPr>
                <w:color w:val="auto"/>
              </w:rPr>
              <w:t xml:space="preserve"> Non-Client engagement to a fellow engagement team member. </w:t>
            </w:r>
          </w:p>
          <w:p w:rsidR="00E92E44" w:rsidRPr="004775B3" w:rsidRDefault="00E92E44" w:rsidP="00E92E44">
            <w:pPr>
              <w:pStyle w:val="Bulletlevel1"/>
              <w:ind w:left="306" w:hanging="259"/>
              <w:rPr>
                <w:color w:val="auto"/>
              </w:rPr>
            </w:pPr>
            <w:r w:rsidRPr="004775B3">
              <w:rPr>
                <w:color w:val="auto"/>
              </w:rPr>
              <w:t xml:space="preserve">Upload any electronic records you have to the appropriate </w:t>
            </w:r>
            <w:proofErr w:type="spellStart"/>
            <w:r w:rsidRPr="004775B3">
              <w:rPr>
                <w:color w:val="auto"/>
              </w:rPr>
              <w:t>eDRMS</w:t>
            </w:r>
            <w:proofErr w:type="spellEnd"/>
            <w:r w:rsidRPr="004775B3">
              <w:rPr>
                <w:color w:val="auto"/>
              </w:rPr>
              <w:t xml:space="preserve"> electronic archive.</w:t>
            </w:r>
          </w:p>
          <w:p w:rsidR="00E92E44" w:rsidRPr="004775B3" w:rsidRDefault="00E92E44" w:rsidP="00E92E44">
            <w:pPr>
              <w:pStyle w:val="Bulletlevel1"/>
              <w:ind w:left="306" w:hanging="259"/>
              <w:rPr>
                <w:color w:val="auto"/>
              </w:rPr>
            </w:pPr>
            <w:r w:rsidRPr="004775B3">
              <w:rPr>
                <w:color w:val="auto"/>
              </w:rPr>
              <w:t xml:space="preserve">Return all hard copy records checked out in </w:t>
            </w:r>
            <w:r>
              <w:rPr>
                <w:color w:val="auto"/>
              </w:rPr>
              <w:t xml:space="preserve">DRMS </w:t>
            </w:r>
            <w:r w:rsidRPr="004775B3">
              <w:rPr>
                <w:color w:val="auto"/>
              </w:rPr>
              <w:t xml:space="preserve">in your name to your local office Central Files or </w:t>
            </w:r>
            <w:r>
              <w:rPr>
                <w:color w:val="auto"/>
              </w:rPr>
              <w:t xml:space="preserve">reply to this message </w:t>
            </w:r>
            <w:r w:rsidRPr="004775B3">
              <w:rPr>
                <w:color w:val="auto"/>
              </w:rPr>
              <w:t>request</w:t>
            </w:r>
            <w:r>
              <w:rPr>
                <w:color w:val="auto"/>
              </w:rPr>
              <w:t xml:space="preserve">ing </w:t>
            </w:r>
            <w:r w:rsidRPr="004775B3">
              <w:rPr>
                <w:color w:val="auto"/>
              </w:rPr>
              <w:t>reassign</w:t>
            </w:r>
            <w:r>
              <w:rPr>
                <w:color w:val="auto"/>
              </w:rPr>
              <w:t>ment of</w:t>
            </w:r>
            <w:r w:rsidRPr="004775B3">
              <w:rPr>
                <w:color w:val="auto"/>
              </w:rPr>
              <w:t xml:space="preserve"> the records to another member of the engagement team.</w:t>
            </w:r>
          </w:p>
          <w:p w:rsidR="00E92E44" w:rsidRPr="004775B3" w:rsidRDefault="00E92E44" w:rsidP="00E92E44">
            <w:pPr>
              <w:pStyle w:val="Bulletlevel1"/>
              <w:ind w:left="306" w:hanging="259"/>
              <w:rPr>
                <w:color w:val="auto"/>
              </w:rPr>
            </w:pPr>
            <w:r w:rsidRPr="004775B3">
              <w:rPr>
                <w:color w:val="auto"/>
              </w:rPr>
              <w:t xml:space="preserve">If you are unable to locate the hard copy records currently checked out in your name, please contact the </w:t>
            </w:r>
            <w:hyperlink r:id="rId12" w:history="1">
              <w:r>
                <w:rPr>
                  <w:rStyle w:val="Hyperlink"/>
                </w:rPr>
                <w:t>National Records Management Asset Recovery</w:t>
              </w:r>
            </w:hyperlink>
            <w:r w:rsidRPr="004775B3">
              <w:rPr>
                <w:color w:val="auto"/>
              </w:rPr>
              <w:t xml:space="preserve"> mailbox immediately.</w:t>
            </w:r>
          </w:p>
          <w:p w:rsidR="00E92E44" w:rsidRPr="004775B3" w:rsidRDefault="00E92E44" w:rsidP="00E92E44">
            <w:pPr>
              <w:rPr>
                <w:rFonts w:ascii="Arial" w:hAnsi="Arial" w:cs="Arial"/>
                <w:sz w:val="18"/>
                <w:szCs w:val="18"/>
              </w:rPr>
            </w:pPr>
          </w:p>
          <w:p w:rsidR="00E92E44" w:rsidRDefault="00E92E44" w:rsidP="00E92E44">
            <w:pPr>
              <w:rPr>
                <w:rFonts w:ascii="Arial" w:hAnsi="Arial" w:cs="Arial"/>
                <w:sz w:val="18"/>
                <w:szCs w:val="18"/>
              </w:rPr>
            </w:pPr>
            <w:r w:rsidRPr="004775B3">
              <w:rPr>
                <w:rFonts w:ascii="Arial" w:hAnsi="Arial" w:cs="Arial"/>
                <w:sz w:val="18"/>
                <w:szCs w:val="18"/>
              </w:rPr>
              <w:t>Once your hard</w:t>
            </w:r>
            <w:r>
              <w:rPr>
                <w:rFonts w:ascii="Arial" w:hAnsi="Arial" w:cs="Arial"/>
                <w:sz w:val="18"/>
                <w:szCs w:val="18"/>
              </w:rPr>
              <w:t xml:space="preserve"> </w:t>
            </w:r>
            <w:r w:rsidRPr="004775B3">
              <w:rPr>
                <w:rFonts w:ascii="Arial" w:hAnsi="Arial" w:cs="Arial"/>
                <w:sz w:val="18"/>
                <w:szCs w:val="18"/>
              </w:rPr>
              <w:t>copy records have been reassigned/returned</w:t>
            </w:r>
            <w:r>
              <w:rPr>
                <w:rFonts w:ascii="Arial" w:hAnsi="Arial" w:cs="Arial"/>
                <w:sz w:val="18"/>
                <w:szCs w:val="18"/>
              </w:rPr>
              <w:t xml:space="preserve">, </w:t>
            </w:r>
            <w:r w:rsidRPr="004775B3">
              <w:rPr>
                <w:rFonts w:ascii="Arial" w:hAnsi="Arial" w:cs="Arial"/>
                <w:sz w:val="18"/>
                <w:szCs w:val="18"/>
              </w:rPr>
              <w:t xml:space="preserve">your electronic records have been uploaded and access reassigned, Records Management will send you verification of the completed steps. During your </w:t>
            </w:r>
            <w:r>
              <w:rPr>
                <w:rFonts w:ascii="Arial" w:hAnsi="Arial" w:cs="Arial"/>
                <w:sz w:val="18"/>
                <w:szCs w:val="18"/>
              </w:rPr>
              <w:t>separation</w:t>
            </w:r>
            <w:r w:rsidRPr="004775B3">
              <w:rPr>
                <w:rFonts w:ascii="Arial" w:hAnsi="Arial" w:cs="Arial"/>
                <w:sz w:val="18"/>
                <w:szCs w:val="18"/>
              </w:rPr>
              <w:t xml:space="preserve"> discussion, you will be asked to verify that </w:t>
            </w:r>
            <w:r>
              <w:rPr>
                <w:rFonts w:ascii="Arial" w:hAnsi="Arial" w:cs="Arial"/>
                <w:sz w:val="18"/>
                <w:szCs w:val="18"/>
              </w:rPr>
              <w:t>you have turned in your records</w:t>
            </w:r>
            <w:r w:rsidRPr="00557D04">
              <w:rPr>
                <w:rFonts w:ascii="Arial" w:hAnsi="Arial" w:cs="Arial"/>
                <w:sz w:val="18"/>
                <w:szCs w:val="18"/>
              </w:rPr>
              <w:t xml:space="preserve">. </w:t>
            </w:r>
          </w:p>
          <w:p w:rsidR="00E92E44" w:rsidRDefault="00E92E44" w:rsidP="00E92E44">
            <w:pPr>
              <w:rPr>
                <w:rFonts w:ascii="Arial" w:hAnsi="Arial" w:cs="Arial"/>
                <w:sz w:val="18"/>
                <w:szCs w:val="18"/>
              </w:rPr>
            </w:pPr>
          </w:p>
          <w:p w:rsidR="00E92E44" w:rsidRPr="00557D04" w:rsidRDefault="00E92E44" w:rsidP="00E92E44">
            <w:pPr>
              <w:rPr>
                <w:rFonts w:ascii="Arial" w:hAnsi="Arial" w:cs="Arial"/>
                <w:sz w:val="18"/>
                <w:szCs w:val="18"/>
              </w:rPr>
            </w:pPr>
            <w:r w:rsidRPr="00E30402">
              <w:rPr>
                <w:rFonts w:ascii="Arial" w:hAnsi="Arial" w:cs="Arial"/>
                <w:b/>
                <w:sz w:val="18"/>
                <w:szCs w:val="18"/>
                <w:highlight w:val="yellow"/>
              </w:rPr>
              <w:t>Official records are considered assets of the U.S. Firms and must be returned before you leave.</w:t>
            </w:r>
            <w:r w:rsidRPr="00557D04">
              <w:rPr>
                <w:rFonts w:ascii="Arial" w:hAnsi="Arial" w:cs="Arial"/>
                <w:sz w:val="18"/>
                <w:szCs w:val="18"/>
              </w:rPr>
              <w:t xml:space="preserve">  </w:t>
            </w:r>
          </w:p>
          <w:p w:rsidR="00E92E44" w:rsidRPr="00557D04" w:rsidRDefault="00E92E44" w:rsidP="00E92E44">
            <w:pPr>
              <w:rPr>
                <w:rFonts w:ascii="Arial" w:hAnsi="Arial" w:cs="Arial"/>
                <w:sz w:val="18"/>
                <w:szCs w:val="18"/>
              </w:rPr>
            </w:pPr>
          </w:p>
          <w:p w:rsidR="00E92E44" w:rsidRPr="00557D04" w:rsidRDefault="00E92E44" w:rsidP="00E92E44">
            <w:pPr>
              <w:rPr>
                <w:rFonts w:ascii="Arial" w:hAnsi="Arial" w:cs="Arial"/>
                <w:sz w:val="18"/>
                <w:szCs w:val="18"/>
              </w:rPr>
            </w:pPr>
            <w:r w:rsidRPr="00557D04">
              <w:rPr>
                <w:rFonts w:ascii="Arial" w:hAnsi="Arial" w:cs="Arial"/>
                <w:sz w:val="18"/>
                <w:szCs w:val="18"/>
              </w:rPr>
              <w:t>All work-in-progress files (not checked out to you in DRMS) should be returned to Deloitte in accordance with directions you receive from your leadership.</w:t>
            </w:r>
          </w:p>
          <w:p w:rsidR="00E92E44" w:rsidRPr="00557D04" w:rsidRDefault="00E92E44" w:rsidP="00E92E44">
            <w:pPr>
              <w:rPr>
                <w:rFonts w:ascii="Arial" w:hAnsi="Arial" w:cs="Arial"/>
                <w:sz w:val="18"/>
                <w:szCs w:val="18"/>
              </w:rPr>
            </w:pPr>
          </w:p>
          <w:p w:rsidR="00864055" w:rsidRDefault="00E92E44" w:rsidP="00A5168C">
            <w:pPr>
              <w:rPr>
                <w:rFonts w:ascii="Arial" w:hAnsi="Arial" w:cs="Arial"/>
                <w:b/>
                <w:bCs/>
                <w:sz w:val="18"/>
                <w:szCs w:val="18"/>
                <w:lang w:val="en-GB"/>
              </w:rPr>
            </w:pPr>
            <w:r w:rsidRPr="00557D04">
              <w:rPr>
                <w:rFonts w:ascii="Arial" w:hAnsi="Arial" w:cs="Arial"/>
                <w:b/>
                <w:bCs/>
                <w:color w:val="000000"/>
                <w:sz w:val="18"/>
                <w:szCs w:val="18"/>
                <w:lang w:val="en-GB"/>
              </w:rPr>
              <w:t xml:space="preserve">Approval process: </w:t>
            </w:r>
            <w:r w:rsidRPr="00557D04">
              <w:rPr>
                <w:rFonts w:ascii="Arial" w:hAnsi="Arial" w:cs="Arial"/>
                <w:b/>
                <w:bCs/>
                <w:sz w:val="18"/>
                <w:szCs w:val="18"/>
                <w:lang w:val="en-GB"/>
              </w:rPr>
              <w:t xml:space="preserve">You will receive an email confirmation by records management.  Keep that email for your records. </w:t>
            </w:r>
          </w:p>
          <w:p w:rsidR="00A5168C" w:rsidRPr="00557D04" w:rsidRDefault="00A5168C" w:rsidP="00A5168C">
            <w:pPr>
              <w:rPr>
                <w:rFonts w:ascii="Arial" w:hAnsi="Arial" w:cs="Arial"/>
                <w:b/>
                <w:sz w:val="18"/>
                <w:szCs w:val="18"/>
                <w:lang w:val="en-GB"/>
              </w:rPr>
            </w:pPr>
          </w:p>
        </w:tc>
        <w:tc>
          <w:tcPr>
            <w:tcW w:w="810" w:type="dxa"/>
            <w:vAlign w:val="center"/>
          </w:tcPr>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tc>
      </w:tr>
      <w:tr w:rsidR="00E92E44" w:rsidTr="00275E18">
        <w:tc>
          <w:tcPr>
            <w:tcW w:w="10255" w:type="dxa"/>
            <w:gridSpan w:val="2"/>
            <w:shd w:val="clear" w:color="auto" w:fill="9CC2E5" w:themeFill="accent1" w:themeFillTint="99"/>
            <w:vAlign w:val="center"/>
          </w:tcPr>
          <w:p w:rsidR="00E92E44" w:rsidRDefault="00E92E44" w:rsidP="00E92E44">
            <w:r w:rsidRPr="0084015A">
              <w:rPr>
                <w:rFonts w:ascii="Arial" w:hAnsi="Arial" w:cs="Arial"/>
                <w:b/>
                <w:iCs/>
                <w:color w:val="002060"/>
                <w:sz w:val="18"/>
                <w:szCs w:val="18"/>
              </w:rPr>
              <w:t>Expenses</w:t>
            </w:r>
          </w:p>
        </w:tc>
      </w:tr>
      <w:tr w:rsidR="00E92E44" w:rsidTr="00275E18">
        <w:tc>
          <w:tcPr>
            <w:tcW w:w="9445" w:type="dxa"/>
          </w:tcPr>
          <w:p w:rsidR="00E92E44" w:rsidRPr="0089278B" w:rsidRDefault="00E92E44" w:rsidP="00864055">
            <w:pPr>
              <w:spacing w:before="80"/>
              <w:rPr>
                <w:rFonts w:ascii="Arial" w:hAnsi="Arial" w:cs="Arial"/>
                <w:iCs/>
                <w:sz w:val="18"/>
                <w:szCs w:val="18"/>
              </w:rPr>
            </w:pPr>
            <w:r w:rsidRPr="0084015A">
              <w:rPr>
                <w:rFonts w:ascii="Arial" w:hAnsi="Arial" w:cs="Arial"/>
                <w:b/>
                <w:iCs/>
                <w:sz w:val="18"/>
                <w:szCs w:val="18"/>
              </w:rPr>
              <w:lastRenderedPageBreak/>
              <w:t>Destroy all corporate cards</w:t>
            </w:r>
            <w:r w:rsidRPr="0089278B">
              <w:rPr>
                <w:rFonts w:ascii="Arial" w:hAnsi="Arial" w:cs="Arial"/>
                <w:iCs/>
                <w:sz w:val="18"/>
                <w:szCs w:val="18"/>
              </w:rPr>
              <w:t xml:space="preserve"> (i.e., American Express, Verizon Conferencing card, P-Card) obtained through the Deloitte U.S. Firms. All U.S. Firms' corporate cards are canceled upon separation. </w:t>
            </w:r>
            <w:r w:rsidRPr="0084015A">
              <w:rPr>
                <w:rFonts w:ascii="Arial" w:hAnsi="Arial" w:cs="Arial"/>
                <w:b/>
                <w:i/>
                <w:iCs/>
                <w:sz w:val="18"/>
                <w:szCs w:val="18"/>
              </w:rPr>
              <w:t>IMPORTANT NOTE:</w:t>
            </w:r>
            <w:r w:rsidRPr="0089278B">
              <w:rPr>
                <w:rFonts w:ascii="Arial" w:hAnsi="Arial" w:cs="Arial"/>
                <w:iCs/>
                <w:sz w:val="18"/>
                <w:szCs w:val="18"/>
              </w:rPr>
              <w:t xml:space="preserve"> If you are enrolled in a rewards program associated with your corporate charge card, write down the last four digits of the account number prior to destroying it and contact the vendor directly to make arrangements to disperse or transfer those rewards.  Please remember that the corporate charge card balance is a personal liability and that any unpaid balance may cause the vendor to trigger a collections process that may impact your personal credit rating.  Please make all your outstanding expense report submissions and you will be making payment for any non-reimbursable, personal allocation charges that have not been or will not be made through Direct Pay. </w:t>
            </w:r>
          </w:p>
          <w:p w:rsidR="00E92E44" w:rsidRPr="0089278B" w:rsidRDefault="00E92E44" w:rsidP="00E92E44">
            <w:pPr>
              <w:rPr>
                <w:rFonts w:ascii="Arial" w:hAnsi="Arial" w:cs="Arial"/>
                <w:iCs/>
                <w:sz w:val="18"/>
                <w:szCs w:val="18"/>
              </w:rPr>
            </w:pPr>
            <w:r w:rsidRPr="0089278B">
              <w:rPr>
                <w:rFonts w:ascii="Arial" w:hAnsi="Arial" w:cs="Arial"/>
                <w:iCs/>
                <w:sz w:val="18"/>
                <w:szCs w:val="18"/>
              </w:rPr>
              <w:tab/>
            </w:r>
          </w:p>
          <w:p w:rsidR="00E92E44" w:rsidRPr="0089278B" w:rsidRDefault="00E92E44" w:rsidP="00E92E44">
            <w:pPr>
              <w:rPr>
                <w:rFonts w:ascii="Arial" w:hAnsi="Arial" w:cs="Arial"/>
                <w:iCs/>
                <w:sz w:val="18"/>
                <w:szCs w:val="18"/>
              </w:rPr>
            </w:pPr>
            <w:r w:rsidRPr="0089278B">
              <w:rPr>
                <w:rFonts w:ascii="Arial" w:hAnsi="Arial" w:cs="Arial"/>
                <w:iCs/>
                <w:sz w:val="18"/>
                <w:szCs w:val="18"/>
              </w:rPr>
              <w:t>The American Express Membership Rewards program (1-800-297-3276) is not administered by the Deloitte U.S. Firms. Reward points will be forfeited if not redeemed within a short period subsequent to corporate charge card cancellation; directly contact the applicable card provider for details.</w:t>
            </w:r>
          </w:p>
          <w:p w:rsidR="00E92E44" w:rsidRPr="0089278B" w:rsidRDefault="00E92E44" w:rsidP="00E92E44">
            <w:pPr>
              <w:rPr>
                <w:rFonts w:ascii="Arial" w:hAnsi="Arial" w:cs="Arial"/>
                <w:iCs/>
                <w:sz w:val="18"/>
                <w:szCs w:val="18"/>
              </w:rPr>
            </w:pPr>
          </w:p>
          <w:p w:rsidR="00E92E44" w:rsidRPr="0089278B" w:rsidRDefault="00E92E44" w:rsidP="00E92E44">
            <w:pPr>
              <w:rPr>
                <w:rFonts w:ascii="Arial" w:hAnsi="Arial" w:cs="Arial"/>
                <w:iCs/>
                <w:sz w:val="18"/>
                <w:szCs w:val="18"/>
              </w:rPr>
            </w:pPr>
            <w:r w:rsidRPr="0089278B">
              <w:rPr>
                <w:rFonts w:ascii="Arial" w:hAnsi="Arial" w:cs="Arial"/>
                <w:iCs/>
                <w:sz w:val="18"/>
                <w:szCs w:val="18"/>
              </w:rPr>
              <w:t xml:space="preserve">Perform a final reconciliation of your American Express account. The cardholder will need to reconcile their outstanding American Express balance (if any) against expenses submitted in DTE (or to be submitted in DTE) for charges that will be paid directly by Deloitte.  Any remaining balances will be the responsibility of the cardholder. All personnel are individually responsible to pay in full each month by the due date all charges to the corporate charge card.  This responsibility does not cease upon separation from Deloitte &amp; Touche USA LLP and its subsidiaries. Confirm your address and contact information with American Express is correct.  Final expense reimbursement payments are not released and paid until all expense envelopes are received and processed in Hermitage. Final expense reimbursements are typically received 4-6 weeks after your separation date provided there are no outstanding expense issues. If you have any questions regarding the final expense reimbursement process, please send an email to </w:t>
            </w:r>
            <w:hyperlink r:id="rId13" w:history="1">
              <w:r w:rsidRPr="0084015A">
                <w:rPr>
                  <w:rStyle w:val="Hyperlink"/>
                  <w:rFonts w:ascii="Arial" w:hAnsi="Arial" w:cs="Arial"/>
                  <w:b/>
                  <w:iCs/>
                  <w:color w:val="C00000"/>
                  <w:sz w:val="18"/>
                  <w:szCs w:val="18"/>
                </w:rPr>
                <w:t>expensecompliance@deloitte.com</w:t>
              </w:r>
            </w:hyperlink>
            <w:r w:rsidRPr="0089278B">
              <w:rPr>
                <w:rFonts w:ascii="Arial" w:hAnsi="Arial" w:cs="Arial"/>
                <w:iCs/>
                <w:sz w:val="18"/>
                <w:szCs w:val="18"/>
              </w:rPr>
              <w:t xml:space="preserve"> or call 1-800-597-4742.</w:t>
            </w:r>
          </w:p>
          <w:p w:rsidR="00E92E44" w:rsidRPr="0089278B" w:rsidRDefault="00E92E44" w:rsidP="00E92E44">
            <w:pPr>
              <w:rPr>
                <w:rFonts w:ascii="Arial" w:hAnsi="Arial" w:cs="Arial"/>
                <w:iCs/>
                <w:sz w:val="18"/>
                <w:szCs w:val="18"/>
              </w:rPr>
            </w:pPr>
          </w:p>
          <w:p w:rsidR="00E92E44" w:rsidRPr="0084015A" w:rsidRDefault="00E92E44" w:rsidP="00E92E44">
            <w:pPr>
              <w:rPr>
                <w:rFonts w:ascii="Arial" w:hAnsi="Arial" w:cs="Arial"/>
                <w:b/>
                <w:iCs/>
                <w:sz w:val="18"/>
                <w:szCs w:val="18"/>
              </w:rPr>
            </w:pPr>
            <w:r w:rsidRPr="0089278B">
              <w:rPr>
                <w:rFonts w:ascii="Arial" w:hAnsi="Arial" w:cs="Arial"/>
                <w:iCs/>
                <w:sz w:val="18"/>
                <w:szCs w:val="18"/>
              </w:rPr>
              <w:t xml:space="preserve">Any business-related expenses that are unable to be entered in DTE prior to your separation date (e.g. final wireless bills) should be entered on a manual expense form. Please fill the form out with your personnel number, the WBS element to charge, and the expense type and description. Don’t forget your current contact information. </w:t>
            </w:r>
            <w:r w:rsidRPr="0084015A">
              <w:rPr>
                <w:rFonts w:ascii="Arial" w:hAnsi="Arial" w:cs="Arial"/>
                <w:iCs/>
                <w:sz w:val="18"/>
                <w:szCs w:val="18"/>
                <w:highlight w:val="yellow"/>
              </w:rPr>
              <w:t>Send it back to Expense Compliance in Hermitage with the receipt documentation</w:t>
            </w:r>
            <w:r w:rsidRPr="0089278B">
              <w:rPr>
                <w:rFonts w:ascii="Arial" w:hAnsi="Arial" w:cs="Arial"/>
                <w:iCs/>
                <w:sz w:val="18"/>
                <w:szCs w:val="18"/>
              </w:rPr>
              <w:t xml:space="preserve"> (i.e., AMEX statement, or phone bill, etc.). You can either fax it to 615-750-4044, or scan it and email it to </w:t>
            </w:r>
            <w:hyperlink r:id="rId14" w:history="1">
              <w:r w:rsidRPr="0084015A">
                <w:rPr>
                  <w:rStyle w:val="Hyperlink"/>
                  <w:rFonts w:ascii="Arial" w:hAnsi="Arial" w:cs="Arial"/>
                  <w:b/>
                  <w:iCs/>
                  <w:color w:val="C00000"/>
                  <w:sz w:val="18"/>
                  <w:szCs w:val="18"/>
                </w:rPr>
                <w:t>expensecompliance@deloitte.com</w:t>
              </w:r>
            </w:hyperlink>
            <w:r w:rsidRPr="0089278B">
              <w:rPr>
                <w:rFonts w:ascii="Arial" w:hAnsi="Arial" w:cs="Arial"/>
                <w:iCs/>
                <w:sz w:val="18"/>
                <w:szCs w:val="18"/>
              </w:rPr>
              <w:t xml:space="preserve">, or you can mail it, </w:t>
            </w:r>
            <w:r w:rsidRPr="0084015A">
              <w:rPr>
                <w:rFonts w:ascii="Arial" w:hAnsi="Arial" w:cs="Arial"/>
                <w:b/>
                <w:iCs/>
                <w:sz w:val="18"/>
                <w:szCs w:val="18"/>
              </w:rPr>
              <w:t>but NOT in a Deloitte expense envelope to:</w:t>
            </w:r>
          </w:p>
          <w:p w:rsidR="00E92E44" w:rsidRPr="0084015A" w:rsidRDefault="00E92E44" w:rsidP="00E92E44">
            <w:pPr>
              <w:rPr>
                <w:rFonts w:ascii="Arial" w:hAnsi="Arial" w:cs="Arial"/>
                <w:b/>
                <w:iCs/>
                <w:sz w:val="18"/>
                <w:szCs w:val="18"/>
              </w:rPr>
            </w:pPr>
          </w:p>
          <w:p w:rsidR="00E92E44" w:rsidRPr="0084015A" w:rsidRDefault="00E92E44" w:rsidP="00E92E44">
            <w:pPr>
              <w:ind w:left="959"/>
              <w:rPr>
                <w:rFonts w:ascii="Arial" w:hAnsi="Arial" w:cs="Arial"/>
                <w:b/>
                <w:iCs/>
                <w:sz w:val="18"/>
                <w:szCs w:val="18"/>
              </w:rPr>
            </w:pPr>
            <w:r w:rsidRPr="0084015A">
              <w:rPr>
                <w:rFonts w:ascii="Arial" w:hAnsi="Arial" w:cs="Arial"/>
                <w:b/>
                <w:iCs/>
                <w:sz w:val="18"/>
                <w:szCs w:val="18"/>
              </w:rPr>
              <w:t>Deloitte Services LP</w:t>
            </w:r>
          </w:p>
          <w:p w:rsidR="00E92E44" w:rsidRPr="0084015A" w:rsidRDefault="00E92E44" w:rsidP="00E92E44">
            <w:pPr>
              <w:ind w:left="959"/>
              <w:rPr>
                <w:rFonts w:ascii="Arial" w:hAnsi="Arial" w:cs="Arial"/>
                <w:b/>
                <w:iCs/>
                <w:sz w:val="18"/>
                <w:szCs w:val="18"/>
              </w:rPr>
            </w:pPr>
            <w:r w:rsidRPr="0084015A">
              <w:rPr>
                <w:rFonts w:ascii="Arial" w:hAnsi="Arial" w:cs="Arial"/>
                <w:b/>
                <w:iCs/>
                <w:sz w:val="18"/>
                <w:szCs w:val="18"/>
              </w:rPr>
              <w:t>ATTN: Will Gordy</w:t>
            </w:r>
          </w:p>
          <w:p w:rsidR="00E92E44" w:rsidRPr="0084015A" w:rsidRDefault="00E92E44" w:rsidP="00E92E44">
            <w:pPr>
              <w:ind w:left="959"/>
              <w:rPr>
                <w:rFonts w:ascii="Arial" w:hAnsi="Arial" w:cs="Arial"/>
                <w:b/>
                <w:iCs/>
                <w:sz w:val="18"/>
                <w:szCs w:val="18"/>
              </w:rPr>
            </w:pPr>
            <w:r w:rsidRPr="0084015A">
              <w:rPr>
                <w:rFonts w:ascii="Arial" w:hAnsi="Arial" w:cs="Arial"/>
                <w:b/>
                <w:iCs/>
                <w:sz w:val="18"/>
                <w:szCs w:val="18"/>
              </w:rPr>
              <w:t>Expense Compliance</w:t>
            </w:r>
          </w:p>
          <w:p w:rsidR="00E92E44" w:rsidRPr="0084015A" w:rsidRDefault="00E92E44" w:rsidP="00E92E44">
            <w:pPr>
              <w:ind w:left="959"/>
              <w:rPr>
                <w:rFonts w:ascii="Arial" w:hAnsi="Arial" w:cs="Arial"/>
                <w:b/>
                <w:iCs/>
                <w:sz w:val="18"/>
                <w:szCs w:val="18"/>
              </w:rPr>
            </w:pPr>
            <w:r w:rsidRPr="0084015A">
              <w:rPr>
                <w:rFonts w:ascii="Arial" w:hAnsi="Arial" w:cs="Arial"/>
                <w:b/>
                <w:iCs/>
                <w:sz w:val="18"/>
                <w:szCs w:val="18"/>
              </w:rPr>
              <w:t>4022 Sells Drive</w:t>
            </w:r>
          </w:p>
          <w:p w:rsidR="00E92E44" w:rsidRPr="0084015A" w:rsidRDefault="00E92E44" w:rsidP="00E92E44">
            <w:pPr>
              <w:ind w:left="959"/>
              <w:rPr>
                <w:rFonts w:ascii="Arial" w:hAnsi="Arial" w:cs="Arial"/>
                <w:b/>
                <w:iCs/>
                <w:sz w:val="18"/>
                <w:szCs w:val="18"/>
              </w:rPr>
            </w:pPr>
            <w:r w:rsidRPr="0084015A">
              <w:rPr>
                <w:rFonts w:ascii="Arial" w:hAnsi="Arial" w:cs="Arial"/>
                <w:b/>
                <w:iCs/>
                <w:sz w:val="18"/>
                <w:szCs w:val="18"/>
              </w:rPr>
              <w:t>Hermitage, TN  37076-2930</w:t>
            </w:r>
          </w:p>
          <w:p w:rsidR="00E92E44" w:rsidRPr="0089278B" w:rsidRDefault="00E92E44" w:rsidP="00E92E44">
            <w:pPr>
              <w:rPr>
                <w:rFonts w:ascii="Arial" w:hAnsi="Arial" w:cs="Arial"/>
                <w:iCs/>
                <w:sz w:val="18"/>
                <w:szCs w:val="18"/>
              </w:rPr>
            </w:pPr>
          </w:p>
          <w:p w:rsidR="00E92E44" w:rsidRPr="0084015A" w:rsidRDefault="00E92E44" w:rsidP="00E92E44">
            <w:pPr>
              <w:rPr>
                <w:rFonts w:ascii="Arial" w:hAnsi="Arial" w:cs="Arial"/>
                <w:b/>
                <w:iCs/>
                <w:sz w:val="18"/>
                <w:szCs w:val="18"/>
              </w:rPr>
            </w:pPr>
            <w:r w:rsidRPr="0084015A">
              <w:rPr>
                <w:rFonts w:ascii="Arial" w:hAnsi="Arial" w:cs="Arial"/>
                <w:b/>
                <w:iCs/>
                <w:sz w:val="18"/>
                <w:szCs w:val="18"/>
              </w:rPr>
              <w:t>Please note: We will not reimburse expenses without proper receipt documentation.</w:t>
            </w:r>
          </w:p>
          <w:p w:rsidR="00E92E44" w:rsidRPr="0089278B" w:rsidRDefault="00E92E44" w:rsidP="00E92E44">
            <w:pPr>
              <w:rPr>
                <w:rFonts w:ascii="Arial" w:hAnsi="Arial" w:cs="Arial"/>
                <w:iCs/>
                <w:sz w:val="18"/>
                <w:szCs w:val="18"/>
              </w:rPr>
            </w:pPr>
            <w:r w:rsidRPr="0089278B">
              <w:rPr>
                <w:rFonts w:ascii="Arial" w:hAnsi="Arial" w:cs="Arial"/>
                <w:iCs/>
                <w:sz w:val="18"/>
                <w:szCs w:val="18"/>
              </w:rPr>
              <w:t xml:space="preserve">Prior to departure, update your address and personal email information on </w:t>
            </w:r>
            <w:proofErr w:type="spellStart"/>
            <w:r w:rsidRPr="0089278B">
              <w:rPr>
                <w:rFonts w:ascii="Arial" w:hAnsi="Arial" w:cs="Arial"/>
                <w:iCs/>
                <w:sz w:val="18"/>
                <w:szCs w:val="18"/>
              </w:rPr>
              <w:t>DeloitteNet</w:t>
            </w:r>
            <w:proofErr w:type="spellEnd"/>
            <w:r w:rsidRPr="0089278B">
              <w:rPr>
                <w:rFonts w:ascii="Arial" w:hAnsi="Arial" w:cs="Arial"/>
                <w:iCs/>
                <w:sz w:val="18"/>
                <w:szCs w:val="18"/>
              </w:rPr>
              <w:t xml:space="preserve"> in case any questions arise during our final review process. Additionally, updating this information ensures the manual reimbursement check is sent to the appropriate address, if applicable.</w:t>
            </w:r>
          </w:p>
          <w:p w:rsidR="00E92E44" w:rsidRDefault="00E92E44" w:rsidP="00E92E44">
            <w:pPr>
              <w:rPr>
                <w:rFonts w:ascii="Arial" w:hAnsi="Arial" w:cs="Arial"/>
                <w:iCs/>
                <w:sz w:val="18"/>
                <w:szCs w:val="18"/>
              </w:rPr>
            </w:pPr>
          </w:p>
          <w:p w:rsidR="00E92E44" w:rsidRPr="0089278B" w:rsidRDefault="00E92E44" w:rsidP="00E92E44">
            <w:pPr>
              <w:rPr>
                <w:rFonts w:ascii="Arial" w:hAnsi="Arial" w:cs="Arial"/>
                <w:iCs/>
                <w:sz w:val="18"/>
                <w:szCs w:val="18"/>
              </w:rPr>
            </w:pPr>
            <w:r w:rsidRPr="0089278B">
              <w:rPr>
                <w:rFonts w:ascii="Arial" w:hAnsi="Arial" w:cs="Arial"/>
                <w:iCs/>
                <w:sz w:val="18"/>
                <w:szCs w:val="18"/>
              </w:rPr>
              <w:t xml:space="preserve"> </w:t>
            </w:r>
            <w:r>
              <w:rPr>
                <w:rFonts w:ascii="Arial" w:hAnsi="Arial" w:cs="Arial"/>
                <w:iCs/>
                <w:sz w:val="18"/>
                <w:szCs w:val="18"/>
              </w:rPr>
              <w:object w:dxaOrig="1520" w:dyaOrig="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15" o:title=""/>
                </v:shape>
                <o:OLEObject Type="Embed" ProgID="Excel.Sheet.8" ShapeID="_x0000_i1025" DrawAspect="Icon" ObjectID="_1561876524" r:id="rId16"/>
              </w:object>
            </w:r>
          </w:p>
          <w:p w:rsidR="00E92E44" w:rsidRPr="0084015A" w:rsidRDefault="00E92E44" w:rsidP="00864055">
            <w:pPr>
              <w:spacing w:before="80"/>
              <w:rPr>
                <w:rFonts w:ascii="Arial" w:hAnsi="Arial" w:cs="Arial"/>
                <w:b/>
                <w:iCs/>
                <w:sz w:val="18"/>
                <w:szCs w:val="18"/>
              </w:rPr>
            </w:pPr>
            <w:r w:rsidRPr="0084015A">
              <w:rPr>
                <w:rFonts w:ascii="Arial" w:hAnsi="Arial" w:cs="Arial"/>
                <w:b/>
                <w:iCs/>
                <w:sz w:val="18"/>
                <w:szCs w:val="18"/>
                <w:highlight w:val="yellow"/>
              </w:rPr>
              <w:t>Federal Timekeeping Requirements</w:t>
            </w:r>
          </w:p>
          <w:p w:rsidR="00E92E44" w:rsidRPr="0089278B" w:rsidRDefault="00E92E44" w:rsidP="00E92E44">
            <w:pPr>
              <w:rPr>
                <w:rFonts w:ascii="Arial" w:hAnsi="Arial" w:cs="Arial"/>
                <w:iCs/>
                <w:sz w:val="18"/>
                <w:szCs w:val="18"/>
              </w:rPr>
            </w:pPr>
          </w:p>
          <w:p w:rsidR="00E92E44" w:rsidRPr="0089278B" w:rsidRDefault="00E92E44" w:rsidP="00E92E44">
            <w:pPr>
              <w:rPr>
                <w:rFonts w:ascii="Arial" w:hAnsi="Arial" w:cs="Arial"/>
                <w:iCs/>
                <w:sz w:val="18"/>
                <w:szCs w:val="18"/>
              </w:rPr>
            </w:pPr>
            <w:r w:rsidRPr="0089278B">
              <w:rPr>
                <w:rFonts w:ascii="Arial" w:hAnsi="Arial" w:cs="Arial"/>
                <w:iCs/>
                <w:sz w:val="18"/>
                <w:szCs w:val="18"/>
              </w:rPr>
              <w:t xml:space="preserve">Submit final time report and outstanding expenses in </w:t>
            </w:r>
            <w:hyperlink r:id="rId17" w:history="1">
              <w:r w:rsidRPr="0084015A">
                <w:rPr>
                  <w:rStyle w:val="Hyperlink"/>
                  <w:rFonts w:ascii="Arial" w:hAnsi="Arial" w:cs="Arial"/>
                  <w:b/>
                  <w:iCs/>
                  <w:color w:val="auto"/>
                  <w:sz w:val="18"/>
                  <w:szCs w:val="18"/>
                </w:rPr>
                <w:t>DTE</w:t>
              </w:r>
            </w:hyperlink>
            <w:r w:rsidRPr="0089278B">
              <w:rPr>
                <w:rFonts w:ascii="Arial" w:hAnsi="Arial" w:cs="Arial"/>
                <w:iCs/>
                <w:sz w:val="18"/>
                <w:szCs w:val="18"/>
              </w:rPr>
              <w:t xml:space="preserve"> prior to separation date.  </w:t>
            </w:r>
          </w:p>
          <w:p w:rsidR="00E92E44" w:rsidRPr="0089278B" w:rsidRDefault="00E92E44" w:rsidP="00E92E44">
            <w:pPr>
              <w:rPr>
                <w:rFonts w:ascii="Arial" w:hAnsi="Arial" w:cs="Arial"/>
                <w:iCs/>
                <w:sz w:val="18"/>
                <w:szCs w:val="18"/>
              </w:rPr>
            </w:pPr>
          </w:p>
          <w:p w:rsidR="00E92E44" w:rsidRDefault="00E92E44" w:rsidP="00864055">
            <w:pPr>
              <w:spacing w:after="80"/>
              <w:rPr>
                <w:rFonts w:ascii="Arial" w:hAnsi="Arial" w:cs="Arial"/>
                <w:iCs/>
                <w:sz w:val="18"/>
                <w:szCs w:val="18"/>
              </w:rPr>
            </w:pPr>
            <w:r w:rsidRPr="0089278B">
              <w:rPr>
                <w:rFonts w:ascii="Arial" w:hAnsi="Arial" w:cs="Arial"/>
                <w:iCs/>
                <w:sz w:val="18"/>
                <w:szCs w:val="18"/>
              </w:rPr>
              <w:t>Review your Total Time and Total Expense Approval dashboards and resolve all outstanding items.  All unresolved rejections must be resolved prior to your separation date.</w:t>
            </w:r>
          </w:p>
          <w:p w:rsidR="005859BF" w:rsidRDefault="005859BF" w:rsidP="00864055">
            <w:pPr>
              <w:spacing w:after="80"/>
              <w:rPr>
                <w:rFonts w:ascii="Arial" w:hAnsi="Arial" w:cs="Arial"/>
                <w:iCs/>
                <w:sz w:val="18"/>
                <w:szCs w:val="18"/>
              </w:rPr>
            </w:pPr>
          </w:p>
          <w:p w:rsidR="005859BF" w:rsidRDefault="005859BF" w:rsidP="00864055">
            <w:pPr>
              <w:spacing w:after="80"/>
              <w:rPr>
                <w:rFonts w:ascii="Arial" w:hAnsi="Arial" w:cs="Arial"/>
                <w:iCs/>
                <w:sz w:val="18"/>
                <w:szCs w:val="18"/>
              </w:rPr>
            </w:pPr>
          </w:p>
          <w:p w:rsidR="005859BF" w:rsidRDefault="005859BF" w:rsidP="00864055">
            <w:pPr>
              <w:spacing w:after="80"/>
            </w:pPr>
          </w:p>
        </w:tc>
        <w:tc>
          <w:tcPr>
            <w:tcW w:w="810" w:type="dxa"/>
          </w:tcPr>
          <w:p w:rsidR="00E92E44" w:rsidRDefault="00E92E44" w:rsidP="00E92E44">
            <w:pPr>
              <w:rPr>
                <w:rFonts w:ascii="Arial" w:hAnsi="Arial" w:cs="Arial"/>
                <w:sz w:val="18"/>
                <w:szCs w:val="18"/>
              </w:rPr>
            </w:pPr>
          </w:p>
          <w:p w:rsidR="00E92E4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rPr>
                <w:rFonts w:ascii="Arial" w:hAnsi="Arial" w:cs="Arial"/>
                <w:sz w:val="18"/>
                <w:szCs w:val="18"/>
              </w:rPr>
            </w:pPr>
          </w:p>
          <w:p w:rsidR="00E92E4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rPr>
                <w:rFonts w:ascii="Arial" w:hAnsi="Arial" w:cs="Arial"/>
                <w:sz w:val="18"/>
                <w:szCs w:val="18"/>
              </w:rPr>
            </w:pPr>
          </w:p>
          <w:p w:rsidR="00E92E44" w:rsidRDefault="00E92E44" w:rsidP="00E92E44">
            <w:pPr>
              <w:jc w:val="center"/>
            </w:pPr>
            <w:r w:rsidRPr="00557D04">
              <w:rPr>
                <w:rFonts w:ascii="Arial" w:hAnsi="Arial" w:cs="Arial"/>
                <w:sz w:val="18"/>
                <w:szCs w:val="18"/>
              </w:rPr>
              <w:sym w:font="Wingdings 2" w:char="F0A3"/>
            </w:r>
          </w:p>
        </w:tc>
      </w:tr>
      <w:tr w:rsidR="00E92E44" w:rsidTr="00CB6006">
        <w:trPr>
          <w:trHeight w:val="242"/>
        </w:trPr>
        <w:tc>
          <w:tcPr>
            <w:tcW w:w="10255" w:type="dxa"/>
            <w:gridSpan w:val="2"/>
            <w:shd w:val="clear" w:color="auto" w:fill="9CC2E5" w:themeFill="accent1" w:themeFillTint="99"/>
            <w:vAlign w:val="center"/>
          </w:tcPr>
          <w:p w:rsidR="00E92E44" w:rsidRDefault="00E92E44" w:rsidP="00E92E44">
            <w:r w:rsidRPr="00C6018F">
              <w:rPr>
                <w:rFonts w:ascii="Arial" w:hAnsi="Arial" w:cs="Arial"/>
                <w:b/>
                <w:sz w:val="18"/>
                <w:szCs w:val="18"/>
              </w:rPr>
              <w:t>Return Keys / Access Cards / Parking Cards belonging to the Deloitte U.S. Firms or Their Clients</w:t>
            </w:r>
          </w:p>
        </w:tc>
      </w:tr>
      <w:tr w:rsidR="00E92E44" w:rsidTr="00CB6006">
        <w:trPr>
          <w:trHeight w:val="2150"/>
        </w:trPr>
        <w:tc>
          <w:tcPr>
            <w:tcW w:w="9445" w:type="dxa"/>
          </w:tcPr>
          <w:p w:rsidR="00E92E44" w:rsidRDefault="00E92E44" w:rsidP="00864055">
            <w:pPr>
              <w:spacing w:before="80"/>
              <w:rPr>
                <w:rFonts w:ascii="Arial" w:hAnsi="Arial" w:cs="Arial"/>
                <w:color w:val="000000"/>
                <w:sz w:val="18"/>
                <w:szCs w:val="18"/>
              </w:rPr>
            </w:pPr>
            <w:r w:rsidRPr="00557D04">
              <w:rPr>
                <w:rFonts w:ascii="Arial" w:hAnsi="Arial" w:cs="Arial"/>
                <w:b/>
                <w:sz w:val="18"/>
                <w:szCs w:val="18"/>
              </w:rPr>
              <w:lastRenderedPageBreak/>
              <w:t>Other Property</w:t>
            </w:r>
            <w:r w:rsidRPr="00557D04">
              <w:rPr>
                <w:rFonts w:ascii="Arial" w:hAnsi="Arial" w:cs="Arial"/>
                <w:sz w:val="18"/>
                <w:szCs w:val="18"/>
              </w:rPr>
              <w:t xml:space="preserve"> – </w:t>
            </w:r>
            <w:r w:rsidRPr="00557D04">
              <w:rPr>
                <w:rFonts w:ascii="Arial" w:hAnsi="Arial" w:cs="Arial"/>
                <w:color w:val="000000"/>
                <w:sz w:val="18"/>
                <w:szCs w:val="18"/>
              </w:rPr>
              <w:t>Notify your local One Team</w:t>
            </w:r>
            <w:r>
              <w:rPr>
                <w:rFonts w:ascii="Arial" w:hAnsi="Arial" w:cs="Arial"/>
                <w:color w:val="000000"/>
                <w:sz w:val="18"/>
                <w:szCs w:val="18"/>
              </w:rPr>
              <w:t>/Workplace Services</w:t>
            </w:r>
            <w:r w:rsidRPr="00557D04">
              <w:rPr>
                <w:rFonts w:ascii="Arial" w:hAnsi="Arial" w:cs="Arial"/>
                <w:color w:val="000000"/>
                <w:sz w:val="18"/>
                <w:szCs w:val="18"/>
              </w:rPr>
              <w:t xml:space="preserve"> of your departure.  </w:t>
            </w:r>
          </w:p>
          <w:p w:rsidR="00E92E44" w:rsidRPr="00557D04" w:rsidRDefault="00E92E44" w:rsidP="00E92E44">
            <w:pPr>
              <w:rPr>
                <w:rFonts w:ascii="Arial" w:hAnsi="Arial" w:cs="Arial"/>
                <w:color w:val="000000"/>
                <w:sz w:val="18"/>
                <w:szCs w:val="18"/>
              </w:rPr>
            </w:pPr>
          </w:p>
          <w:p w:rsidR="00E92E44" w:rsidRDefault="00E92E44" w:rsidP="00E92E44">
            <w:pPr>
              <w:pStyle w:val="ListParagraph"/>
              <w:numPr>
                <w:ilvl w:val="0"/>
                <w:numId w:val="8"/>
              </w:numPr>
              <w:rPr>
                <w:rFonts w:ascii="Arial" w:hAnsi="Arial" w:cs="Arial"/>
                <w:sz w:val="18"/>
                <w:szCs w:val="18"/>
              </w:rPr>
            </w:pPr>
            <w:r w:rsidRPr="00A61C46">
              <w:rPr>
                <w:rFonts w:ascii="Arial" w:hAnsi="Arial" w:cs="Arial"/>
                <w:sz w:val="18"/>
                <w:szCs w:val="18"/>
              </w:rPr>
              <w:t>Return all keys, badges, fobs or access cards for building/suite/office/desk/files/cabinets/equipment</w:t>
            </w:r>
          </w:p>
          <w:p w:rsidR="00E92E44" w:rsidRPr="00FF3CAB" w:rsidRDefault="00E92E44" w:rsidP="00E92E44">
            <w:pPr>
              <w:pStyle w:val="ListParagraph"/>
              <w:numPr>
                <w:ilvl w:val="0"/>
                <w:numId w:val="8"/>
              </w:numPr>
              <w:rPr>
                <w:rFonts w:ascii="Arial" w:hAnsi="Arial" w:cs="Arial"/>
                <w:sz w:val="18"/>
                <w:szCs w:val="18"/>
              </w:rPr>
            </w:pPr>
            <w:r w:rsidRPr="00FF3CAB">
              <w:rPr>
                <w:rFonts w:ascii="Arial" w:hAnsi="Arial" w:cs="Arial"/>
                <w:sz w:val="18"/>
                <w:szCs w:val="18"/>
              </w:rPr>
              <w:t>Return all client access cards/badges to your Project Leadership</w:t>
            </w:r>
          </w:p>
          <w:p w:rsidR="00E92E44" w:rsidRPr="00557D04" w:rsidRDefault="00E92E44" w:rsidP="00E92E44">
            <w:pPr>
              <w:pStyle w:val="ListParagraph"/>
              <w:numPr>
                <w:ilvl w:val="0"/>
                <w:numId w:val="8"/>
              </w:numPr>
              <w:rPr>
                <w:rFonts w:ascii="Arial" w:hAnsi="Arial" w:cs="Arial"/>
                <w:color w:val="000000"/>
                <w:sz w:val="18"/>
                <w:szCs w:val="18"/>
              </w:rPr>
            </w:pPr>
            <w:r w:rsidRPr="00557D04">
              <w:rPr>
                <w:rFonts w:ascii="Arial" w:hAnsi="Arial" w:cs="Arial"/>
                <w:sz w:val="18"/>
                <w:szCs w:val="18"/>
              </w:rPr>
              <w:t>Ensure that your assigned workspace is cleared : Return all Firm or Client material to appropriate parties and remove all personal items</w:t>
            </w:r>
          </w:p>
          <w:p w:rsidR="00E92E44" w:rsidRPr="00557D04" w:rsidRDefault="00E92E44" w:rsidP="00E92E44">
            <w:pPr>
              <w:pStyle w:val="ListParagraph"/>
              <w:numPr>
                <w:ilvl w:val="0"/>
                <w:numId w:val="8"/>
              </w:numPr>
              <w:rPr>
                <w:rFonts w:ascii="Arial" w:hAnsi="Arial" w:cs="Arial"/>
                <w:color w:val="000000"/>
                <w:sz w:val="18"/>
                <w:szCs w:val="18"/>
              </w:rPr>
            </w:pPr>
            <w:r w:rsidRPr="00557D04">
              <w:rPr>
                <w:rFonts w:ascii="Arial" w:hAnsi="Arial" w:cs="Arial"/>
                <w:sz w:val="18"/>
                <w:szCs w:val="18"/>
              </w:rPr>
              <w:t>Assigned  locker and/or file drawer is cleared: Return all Firm or Client material to appropriate parties and remove all personal items</w:t>
            </w:r>
          </w:p>
          <w:p w:rsidR="00097A61" w:rsidRPr="005859BF" w:rsidRDefault="00E92E44" w:rsidP="00097A61">
            <w:pPr>
              <w:pStyle w:val="ListParagraph"/>
              <w:numPr>
                <w:ilvl w:val="0"/>
                <w:numId w:val="8"/>
              </w:numPr>
              <w:spacing w:after="80"/>
              <w:rPr>
                <w:rFonts w:ascii="Arial" w:hAnsi="Arial" w:cs="Arial"/>
                <w:b/>
                <w:sz w:val="18"/>
                <w:szCs w:val="18"/>
                <w:lang w:val="en-GB"/>
              </w:rPr>
            </w:pPr>
            <w:r w:rsidRPr="00557D04">
              <w:rPr>
                <w:rFonts w:ascii="Arial" w:hAnsi="Arial" w:cs="Arial"/>
                <w:sz w:val="18"/>
                <w:szCs w:val="18"/>
              </w:rPr>
              <w:t>Mailbox/folder is cleared: Firm or Client mail is given to the Mailroom with instructions. Any future Firm and Client mail should be directed to the appropriate parties per instructions.</w:t>
            </w:r>
          </w:p>
          <w:p w:rsidR="00097A61" w:rsidRDefault="00097A61" w:rsidP="00097A61">
            <w:pPr>
              <w:spacing w:after="80"/>
              <w:rPr>
                <w:rFonts w:ascii="Arial" w:hAnsi="Arial" w:cs="Arial"/>
                <w:b/>
                <w:sz w:val="18"/>
                <w:szCs w:val="18"/>
                <w:lang w:val="en-GB"/>
              </w:rPr>
            </w:pPr>
          </w:p>
          <w:p w:rsidR="00097A61" w:rsidRPr="00097A61" w:rsidRDefault="00097A61" w:rsidP="00097A61">
            <w:pPr>
              <w:spacing w:after="80"/>
              <w:rPr>
                <w:rFonts w:ascii="Arial" w:hAnsi="Arial" w:cs="Arial"/>
                <w:b/>
                <w:sz w:val="18"/>
                <w:szCs w:val="18"/>
                <w:lang w:val="en-GB"/>
              </w:rPr>
            </w:pPr>
          </w:p>
        </w:tc>
        <w:tc>
          <w:tcPr>
            <w:tcW w:w="810" w:type="dxa"/>
          </w:tcPr>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p w:rsidR="00E92E44" w:rsidRPr="00557D04" w:rsidRDefault="00E92E44" w:rsidP="00E92E44">
            <w:pPr>
              <w:jc w:val="center"/>
              <w:rPr>
                <w:rFonts w:ascii="Arial" w:hAnsi="Arial" w:cs="Arial"/>
                <w:sz w:val="18"/>
                <w:szCs w:val="18"/>
              </w:rPr>
            </w:pPr>
          </w:p>
          <w:p w:rsidR="00E92E44" w:rsidRPr="00557D04" w:rsidRDefault="00E92E44" w:rsidP="00E92E44">
            <w:pPr>
              <w:jc w:val="center"/>
              <w:rPr>
                <w:rFonts w:ascii="Arial" w:hAnsi="Arial" w:cs="Arial"/>
                <w:color w:val="000000"/>
                <w:sz w:val="18"/>
                <w:szCs w:val="18"/>
              </w:rPr>
            </w:pPr>
          </w:p>
        </w:tc>
      </w:tr>
      <w:tr w:rsidR="00E92E44" w:rsidTr="00CB6006">
        <w:trPr>
          <w:trHeight w:val="269"/>
        </w:trPr>
        <w:tc>
          <w:tcPr>
            <w:tcW w:w="10255" w:type="dxa"/>
            <w:gridSpan w:val="2"/>
            <w:shd w:val="clear" w:color="auto" w:fill="9CC2E5" w:themeFill="accent1" w:themeFillTint="99"/>
            <w:vAlign w:val="center"/>
          </w:tcPr>
          <w:p w:rsidR="00E92E44" w:rsidRDefault="00E92E44" w:rsidP="00A5168C">
            <w:r w:rsidRPr="00E61036">
              <w:rPr>
                <w:rFonts w:ascii="Arial" w:hAnsi="Arial" w:cs="Arial"/>
                <w:b/>
                <w:color w:val="002060"/>
                <w:sz w:val="18"/>
                <w:szCs w:val="18"/>
              </w:rPr>
              <w:t>Additional Steps</w:t>
            </w:r>
            <w:r w:rsidR="00173CD4">
              <w:rPr>
                <w:rFonts w:ascii="Arial" w:hAnsi="Arial" w:cs="Arial"/>
                <w:b/>
                <w:color w:val="002060"/>
                <w:sz w:val="18"/>
                <w:szCs w:val="18"/>
              </w:rPr>
              <w:t xml:space="preserve"> </w:t>
            </w:r>
          </w:p>
        </w:tc>
      </w:tr>
      <w:tr w:rsidR="00E92E44" w:rsidTr="00275E18">
        <w:tc>
          <w:tcPr>
            <w:tcW w:w="9445" w:type="dxa"/>
            <w:vAlign w:val="center"/>
          </w:tcPr>
          <w:p w:rsidR="00173CD4" w:rsidRDefault="00173CD4" w:rsidP="00173CD4">
            <w:pPr>
              <w:rPr>
                <w:rFonts w:ascii="Arial" w:hAnsi="Arial" w:cs="Arial"/>
                <w:b/>
                <w:sz w:val="18"/>
                <w:szCs w:val="18"/>
              </w:rPr>
            </w:pPr>
            <w:r>
              <w:rPr>
                <w:rFonts w:ascii="Arial" w:hAnsi="Arial" w:cs="Arial"/>
                <w:b/>
                <w:color w:val="000000"/>
                <w:sz w:val="18"/>
                <w:szCs w:val="18"/>
              </w:rPr>
              <w:t>Update your personal</w:t>
            </w:r>
            <w:r>
              <w:rPr>
                <w:rFonts w:ascii="Arial" w:hAnsi="Arial" w:cs="Arial"/>
                <w:b/>
                <w:sz w:val="18"/>
                <w:szCs w:val="18"/>
              </w:rPr>
              <w:t xml:space="preserve"> </w:t>
            </w:r>
            <w:r>
              <w:rPr>
                <w:rFonts w:ascii="Arial" w:hAnsi="Arial" w:cs="Arial"/>
                <w:b/>
                <w:color w:val="000000"/>
                <w:sz w:val="18"/>
                <w:szCs w:val="18"/>
              </w:rPr>
              <w:t>information</w:t>
            </w:r>
            <w:r>
              <w:rPr>
                <w:rFonts w:ascii="Arial" w:hAnsi="Arial" w:cs="Arial"/>
                <w:color w:val="000000"/>
                <w:sz w:val="18"/>
                <w:szCs w:val="18"/>
              </w:rPr>
              <w:t xml:space="preserve"> on the </w:t>
            </w:r>
            <w:proofErr w:type="spellStart"/>
            <w:r>
              <w:rPr>
                <w:rFonts w:ascii="Arial" w:hAnsi="Arial" w:cs="Arial"/>
                <w:color w:val="000000"/>
                <w:sz w:val="18"/>
                <w:szCs w:val="18"/>
              </w:rPr>
              <w:t>DeloitteNet</w:t>
            </w:r>
            <w:proofErr w:type="spellEnd"/>
            <w:r>
              <w:rPr>
                <w:rFonts w:ascii="Arial" w:hAnsi="Arial" w:cs="Arial"/>
                <w:color w:val="000000"/>
                <w:sz w:val="18"/>
                <w:szCs w:val="18"/>
              </w:rPr>
              <w:t xml:space="preserve"> </w:t>
            </w:r>
            <w:proofErr w:type="spellStart"/>
            <w:r>
              <w:rPr>
                <w:rFonts w:ascii="Arial" w:hAnsi="Arial" w:cs="Arial"/>
                <w:color w:val="000000"/>
                <w:sz w:val="18"/>
                <w:szCs w:val="18"/>
              </w:rPr>
              <w:t>ToD</w:t>
            </w:r>
            <w:proofErr w:type="spellEnd"/>
            <w:r>
              <w:rPr>
                <w:rFonts w:ascii="Arial" w:hAnsi="Arial" w:cs="Arial"/>
                <w:color w:val="000000"/>
                <w:sz w:val="18"/>
                <w:szCs w:val="18"/>
              </w:rPr>
              <w:t xml:space="preserve">. This will ensure you receive your W2 for this calendar year and any benefits information such as 401K and pension. </w:t>
            </w:r>
            <w:r>
              <w:rPr>
                <w:rFonts w:ascii="Arial" w:hAnsi="Arial" w:cs="Arial"/>
                <w:b/>
                <w:color w:val="C00000"/>
                <w:sz w:val="18"/>
                <w:szCs w:val="18"/>
              </w:rPr>
              <w:t xml:space="preserve"> </w:t>
            </w:r>
            <w:r w:rsidRPr="00173CD4">
              <w:rPr>
                <w:rFonts w:ascii="Arial" w:hAnsi="Arial" w:cs="Arial"/>
                <w:sz w:val="18"/>
                <w:szCs w:val="18"/>
              </w:rPr>
              <w:t>Use</w:t>
            </w:r>
            <w:r w:rsidRPr="00173CD4">
              <w:rPr>
                <w:rFonts w:ascii="Arial" w:hAnsi="Arial" w:cs="Arial"/>
                <w:b/>
                <w:sz w:val="18"/>
                <w:szCs w:val="18"/>
              </w:rPr>
              <w:t xml:space="preserve"> </w:t>
            </w:r>
            <w:r w:rsidRPr="00173CD4">
              <w:rPr>
                <w:rFonts w:ascii="Arial" w:hAnsi="Arial" w:cs="Arial"/>
                <w:sz w:val="18"/>
                <w:szCs w:val="18"/>
              </w:rPr>
              <w:t>t</w:t>
            </w:r>
            <w:r>
              <w:rPr>
                <w:rFonts w:ascii="Arial" w:hAnsi="Arial" w:cs="Arial"/>
                <w:sz w:val="18"/>
                <w:szCs w:val="18"/>
              </w:rPr>
              <w:t>his link</w:t>
            </w:r>
            <w:hyperlink r:id="rId18" w:anchor="!/my-information/overview/" w:tgtFrame="_blank" w:history="1">
              <w:r w:rsidRPr="00173CD4">
                <w:rPr>
                  <w:rStyle w:val="Hyperlink"/>
                  <w:rFonts w:ascii="Arial" w:hAnsi="Arial" w:cs="Arial"/>
                  <w:color w:val="auto"/>
                  <w:sz w:val="18"/>
                  <w:szCs w:val="18"/>
                  <w:u w:val="none"/>
                </w:rPr>
                <w:t xml:space="preserve"> to </w:t>
              </w:r>
              <w:r w:rsidRPr="00173CD4">
                <w:rPr>
                  <w:rStyle w:val="Hyperlink"/>
                  <w:rFonts w:ascii="Arial" w:hAnsi="Arial" w:cs="Arial"/>
                  <w:b/>
                  <w:color w:val="C00000"/>
                  <w:sz w:val="18"/>
                  <w:szCs w:val="18"/>
                </w:rPr>
                <w:t>update your address</w:t>
              </w:r>
            </w:hyperlink>
            <w:r w:rsidRPr="00173CD4">
              <w:rPr>
                <w:rFonts w:ascii="Arial" w:hAnsi="Arial" w:cs="Arial"/>
                <w:b/>
                <w:i/>
                <w:sz w:val="18"/>
                <w:szCs w:val="18"/>
              </w:rPr>
              <w:t xml:space="preserve"> </w:t>
            </w:r>
            <w:r w:rsidRPr="00173CD4">
              <w:rPr>
                <w:rFonts w:ascii="Arial" w:hAnsi="Arial" w:cs="Arial"/>
                <w:sz w:val="18"/>
                <w:szCs w:val="18"/>
              </w:rPr>
              <w:t>before you depart</w:t>
            </w:r>
            <w:r>
              <w:rPr>
                <w:rFonts w:ascii="Arial" w:hAnsi="Arial" w:cs="Arial"/>
                <w:color w:val="1F497D"/>
                <w:sz w:val="18"/>
                <w:szCs w:val="18"/>
              </w:rPr>
              <w:t xml:space="preserve">.  </w:t>
            </w:r>
            <w:r>
              <w:rPr>
                <w:rFonts w:ascii="Arial" w:hAnsi="Arial" w:cs="Arial"/>
                <w:color w:val="000000"/>
                <w:sz w:val="18"/>
                <w:szCs w:val="18"/>
              </w:rPr>
              <w:t>Also, remember to update your contact information with any business affiliations</w:t>
            </w:r>
            <w:r>
              <w:rPr>
                <w:rFonts w:ascii="Arial" w:hAnsi="Arial" w:cs="Arial"/>
                <w:b/>
                <w:sz w:val="18"/>
                <w:szCs w:val="18"/>
              </w:rPr>
              <w:t xml:space="preserve">. </w:t>
            </w:r>
          </w:p>
          <w:p w:rsidR="00173CD4" w:rsidRDefault="00173CD4" w:rsidP="00173CD4">
            <w:pPr>
              <w:rPr>
                <w:rFonts w:ascii="Arial" w:hAnsi="Arial" w:cs="Arial"/>
                <w:b/>
                <w:sz w:val="18"/>
                <w:szCs w:val="18"/>
              </w:rPr>
            </w:pPr>
          </w:p>
          <w:p w:rsidR="00E92E44" w:rsidRPr="00E61036" w:rsidRDefault="00173CD4" w:rsidP="00173CD4">
            <w:pPr>
              <w:spacing w:after="80"/>
              <w:rPr>
                <w:rFonts w:ascii="Arial" w:hAnsi="Arial" w:cs="Arial"/>
                <w:color w:val="C00000"/>
                <w:sz w:val="18"/>
                <w:szCs w:val="18"/>
              </w:rPr>
            </w:pPr>
            <w:r w:rsidRPr="00173CD4">
              <w:rPr>
                <w:rFonts w:ascii="Arial" w:hAnsi="Arial" w:cs="Arial"/>
                <w:b/>
                <w:sz w:val="18"/>
                <w:szCs w:val="18"/>
                <w:highlight w:val="yellow"/>
              </w:rPr>
              <w:t xml:space="preserve">After your last day, use this </w:t>
            </w:r>
            <w:hyperlink r:id="rId19" w:history="1">
              <w:r w:rsidRPr="00173CD4">
                <w:rPr>
                  <w:rStyle w:val="Hyperlink"/>
                  <w:b/>
                  <w:i/>
                  <w:color w:val="C00000"/>
                  <w:highlight w:val="yellow"/>
                </w:rPr>
                <w:t>link</w:t>
              </w:r>
            </w:hyperlink>
            <w:r w:rsidRPr="00173CD4">
              <w:rPr>
                <w:rFonts w:ascii="Arial" w:hAnsi="Arial" w:cs="Arial"/>
                <w:b/>
                <w:color w:val="C00000"/>
                <w:sz w:val="18"/>
                <w:szCs w:val="18"/>
                <w:highlight w:val="yellow"/>
              </w:rPr>
              <w:t xml:space="preserve"> </w:t>
            </w:r>
            <w:r w:rsidRPr="00173CD4">
              <w:rPr>
                <w:rFonts w:ascii="Arial" w:hAnsi="Arial" w:cs="Arial"/>
                <w:b/>
                <w:sz w:val="18"/>
                <w:szCs w:val="18"/>
                <w:highlight w:val="yellow"/>
              </w:rPr>
              <w:t>to register for Talent on Demand for alumni.</w:t>
            </w:r>
            <w:r w:rsidRPr="00173CD4">
              <w:rPr>
                <w:rFonts w:ascii="Arial" w:hAnsi="Arial" w:cs="Arial"/>
                <w:b/>
                <w:sz w:val="18"/>
                <w:szCs w:val="18"/>
              </w:rPr>
              <w:t xml:space="preserve">  This will provide direct access to your pay statements and W2s and allow you to update your personal contact information.   </w:t>
            </w:r>
            <w:r>
              <w:rPr>
                <w:rFonts w:ascii="Arial" w:hAnsi="Arial" w:cs="Arial"/>
                <w:b/>
                <w:sz w:val="18"/>
                <w:szCs w:val="18"/>
              </w:rPr>
              <w:t>S</w:t>
            </w:r>
            <w:r w:rsidRPr="00173CD4">
              <w:rPr>
                <w:rFonts w:ascii="Arial" w:hAnsi="Arial" w:cs="Arial"/>
                <w:b/>
                <w:sz w:val="18"/>
                <w:szCs w:val="18"/>
              </w:rPr>
              <w:t>ave this link for future use.</w:t>
            </w:r>
          </w:p>
        </w:tc>
        <w:tc>
          <w:tcPr>
            <w:tcW w:w="810" w:type="dxa"/>
            <w:vAlign w:val="center"/>
          </w:tcPr>
          <w:p w:rsidR="00E92E44" w:rsidRPr="00557D04" w:rsidRDefault="00E92E44" w:rsidP="00E92E44">
            <w:pPr>
              <w:jc w:val="center"/>
              <w:rPr>
                <w:rFonts w:ascii="Arial" w:hAnsi="Arial" w:cs="Arial"/>
                <w:color w:val="FFFFFF"/>
                <w:sz w:val="18"/>
                <w:szCs w:val="18"/>
                <w:lang w:val="en-GB"/>
              </w:rPr>
            </w:pPr>
            <w:r w:rsidRPr="00557D04">
              <w:rPr>
                <w:rFonts w:ascii="Arial" w:hAnsi="Arial" w:cs="Arial"/>
                <w:sz w:val="18"/>
                <w:szCs w:val="18"/>
              </w:rPr>
              <w:sym w:font="Wingdings 2" w:char="F0A3"/>
            </w:r>
          </w:p>
        </w:tc>
      </w:tr>
      <w:tr w:rsidR="00E92E44" w:rsidTr="00275E18">
        <w:tc>
          <w:tcPr>
            <w:tcW w:w="9445" w:type="dxa"/>
            <w:vAlign w:val="center"/>
          </w:tcPr>
          <w:p w:rsidR="00905E94" w:rsidRDefault="00E92E44" w:rsidP="00905E94">
            <w:pPr>
              <w:spacing w:before="80"/>
              <w:rPr>
                <w:rFonts w:ascii="Arial" w:hAnsi="Arial" w:cs="Arial"/>
                <w:sz w:val="18"/>
                <w:szCs w:val="18"/>
              </w:rPr>
            </w:pPr>
            <w:r w:rsidRPr="00023022">
              <w:rPr>
                <w:rFonts w:ascii="Arial" w:hAnsi="Arial" w:cs="Arial"/>
                <w:sz w:val="18"/>
                <w:szCs w:val="18"/>
              </w:rPr>
              <w:t>If you have not provided a valid SSN to Deloitte, in order to have accurate W2 statements at year end, please submit a scanned copy of your valid SSN to the  US I-9 Support Center Mailbox (US)</w:t>
            </w:r>
          </w:p>
          <w:p w:rsidR="00E92E44" w:rsidRPr="00734B27" w:rsidRDefault="00E92E44" w:rsidP="00905E94">
            <w:pPr>
              <w:spacing w:after="80"/>
              <w:rPr>
                <w:rFonts w:ascii="Arial" w:hAnsi="Arial" w:cs="Arial"/>
                <w:color w:val="000000"/>
                <w:sz w:val="18"/>
                <w:szCs w:val="18"/>
              </w:rPr>
            </w:pPr>
            <w:r w:rsidRPr="00023022">
              <w:rPr>
                <w:rFonts w:ascii="Arial" w:hAnsi="Arial" w:cs="Arial"/>
                <w:sz w:val="18"/>
                <w:szCs w:val="18"/>
              </w:rPr>
              <w:t xml:space="preserve"> &lt;</w:t>
            </w:r>
            <w:hyperlink r:id="rId20" w:history="1">
              <w:r w:rsidRPr="00687F25">
                <w:rPr>
                  <w:rStyle w:val="Hyperlink"/>
                  <w:rFonts w:ascii="Arial" w:hAnsi="Arial" w:cs="Arial"/>
                  <w:b/>
                  <w:color w:val="C00000"/>
                  <w:sz w:val="18"/>
                  <w:szCs w:val="18"/>
                </w:rPr>
                <w:t>USI-9SupportCenterMailbox@DELOITTE.com</w:t>
              </w:r>
            </w:hyperlink>
            <w:r w:rsidRPr="00687F25">
              <w:rPr>
                <w:rFonts w:ascii="Arial" w:hAnsi="Arial" w:cs="Arial"/>
                <w:b/>
                <w:sz w:val="18"/>
                <w:szCs w:val="18"/>
              </w:rPr>
              <w:t>&gt;</w:t>
            </w:r>
          </w:p>
        </w:tc>
        <w:tc>
          <w:tcPr>
            <w:tcW w:w="810" w:type="dxa"/>
            <w:vAlign w:val="center"/>
          </w:tcPr>
          <w:p w:rsidR="00E92E44" w:rsidRPr="00557D04" w:rsidRDefault="00E92E44" w:rsidP="00E92E44">
            <w:pPr>
              <w:jc w:val="center"/>
              <w:rPr>
                <w:rFonts w:ascii="Arial" w:hAnsi="Arial" w:cs="Arial"/>
                <w:sz w:val="18"/>
                <w:szCs w:val="18"/>
              </w:rPr>
            </w:pPr>
            <w:r w:rsidRPr="00557D04">
              <w:rPr>
                <w:rFonts w:ascii="Arial" w:hAnsi="Arial" w:cs="Arial"/>
                <w:sz w:val="18"/>
                <w:szCs w:val="18"/>
              </w:rPr>
              <w:sym w:font="Wingdings 2" w:char="F0A3"/>
            </w:r>
          </w:p>
        </w:tc>
      </w:tr>
      <w:tr w:rsidR="00E92E44" w:rsidTr="00CB6006">
        <w:trPr>
          <w:trHeight w:val="683"/>
        </w:trPr>
        <w:tc>
          <w:tcPr>
            <w:tcW w:w="10255" w:type="dxa"/>
            <w:gridSpan w:val="2"/>
            <w:vAlign w:val="center"/>
          </w:tcPr>
          <w:p w:rsidR="00E92E44" w:rsidRPr="00F37F3C" w:rsidRDefault="00E92E44" w:rsidP="00864055">
            <w:pPr>
              <w:spacing w:before="80" w:after="80"/>
              <w:rPr>
                <w:rFonts w:ascii="Arial" w:hAnsi="Arial" w:cs="Arial"/>
                <w:sz w:val="18"/>
                <w:szCs w:val="18"/>
              </w:rPr>
            </w:pPr>
            <w:r w:rsidRPr="00F37F3C">
              <w:rPr>
                <w:rFonts w:ascii="Arial" w:hAnsi="Arial" w:cs="Arial"/>
                <w:sz w:val="18"/>
                <w:szCs w:val="18"/>
              </w:rPr>
              <w:t xml:space="preserve">If you have feedback on any topic, including any concerns relating to ethics, independence, employee relations or any Deloitte U.S. firms’ policy. You can call or go to the website at the information listed below.  </w:t>
            </w:r>
            <w:r w:rsidRPr="00F37F3C">
              <w:rPr>
                <w:rFonts w:ascii="Arial" w:hAnsi="Arial" w:cs="Arial"/>
                <w:b/>
                <w:sz w:val="18"/>
                <w:szCs w:val="18"/>
              </w:rPr>
              <w:t>Integrity helpline:</w:t>
            </w:r>
            <w:r w:rsidRPr="00F37F3C">
              <w:rPr>
                <w:rFonts w:ascii="Arial" w:hAnsi="Arial" w:cs="Arial"/>
                <w:sz w:val="18"/>
                <w:szCs w:val="18"/>
              </w:rPr>
              <w:t xml:space="preserve"> 866-850-1485 or</w:t>
            </w:r>
            <w:r w:rsidRPr="00F37F3C">
              <w:rPr>
                <w:rFonts w:ascii="Arial" w:hAnsi="Arial" w:cs="Arial"/>
                <w:color w:val="C00000"/>
                <w:sz w:val="18"/>
                <w:szCs w:val="18"/>
              </w:rPr>
              <w:t xml:space="preserve"> </w:t>
            </w:r>
            <w:hyperlink r:id="rId21" w:history="1">
              <w:r w:rsidRPr="00F37F3C">
                <w:rPr>
                  <w:rStyle w:val="Hyperlink"/>
                  <w:rFonts w:ascii="Arial" w:hAnsi="Arial" w:cs="Arial"/>
                  <w:b/>
                  <w:color w:val="C00000"/>
                  <w:sz w:val="18"/>
                  <w:szCs w:val="18"/>
                </w:rPr>
                <w:t>www.Integrityhelp.com</w:t>
              </w:r>
            </w:hyperlink>
          </w:p>
        </w:tc>
      </w:tr>
    </w:tbl>
    <w:p w:rsidR="004D3E91" w:rsidRDefault="004D3E91"/>
    <w:p w:rsidR="00E679C5" w:rsidRDefault="00E679C5"/>
    <w:sectPr w:rsidR="00E679C5" w:rsidSect="00603653">
      <w:footerReference w:type="default" r:id="rId22"/>
      <w:pgSz w:w="12240" w:h="15840"/>
      <w:pgMar w:top="144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22A" w:rsidRDefault="0000722A" w:rsidP="00CB6006">
      <w:pPr>
        <w:spacing w:after="0" w:line="240" w:lineRule="auto"/>
      </w:pPr>
      <w:r>
        <w:separator/>
      </w:r>
    </w:p>
  </w:endnote>
  <w:endnote w:type="continuationSeparator" w:id="0">
    <w:p w:rsidR="0000722A" w:rsidRDefault="0000722A" w:rsidP="00CB6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140545"/>
      <w:docPartObj>
        <w:docPartGallery w:val="Page Numbers (Bottom of Page)"/>
        <w:docPartUnique/>
      </w:docPartObj>
    </w:sdtPr>
    <w:sdtEndPr>
      <w:rPr>
        <w:noProof/>
      </w:rPr>
    </w:sdtEndPr>
    <w:sdtContent>
      <w:p w:rsidR="000D5C7F" w:rsidRDefault="000D5C7F">
        <w:pPr>
          <w:pStyle w:val="Footer"/>
          <w:jc w:val="right"/>
        </w:pPr>
        <w:r>
          <w:fldChar w:fldCharType="begin"/>
        </w:r>
        <w:r>
          <w:instrText xml:space="preserve"> PAGE   \* MERGEFORMAT </w:instrText>
        </w:r>
        <w:r>
          <w:fldChar w:fldCharType="separate"/>
        </w:r>
        <w:r w:rsidR="007F2491">
          <w:rPr>
            <w:noProof/>
          </w:rPr>
          <w:t>4</w:t>
        </w:r>
        <w:r>
          <w:rPr>
            <w:noProof/>
          </w:rPr>
          <w:fldChar w:fldCharType="end"/>
        </w:r>
      </w:p>
    </w:sdtContent>
  </w:sdt>
  <w:p w:rsidR="000D5C7F" w:rsidRDefault="000D5C7F" w:rsidP="000D5C7F">
    <w:pPr>
      <w:pStyle w:val="Footer"/>
    </w:pPr>
    <w:r w:rsidRPr="00024DEE">
      <w:rPr>
        <w:rFonts w:ascii="Arial" w:hAnsi="Arial" w:cs="Arial"/>
        <w:b/>
        <w:sz w:val="18"/>
      </w:rPr>
      <w:t>Employment separation checklist</w:t>
    </w:r>
    <w:r>
      <w:rPr>
        <w:rFonts w:ascii="Arial" w:hAnsi="Arial" w:cs="Arial"/>
        <w:sz w:val="18"/>
      </w:rPr>
      <w:t xml:space="preserve"> Last updated: May 201</w:t>
    </w:r>
    <w:r w:rsidR="00E45345">
      <w:rPr>
        <w:rFonts w:ascii="Arial" w:hAnsi="Arial" w:cs="Arial"/>
        <w:sz w:val="18"/>
      </w:rPr>
      <w:t>7</w:t>
    </w:r>
  </w:p>
  <w:p w:rsidR="00CB6006" w:rsidRDefault="00CB6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22A" w:rsidRDefault="0000722A" w:rsidP="00CB6006">
      <w:pPr>
        <w:spacing w:after="0" w:line="240" w:lineRule="auto"/>
      </w:pPr>
      <w:r>
        <w:separator/>
      </w:r>
    </w:p>
  </w:footnote>
  <w:footnote w:type="continuationSeparator" w:id="0">
    <w:p w:rsidR="0000722A" w:rsidRDefault="0000722A" w:rsidP="00CB6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B1B33"/>
    <w:multiLevelType w:val="hybridMultilevel"/>
    <w:tmpl w:val="E1EE08BE"/>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 w15:restartNumberingAfterBreak="0">
    <w:nsid w:val="15CD20E3"/>
    <w:multiLevelType w:val="hybridMultilevel"/>
    <w:tmpl w:val="BD1461CC"/>
    <w:lvl w:ilvl="0" w:tplc="0AE8A64C">
      <w:start w:val="1"/>
      <w:numFmt w:val="upperLetter"/>
      <w:lvlText w:val="%1."/>
      <w:lvlJc w:val="left"/>
      <w:pPr>
        <w:ind w:left="720" w:hanging="360"/>
      </w:pPr>
      <w:rPr>
        <w:rFonts w:ascii="Arial" w:hAnsi="Arial"/>
        <w:b w:val="0"/>
        <w:bCs w:val="0"/>
        <w:i w:val="0"/>
        <w:iCs w:val="0"/>
        <w:caps w:val="0"/>
        <w:smallCaps w:val="0"/>
        <w:strike w:val="0"/>
        <w:dstrike w:val="0"/>
        <w:color w:val="auto"/>
        <w:spacing w:val="0"/>
        <w:w w:val="100"/>
        <w:kern w:val="0"/>
        <w:position w:val="0"/>
        <w:sz w:val="17"/>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E5450"/>
    <w:multiLevelType w:val="hybridMultilevel"/>
    <w:tmpl w:val="6B26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D5287"/>
    <w:multiLevelType w:val="hybridMultilevel"/>
    <w:tmpl w:val="3D880312"/>
    <w:lvl w:ilvl="0" w:tplc="0AE8A64C">
      <w:start w:val="1"/>
      <w:numFmt w:val="upperLetter"/>
      <w:lvlText w:val="%1."/>
      <w:lvlJc w:val="left"/>
      <w:pPr>
        <w:ind w:left="720" w:hanging="360"/>
      </w:pPr>
      <w:rPr>
        <w:rFonts w:ascii="Arial" w:hAnsi="Arial"/>
        <w:b w:val="0"/>
        <w:bCs w:val="0"/>
        <w:i w:val="0"/>
        <w:iCs w:val="0"/>
        <w:caps w:val="0"/>
        <w:smallCaps w:val="0"/>
        <w:strike w:val="0"/>
        <w:dstrike w:val="0"/>
        <w:color w:val="auto"/>
        <w:spacing w:val="0"/>
        <w:w w:val="100"/>
        <w:kern w:val="0"/>
        <w:position w:val="0"/>
        <w:sz w:val="17"/>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C42BF"/>
    <w:multiLevelType w:val="hybridMultilevel"/>
    <w:tmpl w:val="CE68E4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60C69"/>
    <w:multiLevelType w:val="hybridMultilevel"/>
    <w:tmpl w:val="A2589DCA"/>
    <w:lvl w:ilvl="0" w:tplc="D0609B56">
      <w:start w:val="1"/>
      <w:numFmt w:val="bullet"/>
      <w:pStyle w:val="Bulletlevel1"/>
      <w:lvlText w:val=""/>
      <w:lvlJc w:val="left"/>
      <w:pPr>
        <w:ind w:left="418" w:hanging="360"/>
      </w:pPr>
      <w:rPr>
        <w:rFonts w:ascii="Symbol" w:hAnsi="Symbol" w:hint="default"/>
      </w:rPr>
    </w:lvl>
    <w:lvl w:ilvl="1" w:tplc="04090003">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 w15:restartNumberingAfterBreak="0">
    <w:nsid w:val="3EF15C9E"/>
    <w:multiLevelType w:val="hybridMultilevel"/>
    <w:tmpl w:val="7714CCF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8B61882"/>
    <w:multiLevelType w:val="hybridMultilevel"/>
    <w:tmpl w:val="BF105AC6"/>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EA41529"/>
    <w:multiLevelType w:val="hybridMultilevel"/>
    <w:tmpl w:val="3B605166"/>
    <w:lvl w:ilvl="0" w:tplc="0AE8A64C">
      <w:start w:val="1"/>
      <w:numFmt w:val="upperLetter"/>
      <w:lvlText w:val="%1."/>
      <w:lvlJc w:val="left"/>
      <w:pPr>
        <w:ind w:left="720" w:hanging="360"/>
      </w:pPr>
      <w:rPr>
        <w:rFonts w:ascii="Arial" w:hAnsi="Arial"/>
        <w:b w:val="0"/>
        <w:bCs w:val="0"/>
        <w:i w:val="0"/>
        <w:iCs w:val="0"/>
        <w:caps w:val="0"/>
        <w:smallCaps w:val="0"/>
        <w:strike w:val="0"/>
        <w:dstrike w:val="0"/>
        <w:color w:val="auto"/>
        <w:spacing w:val="0"/>
        <w:w w:val="100"/>
        <w:kern w:val="0"/>
        <w:position w:val="0"/>
        <w:sz w:val="17"/>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223F1"/>
    <w:multiLevelType w:val="hybridMultilevel"/>
    <w:tmpl w:val="1086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3D7C9E"/>
    <w:multiLevelType w:val="hybridMultilevel"/>
    <w:tmpl w:val="036E03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21757A"/>
    <w:multiLevelType w:val="hybridMultilevel"/>
    <w:tmpl w:val="3478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1"/>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91"/>
    <w:rsid w:val="0000722A"/>
    <w:rsid w:val="000737B8"/>
    <w:rsid w:val="00097A61"/>
    <w:rsid w:val="000D5C7F"/>
    <w:rsid w:val="00146523"/>
    <w:rsid w:val="00173CD4"/>
    <w:rsid w:val="002260F6"/>
    <w:rsid w:val="00230666"/>
    <w:rsid w:val="00275E18"/>
    <w:rsid w:val="00341C1B"/>
    <w:rsid w:val="003A301A"/>
    <w:rsid w:val="003A78D1"/>
    <w:rsid w:val="004D0BEB"/>
    <w:rsid w:val="004D3E91"/>
    <w:rsid w:val="005859BF"/>
    <w:rsid w:val="00593960"/>
    <w:rsid w:val="005B1161"/>
    <w:rsid w:val="00603653"/>
    <w:rsid w:val="007256D9"/>
    <w:rsid w:val="007F2491"/>
    <w:rsid w:val="00826362"/>
    <w:rsid w:val="00847B48"/>
    <w:rsid w:val="00864055"/>
    <w:rsid w:val="00905E94"/>
    <w:rsid w:val="00962219"/>
    <w:rsid w:val="009E5636"/>
    <w:rsid w:val="00A5168C"/>
    <w:rsid w:val="00AA2219"/>
    <w:rsid w:val="00AD5469"/>
    <w:rsid w:val="00AD710D"/>
    <w:rsid w:val="00AF1027"/>
    <w:rsid w:val="00C07C4C"/>
    <w:rsid w:val="00C16C7D"/>
    <w:rsid w:val="00C74CFB"/>
    <w:rsid w:val="00CB6006"/>
    <w:rsid w:val="00D00147"/>
    <w:rsid w:val="00E3199A"/>
    <w:rsid w:val="00E45345"/>
    <w:rsid w:val="00E679C5"/>
    <w:rsid w:val="00E91D83"/>
    <w:rsid w:val="00E92E44"/>
    <w:rsid w:val="00F07483"/>
    <w:rsid w:val="00F20D30"/>
    <w:rsid w:val="00FC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04347-84D1-4C7A-8D99-2D990A7F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275E18"/>
    <w:pPr>
      <w:spacing w:after="0" w:line="240" w:lineRule="auto"/>
      <w:jc w:val="center"/>
      <w:outlineLvl w:val="0"/>
    </w:pPr>
    <w:rPr>
      <w:rFonts w:ascii="Times New Roman" w:eastAsia="Times New Roman" w:hAnsi="Times New Roman" w:cs="Times New Roman"/>
      <w:b/>
      <w:bCs/>
      <w:caps/>
      <w:color w:val="330099"/>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D3E91"/>
    <w:rPr>
      <w:b/>
      <w:bCs/>
    </w:rPr>
  </w:style>
  <w:style w:type="character" w:styleId="Hyperlink">
    <w:name w:val="Hyperlink"/>
    <w:rsid w:val="004D3E91"/>
    <w:rPr>
      <w:color w:val="0000FF"/>
      <w:u w:val="single"/>
    </w:rPr>
  </w:style>
  <w:style w:type="paragraph" w:styleId="ListParagraph">
    <w:name w:val="List Paragraph"/>
    <w:basedOn w:val="Normal"/>
    <w:uiPriority w:val="34"/>
    <w:qFormat/>
    <w:rsid w:val="004D3E91"/>
    <w:pPr>
      <w:spacing w:after="0" w:line="240" w:lineRule="auto"/>
      <w:ind w:left="720"/>
      <w:contextualSpacing/>
    </w:pPr>
    <w:rPr>
      <w:rFonts w:ascii="Times New Roman" w:eastAsia="Times New Roman" w:hAnsi="Times New Roman" w:cs="Times New Roman"/>
      <w:sz w:val="24"/>
      <w:szCs w:val="24"/>
    </w:rPr>
  </w:style>
  <w:style w:type="paragraph" w:customStyle="1" w:styleId="Bulletlevel1">
    <w:name w:val="Bullet level 1"/>
    <w:basedOn w:val="Normal"/>
    <w:qFormat/>
    <w:rsid w:val="00AD5469"/>
    <w:pPr>
      <w:numPr>
        <w:numId w:val="6"/>
      </w:numPr>
      <w:spacing w:after="60" w:line="240" w:lineRule="auto"/>
    </w:pPr>
    <w:rPr>
      <w:rFonts w:ascii="Arial" w:eastAsia="Times New Roman" w:hAnsi="Arial" w:cs="Arial"/>
      <w:color w:val="333333"/>
      <w:sz w:val="18"/>
      <w:szCs w:val="18"/>
    </w:rPr>
  </w:style>
  <w:style w:type="character" w:customStyle="1" w:styleId="Heading1Char">
    <w:name w:val="Heading 1 Char"/>
    <w:basedOn w:val="DefaultParagraphFont"/>
    <w:link w:val="Heading1"/>
    <w:rsid w:val="00275E18"/>
    <w:rPr>
      <w:rFonts w:ascii="Times New Roman" w:eastAsia="Times New Roman" w:hAnsi="Times New Roman" w:cs="Times New Roman"/>
      <w:b/>
      <w:bCs/>
      <w:caps/>
      <w:color w:val="330099"/>
      <w:kern w:val="36"/>
      <w:sz w:val="36"/>
      <w:szCs w:val="36"/>
    </w:rPr>
  </w:style>
  <w:style w:type="paragraph" w:styleId="NormalWeb">
    <w:name w:val="Normal (Web)"/>
    <w:basedOn w:val="Normal"/>
    <w:rsid w:val="00275E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6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006"/>
  </w:style>
  <w:style w:type="paragraph" w:styleId="Footer">
    <w:name w:val="footer"/>
    <w:basedOn w:val="Normal"/>
    <w:link w:val="FooterChar"/>
    <w:uiPriority w:val="99"/>
    <w:unhideWhenUsed/>
    <w:rsid w:val="00CB6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006"/>
  </w:style>
  <w:style w:type="character" w:styleId="CommentReference">
    <w:name w:val="annotation reference"/>
    <w:basedOn w:val="DefaultParagraphFont"/>
    <w:uiPriority w:val="99"/>
    <w:semiHidden/>
    <w:unhideWhenUsed/>
    <w:rsid w:val="00A5168C"/>
    <w:rPr>
      <w:sz w:val="16"/>
      <w:szCs w:val="16"/>
    </w:rPr>
  </w:style>
  <w:style w:type="paragraph" w:styleId="CommentText">
    <w:name w:val="annotation text"/>
    <w:basedOn w:val="Normal"/>
    <w:link w:val="CommentTextChar"/>
    <w:uiPriority w:val="99"/>
    <w:semiHidden/>
    <w:unhideWhenUsed/>
    <w:rsid w:val="00A5168C"/>
    <w:pPr>
      <w:spacing w:line="240" w:lineRule="auto"/>
    </w:pPr>
    <w:rPr>
      <w:sz w:val="20"/>
      <w:szCs w:val="20"/>
    </w:rPr>
  </w:style>
  <w:style w:type="character" w:customStyle="1" w:styleId="CommentTextChar">
    <w:name w:val="Comment Text Char"/>
    <w:basedOn w:val="DefaultParagraphFont"/>
    <w:link w:val="CommentText"/>
    <w:uiPriority w:val="99"/>
    <w:semiHidden/>
    <w:rsid w:val="00A5168C"/>
    <w:rPr>
      <w:sz w:val="20"/>
      <w:szCs w:val="20"/>
    </w:rPr>
  </w:style>
  <w:style w:type="paragraph" w:styleId="CommentSubject">
    <w:name w:val="annotation subject"/>
    <w:basedOn w:val="CommentText"/>
    <w:next w:val="CommentText"/>
    <w:link w:val="CommentSubjectChar"/>
    <w:uiPriority w:val="99"/>
    <w:semiHidden/>
    <w:unhideWhenUsed/>
    <w:rsid w:val="00A5168C"/>
    <w:rPr>
      <w:b/>
      <w:bCs/>
    </w:rPr>
  </w:style>
  <w:style w:type="character" w:customStyle="1" w:styleId="CommentSubjectChar">
    <w:name w:val="Comment Subject Char"/>
    <w:basedOn w:val="CommentTextChar"/>
    <w:link w:val="CommentSubject"/>
    <w:uiPriority w:val="99"/>
    <w:semiHidden/>
    <w:rsid w:val="00A5168C"/>
    <w:rPr>
      <w:b/>
      <w:bCs/>
      <w:sz w:val="20"/>
      <w:szCs w:val="20"/>
    </w:rPr>
  </w:style>
  <w:style w:type="paragraph" w:styleId="BalloonText">
    <w:name w:val="Balloon Text"/>
    <w:basedOn w:val="Normal"/>
    <w:link w:val="BalloonTextChar"/>
    <w:uiPriority w:val="99"/>
    <w:semiHidden/>
    <w:unhideWhenUsed/>
    <w:rsid w:val="00A51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3077">
      <w:bodyDiv w:val="1"/>
      <w:marLeft w:val="0"/>
      <w:marRight w:val="0"/>
      <w:marTop w:val="0"/>
      <w:marBottom w:val="0"/>
      <w:divBdr>
        <w:top w:val="none" w:sz="0" w:space="0" w:color="auto"/>
        <w:left w:val="none" w:sz="0" w:space="0" w:color="auto"/>
        <w:bottom w:val="none" w:sz="0" w:space="0" w:color="auto"/>
        <w:right w:val="none" w:sz="0" w:space="0" w:color="auto"/>
      </w:divBdr>
    </w:div>
    <w:div w:id="189729093">
      <w:bodyDiv w:val="1"/>
      <w:marLeft w:val="0"/>
      <w:marRight w:val="0"/>
      <w:marTop w:val="0"/>
      <w:marBottom w:val="0"/>
      <w:divBdr>
        <w:top w:val="none" w:sz="0" w:space="0" w:color="auto"/>
        <w:left w:val="none" w:sz="0" w:space="0" w:color="auto"/>
        <w:bottom w:val="none" w:sz="0" w:space="0" w:color="auto"/>
        <w:right w:val="none" w:sz="0" w:space="0" w:color="auto"/>
      </w:divBdr>
    </w:div>
    <w:div w:id="362293072">
      <w:bodyDiv w:val="1"/>
      <w:marLeft w:val="0"/>
      <w:marRight w:val="0"/>
      <w:marTop w:val="0"/>
      <w:marBottom w:val="0"/>
      <w:divBdr>
        <w:top w:val="none" w:sz="0" w:space="0" w:color="auto"/>
        <w:left w:val="none" w:sz="0" w:space="0" w:color="auto"/>
        <w:bottom w:val="none" w:sz="0" w:space="0" w:color="auto"/>
        <w:right w:val="none" w:sz="0" w:space="0" w:color="auto"/>
      </w:divBdr>
    </w:div>
    <w:div w:id="421998834">
      <w:bodyDiv w:val="1"/>
      <w:marLeft w:val="0"/>
      <w:marRight w:val="0"/>
      <w:marTop w:val="0"/>
      <w:marBottom w:val="0"/>
      <w:divBdr>
        <w:top w:val="none" w:sz="0" w:space="0" w:color="auto"/>
        <w:left w:val="none" w:sz="0" w:space="0" w:color="auto"/>
        <w:bottom w:val="none" w:sz="0" w:space="0" w:color="auto"/>
        <w:right w:val="none" w:sz="0" w:space="0" w:color="auto"/>
      </w:divBdr>
    </w:div>
    <w:div w:id="511142971">
      <w:bodyDiv w:val="1"/>
      <w:marLeft w:val="0"/>
      <w:marRight w:val="0"/>
      <w:marTop w:val="0"/>
      <w:marBottom w:val="0"/>
      <w:divBdr>
        <w:top w:val="none" w:sz="0" w:space="0" w:color="auto"/>
        <w:left w:val="none" w:sz="0" w:space="0" w:color="auto"/>
        <w:bottom w:val="none" w:sz="0" w:space="0" w:color="auto"/>
        <w:right w:val="none" w:sz="0" w:space="0" w:color="auto"/>
      </w:divBdr>
    </w:div>
    <w:div w:id="786124739">
      <w:bodyDiv w:val="1"/>
      <w:marLeft w:val="0"/>
      <w:marRight w:val="0"/>
      <w:marTop w:val="0"/>
      <w:marBottom w:val="0"/>
      <w:divBdr>
        <w:top w:val="none" w:sz="0" w:space="0" w:color="auto"/>
        <w:left w:val="none" w:sz="0" w:space="0" w:color="auto"/>
        <w:bottom w:val="none" w:sz="0" w:space="0" w:color="auto"/>
        <w:right w:val="none" w:sz="0" w:space="0" w:color="auto"/>
      </w:divBdr>
    </w:div>
    <w:div w:id="1087112712">
      <w:bodyDiv w:val="1"/>
      <w:marLeft w:val="0"/>
      <w:marRight w:val="0"/>
      <w:marTop w:val="0"/>
      <w:marBottom w:val="0"/>
      <w:divBdr>
        <w:top w:val="none" w:sz="0" w:space="0" w:color="auto"/>
        <w:left w:val="none" w:sz="0" w:space="0" w:color="auto"/>
        <w:bottom w:val="none" w:sz="0" w:space="0" w:color="auto"/>
        <w:right w:val="none" w:sz="0" w:space="0" w:color="auto"/>
      </w:divBdr>
    </w:div>
    <w:div w:id="1264991677">
      <w:bodyDiv w:val="1"/>
      <w:marLeft w:val="0"/>
      <w:marRight w:val="0"/>
      <w:marTop w:val="0"/>
      <w:marBottom w:val="0"/>
      <w:divBdr>
        <w:top w:val="none" w:sz="0" w:space="0" w:color="auto"/>
        <w:left w:val="none" w:sz="0" w:space="0" w:color="auto"/>
        <w:bottom w:val="none" w:sz="0" w:space="0" w:color="auto"/>
        <w:right w:val="none" w:sz="0" w:space="0" w:color="auto"/>
      </w:divBdr>
    </w:div>
    <w:div w:id="1638148055">
      <w:bodyDiv w:val="1"/>
      <w:marLeft w:val="0"/>
      <w:marRight w:val="0"/>
      <w:marTop w:val="0"/>
      <w:marBottom w:val="0"/>
      <w:divBdr>
        <w:top w:val="none" w:sz="0" w:space="0" w:color="auto"/>
        <w:left w:val="none" w:sz="0" w:space="0" w:color="auto"/>
        <w:bottom w:val="none" w:sz="0" w:space="0" w:color="auto"/>
        <w:right w:val="none" w:sz="0" w:space="0" w:color="auto"/>
      </w:divBdr>
    </w:div>
    <w:div w:id="185796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xpensecompliance@deloitte.com" TargetMode="External"/><Relationship Id="rId18" Type="http://schemas.openxmlformats.org/officeDocument/2006/relationships/hyperlink" Target="https://talentondemand.deloittenet.deloitte.com/" TargetMode="External"/><Relationship Id="rId3" Type="http://schemas.openxmlformats.org/officeDocument/2006/relationships/styles" Target="styles.xml"/><Relationship Id="rId21" Type="http://schemas.openxmlformats.org/officeDocument/2006/relationships/hyperlink" Target="http://www.Integrityhelp.com" TargetMode="External"/><Relationship Id="rId7" Type="http://schemas.openxmlformats.org/officeDocument/2006/relationships/endnotes" Target="endnotes.xml"/><Relationship Id="rId12" Type="http://schemas.openxmlformats.org/officeDocument/2006/relationships/hyperlink" Target="mailto:USNationalRecordsManagementFilesCheckedOut@DELOITTE.com" TargetMode="External"/><Relationship Id="rId17" Type="http://schemas.openxmlformats.org/officeDocument/2006/relationships/hyperlink" Target="https://dte.deloitte.com/te/ExpenseSummary.aspx" TargetMode="External"/><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hyperlink" Target="mailto:USI-9SupportCenterMailbox@DELOIT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mailto:usdataremovalrequest@deloitte.com" TargetMode="External"/><Relationship Id="rId19" Type="http://schemas.openxmlformats.org/officeDocument/2006/relationships/hyperlink" Target="https://external.talentondemand.deloitte.com/registration/index" TargetMode="External"/><Relationship Id="rId4" Type="http://schemas.openxmlformats.org/officeDocument/2006/relationships/settings" Target="settings.xml"/><Relationship Id="rId9" Type="http://schemas.openxmlformats.org/officeDocument/2006/relationships/hyperlink" Target="https://deloittenet.deloitte.com/WT/Tech/Software/Pages/ConnectedBackupPC.aspx" TargetMode="External"/><Relationship Id="rId14" Type="http://schemas.openxmlformats.org/officeDocument/2006/relationships/hyperlink" Target="file:///C:\Users\lmoskowitz\AppData\Local\Microsoft\Windows\INetCache\Content.Outlook\H11L42NR\expensecompliance@deloitt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13CDB-47A2-4642-B194-E2651A1B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Moskowitz, Lauren</dc:creator>
  <cp:keywords/>
  <dc:description/>
  <cp:lastModifiedBy>Pisciotta, Kathryn</cp:lastModifiedBy>
  <cp:revision>2</cp:revision>
  <dcterms:created xsi:type="dcterms:W3CDTF">2017-07-18T16:49:00Z</dcterms:created>
  <dcterms:modified xsi:type="dcterms:W3CDTF">2017-07-18T16:49:00Z</dcterms:modified>
</cp:coreProperties>
</file>