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14" w:type="dxa"/>
        <w:tblInd w:w="-225" w:type="dxa"/>
        <w:tblCellMar>
          <w:left w:w="0" w:type="dxa"/>
          <w:right w:w="0" w:type="dxa"/>
        </w:tblCellMar>
        <w:tblLook w:val="04A0" w:firstRow="1" w:lastRow="0" w:firstColumn="1" w:lastColumn="0" w:noHBand="0" w:noVBand="1"/>
      </w:tblPr>
      <w:tblGrid>
        <w:gridCol w:w="225"/>
        <w:gridCol w:w="225"/>
        <w:gridCol w:w="8910"/>
        <w:gridCol w:w="591"/>
        <w:gridCol w:w="363"/>
      </w:tblGrid>
      <w:tr w:rsidR="00662A7F" w:rsidTr="007924AA">
        <w:trPr>
          <w:gridBefore w:val="1"/>
          <w:gridAfter w:val="1"/>
          <w:wBefore w:w="225" w:type="dxa"/>
          <w:wAfter w:w="363" w:type="dxa"/>
          <w:trHeight w:val="270"/>
        </w:trPr>
        <w:tc>
          <w:tcPr>
            <w:tcW w:w="225" w:type="dxa"/>
          </w:tcPr>
          <w:p w:rsidR="00662A7F" w:rsidRDefault="00662A7F" w:rsidP="007924AA">
            <w:pPr>
              <w:rPr>
                <w:rFonts w:cs="Times New Roman"/>
                <w:color w:val="auto"/>
                <w:sz w:val="24"/>
                <w:szCs w:val="24"/>
              </w:rPr>
            </w:pPr>
          </w:p>
        </w:tc>
        <w:tc>
          <w:tcPr>
            <w:tcW w:w="9501" w:type="dxa"/>
            <w:gridSpan w:val="2"/>
          </w:tcPr>
          <w:p w:rsidR="00662A7F" w:rsidRDefault="00662A7F" w:rsidP="007924AA">
            <w:pPr>
              <w:pStyle w:val="Forinternaluseonly"/>
            </w:pPr>
          </w:p>
        </w:tc>
      </w:tr>
      <w:tr w:rsidR="00662A7F" w:rsidTr="007924AA">
        <w:trPr>
          <w:gridBefore w:val="1"/>
          <w:wBefore w:w="225" w:type="dxa"/>
          <w:trHeight w:val="270"/>
        </w:trPr>
        <w:tc>
          <w:tcPr>
            <w:tcW w:w="10089" w:type="dxa"/>
            <w:gridSpan w:val="4"/>
            <w:hideMark/>
          </w:tcPr>
          <w:tbl>
            <w:tblPr>
              <w:tblW w:w="10083" w:type="dxa"/>
              <w:tblCellSpacing w:w="0" w:type="dxa"/>
              <w:tblCellMar>
                <w:left w:w="0" w:type="dxa"/>
                <w:right w:w="0" w:type="dxa"/>
              </w:tblCellMar>
              <w:tblLook w:val="04A0" w:firstRow="1" w:lastRow="0" w:firstColumn="1" w:lastColumn="0" w:noHBand="0" w:noVBand="1"/>
            </w:tblPr>
            <w:tblGrid>
              <w:gridCol w:w="10083"/>
            </w:tblGrid>
            <w:tr w:rsidR="00662A7F" w:rsidTr="007924AA">
              <w:trPr>
                <w:trHeight w:val="733"/>
                <w:tblCellSpacing w:w="0" w:type="dxa"/>
              </w:trPr>
              <w:tc>
                <w:tcPr>
                  <w:tcW w:w="0" w:type="auto"/>
                  <w:shd w:val="clear" w:color="auto" w:fill="000000"/>
                  <w:hideMark/>
                </w:tcPr>
                <w:p w:rsidR="00662A7F" w:rsidRDefault="00662A7F" w:rsidP="007924AA">
                  <w:r>
                    <w:fldChar w:fldCharType="begin"/>
                  </w:r>
                  <w:r>
                    <w:instrText xml:space="preserve"> INCLUDEPICTURE  "cid:image001.jpg@01D1D0BD.7BC1F480" \* MERGEFORMATINET </w:instrText>
                  </w:r>
                  <w:r>
                    <w:fldChar w:fldCharType="separate"/>
                  </w:r>
                  <w:r w:rsidR="001F2DC7">
                    <w:fldChar w:fldCharType="begin"/>
                  </w:r>
                  <w:r w:rsidR="001F2DC7">
                    <w:instrText xml:space="preserve"> </w:instrText>
                  </w:r>
                  <w:r w:rsidR="001F2DC7">
                    <w:instrText>INCLUDEPICTURE  "cid:image001.jpg@01D1D0BD.7BC1F480" \* MERGEFORMATINET</w:instrText>
                  </w:r>
                  <w:r w:rsidR="001F2DC7">
                    <w:instrText xml:space="preserve"> </w:instrText>
                  </w:r>
                  <w:r w:rsidR="001F2DC7">
                    <w:fldChar w:fldCharType="separate"/>
                  </w:r>
                  <w:r w:rsidR="001F2D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https://talent.my.salesforce.com/servlet/servlet.ImageServer?id=015400000011YDQ&amp;oid=00D40000000MxFD" style="width:112.5pt;height:46pt">
                        <v:imagedata r:id="rId5" r:href="rId6"/>
                      </v:shape>
                    </w:pict>
                  </w:r>
                  <w:r w:rsidR="001F2DC7">
                    <w:fldChar w:fldCharType="end"/>
                  </w:r>
                  <w:r>
                    <w:fldChar w:fldCharType="end"/>
                  </w:r>
                </w:p>
              </w:tc>
            </w:tr>
            <w:tr w:rsidR="00662A7F" w:rsidTr="007924AA">
              <w:trPr>
                <w:trHeight w:val="220"/>
                <w:tblCellSpacing w:w="0" w:type="dxa"/>
              </w:trPr>
              <w:tc>
                <w:tcPr>
                  <w:tcW w:w="0" w:type="auto"/>
                  <w:shd w:val="clear" w:color="auto" w:fill="FFFFFF"/>
                  <w:hideMark/>
                </w:tcPr>
                <w:p w:rsidR="00662A7F" w:rsidRDefault="00662A7F" w:rsidP="007924AA"/>
              </w:tc>
            </w:tr>
            <w:tr w:rsidR="00662A7F" w:rsidTr="007924AA">
              <w:trPr>
                <w:trHeight w:val="220"/>
                <w:tblCellSpacing w:w="0" w:type="dxa"/>
              </w:trPr>
              <w:tc>
                <w:tcPr>
                  <w:tcW w:w="0" w:type="auto"/>
                  <w:shd w:val="clear" w:color="auto" w:fill="FFFFFF"/>
                  <w:hideMark/>
                </w:tcPr>
                <w:p w:rsidR="00662A7F" w:rsidRDefault="00662A7F" w:rsidP="007924AA">
                  <w:pPr>
                    <w:rPr>
                      <w:sz w:val="20"/>
                      <w:szCs w:val="20"/>
                    </w:rPr>
                  </w:pPr>
                </w:p>
              </w:tc>
            </w:tr>
          </w:tbl>
          <w:p w:rsidR="00662A7F" w:rsidRDefault="00662A7F" w:rsidP="007924AA">
            <w:pPr>
              <w:rPr>
                <w:sz w:val="20"/>
                <w:szCs w:val="20"/>
              </w:rPr>
            </w:pPr>
          </w:p>
        </w:tc>
      </w:tr>
      <w:tr w:rsidR="00662A7F" w:rsidRPr="00043282" w:rsidTr="007924AA">
        <w:tblPrEx>
          <w:tblCellMar>
            <w:top w:w="115" w:type="dxa"/>
            <w:left w:w="225" w:type="dxa"/>
            <w:bottom w:w="115" w:type="dxa"/>
            <w:right w:w="225" w:type="dxa"/>
          </w:tblCellMar>
        </w:tblPrEx>
        <w:trPr>
          <w:gridAfter w:val="2"/>
          <w:wAfter w:w="954" w:type="dxa"/>
        </w:trPr>
        <w:tc>
          <w:tcPr>
            <w:tcW w:w="9360" w:type="dxa"/>
            <w:gridSpan w:val="3"/>
          </w:tcPr>
          <w:p w:rsidR="00662A7F" w:rsidRPr="003B67CC" w:rsidRDefault="00662A7F" w:rsidP="007924AA">
            <w:pPr>
              <w:pStyle w:val="Function"/>
            </w:pPr>
            <w:r>
              <w:t>Information Technology Services</w:t>
            </w:r>
          </w:p>
        </w:tc>
      </w:tr>
      <w:tr w:rsidR="00662A7F" w:rsidRPr="00043282" w:rsidTr="007924AA">
        <w:tblPrEx>
          <w:tblCellMar>
            <w:top w:w="115" w:type="dxa"/>
            <w:left w:w="225" w:type="dxa"/>
            <w:bottom w:w="115" w:type="dxa"/>
            <w:right w:w="225" w:type="dxa"/>
          </w:tblCellMar>
        </w:tblPrEx>
        <w:trPr>
          <w:gridAfter w:val="2"/>
          <w:wAfter w:w="954" w:type="dxa"/>
        </w:trPr>
        <w:tc>
          <w:tcPr>
            <w:tcW w:w="9360" w:type="dxa"/>
            <w:gridSpan w:val="3"/>
          </w:tcPr>
          <w:p w:rsidR="00662A7F" w:rsidRPr="00041CEE" w:rsidRDefault="00662A7F" w:rsidP="007924AA">
            <w:pPr>
              <w:pStyle w:val="Heading1"/>
            </w:pPr>
            <w:r>
              <w:t>Making the Transition</w:t>
            </w:r>
          </w:p>
          <w:p w:rsidR="00662A7F" w:rsidRPr="00294E1D" w:rsidRDefault="00662A7F" w:rsidP="007924AA">
            <w:pPr>
              <w:pStyle w:val="Heading2"/>
            </w:pPr>
            <w:r>
              <w:t>Technology and Your Separation</w:t>
            </w:r>
          </w:p>
          <w:p w:rsidR="00662A7F" w:rsidRPr="009C7DC7" w:rsidRDefault="00662A7F" w:rsidP="007924AA">
            <w:pPr>
              <w:pStyle w:val="Heading3"/>
            </w:pPr>
            <w:r>
              <w:t>What you need to know about turning in your laptop and other technology items</w:t>
            </w:r>
          </w:p>
          <w:p w:rsidR="00662A7F" w:rsidRDefault="00662A7F" w:rsidP="007924AA">
            <w:r>
              <w:t xml:space="preserve">Your last day at Deloitte is fast approaching. As you work with your Talent lead regarding the tasks you need to complete by your last day at Deloitte, the ITS organization wanted to remind you of the following steps that are required prior to turning in your laptop to your local ITS Walk-up team. </w:t>
            </w:r>
          </w:p>
          <w:p w:rsidR="00662A7F" w:rsidRDefault="00662A7F" w:rsidP="007924AA">
            <w:pPr>
              <w:rPr>
                <w:color w:val="auto"/>
              </w:rPr>
            </w:pPr>
          </w:p>
          <w:p w:rsidR="00662A7F" w:rsidRDefault="00662A7F" w:rsidP="007924AA">
            <w:pPr>
              <w:rPr>
                <w:b/>
              </w:rPr>
            </w:pPr>
            <w:r w:rsidRPr="00E40F1D">
              <w:rPr>
                <w:b/>
              </w:rPr>
              <w:t>ITS Walk-up Center Locations</w:t>
            </w:r>
            <w:r>
              <w:rPr>
                <w:b/>
              </w:rPr>
              <w:t xml:space="preserve"> and hours</w:t>
            </w:r>
            <w:r w:rsidRPr="00E40F1D">
              <w:rPr>
                <w:b/>
              </w:rPr>
              <w:t>:</w:t>
            </w:r>
          </w:p>
          <w:p w:rsidR="00662A7F" w:rsidRPr="00E40F1D" w:rsidRDefault="00662A7F" w:rsidP="007924AA">
            <w:pPr>
              <w:rPr>
                <w:b/>
              </w:rPr>
            </w:pPr>
          </w:p>
          <w:p w:rsidR="00662A7F" w:rsidRDefault="00662A7F" w:rsidP="007924AA">
            <w:r>
              <w:t xml:space="preserve">For a list of ITS Walk-up Center locations and support hours please check DeloitteNet under My Technology&gt;Local </w:t>
            </w:r>
            <w:proofErr w:type="gramStart"/>
            <w:r>
              <w:t>ITS</w:t>
            </w:r>
            <w:proofErr w:type="gramEnd"/>
            <w:r>
              <w:t xml:space="preserve"> Support (drop down: select another office).</w:t>
            </w:r>
          </w:p>
          <w:p w:rsidR="00662A7F" w:rsidRDefault="00662A7F" w:rsidP="007924AA"/>
          <w:p w:rsidR="00662A7F" w:rsidRPr="00CD031C" w:rsidRDefault="00662A7F" w:rsidP="007924AA">
            <w:pPr>
              <w:tabs>
                <w:tab w:val="left" w:pos="3772"/>
              </w:tabs>
              <w:rPr>
                <w:b/>
              </w:rPr>
            </w:pPr>
            <w:r w:rsidRPr="00CD031C">
              <w:rPr>
                <w:b/>
              </w:rPr>
              <w:t>Your required technology steps:</w:t>
            </w:r>
            <w:r>
              <w:rPr>
                <w:b/>
              </w:rPr>
              <w:tab/>
            </w:r>
          </w:p>
          <w:p w:rsidR="00662A7F" w:rsidRDefault="00662A7F" w:rsidP="007924AA"/>
          <w:p w:rsidR="00662A7F" w:rsidRDefault="00662A7F" w:rsidP="007924AA">
            <w:pPr>
              <w:pStyle w:val="Bulletlevel1"/>
              <w:ind w:left="259" w:hanging="259"/>
            </w:pPr>
            <w:r>
              <w:t>Complete and submit your final timesheet and expense report</w:t>
            </w:r>
          </w:p>
          <w:p w:rsidR="00662A7F" w:rsidRDefault="00662A7F" w:rsidP="007924AA">
            <w:pPr>
              <w:pStyle w:val="Bulletlevel1"/>
              <w:ind w:left="259" w:hanging="259"/>
            </w:pPr>
            <w:r>
              <w:t>Transfer all files, folders, e-mails, etc., to those in your functional area or on your project team</w:t>
            </w:r>
          </w:p>
          <w:p w:rsidR="00662A7F" w:rsidRDefault="00662A7F" w:rsidP="007924AA">
            <w:pPr>
              <w:pStyle w:val="Bulletlevel1"/>
              <w:ind w:left="259" w:hanging="259"/>
            </w:pPr>
            <w:r>
              <w:t xml:space="preserve">Locate all technology items assigned to you and in your possession; such as:  your laptop, power adapter, cable lock and keys, USB flash drive, external mouse, laptop bag, and if applicable, air card and mobile email device. </w:t>
            </w:r>
          </w:p>
          <w:p w:rsidR="00662A7F" w:rsidRDefault="00662A7F" w:rsidP="007924AA">
            <w:pPr>
              <w:pStyle w:val="Bulletlevel1"/>
              <w:ind w:left="259" w:hanging="259"/>
            </w:pPr>
            <w:r>
              <w:t xml:space="preserve">To obtain a list of your current assignments please stop by the local ITS Walk-up Center or </w:t>
            </w:r>
            <w:r w:rsidRPr="00622DEF">
              <w:t xml:space="preserve">contact the </w:t>
            </w:r>
            <w:proofErr w:type="spellStart"/>
            <w:r w:rsidRPr="00622DEF">
              <w:t>CallCenter</w:t>
            </w:r>
            <w:proofErr w:type="spellEnd"/>
            <w:r w:rsidRPr="00622DEF">
              <w:t xml:space="preserve"> at 2222 (inside office) or 1 800 DELOITTE (1 800 335 6488 outside office), or submit a non-urgent</w:t>
            </w:r>
            <w:r>
              <w:rPr>
                <w:color w:val="auto"/>
              </w:rPr>
              <w:t xml:space="preserve"> </w:t>
            </w:r>
            <w:hyperlink r:id="rId7" w:history="1">
              <w:r>
                <w:rPr>
                  <w:rStyle w:val="Hyperlink"/>
                </w:rPr>
                <w:t>support request</w:t>
              </w:r>
            </w:hyperlink>
            <w:r>
              <w:rPr>
                <w:color w:val="auto"/>
              </w:rPr>
              <w:t xml:space="preserve"> </w:t>
            </w:r>
            <w:r w:rsidRPr="00622DEF">
              <w:t>on</w:t>
            </w:r>
            <w:r>
              <w:rPr>
                <w:color w:val="auto"/>
              </w:rPr>
              <w:t xml:space="preserve"> </w:t>
            </w:r>
            <w:hyperlink r:id="rId8" w:history="1">
              <w:r>
                <w:rPr>
                  <w:rStyle w:val="Hyperlink"/>
                </w:rPr>
                <w:t xml:space="preserve">My </w:t>
              </w:r>
              <w:proofErr w:type="spellStart"/>
              <w:r>
                <w:rPr>
                  <w:rStyle w:val="Hyperlink"/>
                </w:rPr>
                <w:t>HelpDesk</w:t>
              </w:r>
              <w:proofErr w:type="spellEnd"/>
            </w:hyperlink>
            <w:r>
              <w:rPr>
                <w:color w:val="auto"/>
              </w:rPr>
              <w:t xml:space="preserve">.  </w:t>
            </w:r>
          </w:p>
          <w:p w:rsidR="00662A7F" w:rsidRDefault="00662A7F" w:rsidP="007924AA">
            <w:pPr>
              <w:pStyle w:val="Bulletlevel1"/>
              <w:ind w:left="259" w:hanging="259"/>
            </w:pPr>
            <w:r>
              <w:t>If you have a mobile email device, you will be asked if you wish to retain your mobile phone number; if so, you will need to provide the ITS Walk-up team with your mobile number (</w:t>
            </w:r>
            <w:r w:rsidRPr="001A4E55">
              <w:rPr>
                <w:color w:val="auto"/>
              </w:rPr>
              <w:t>NOTE: Policy states that you</w:t>
            </w:r>
            <w:r>
              <w:t xml:space="preserve"> cannot retain your mobile email device)</w:t>
            </w:r>
          </w:p>
          <w:p w:rsidR="00662A7F" w:rsidRDefault="00662A7F" w:rsidP="007924AA"/>
          <w:p w:rsidR="00662A7F" w:rsidRDefault="00662A7F" w:rsidP="007924AA">
            <w:pPr>
              <w:rPr>
                <w:b/>
              </w:rPr>
            </w:pPr>
            <w:r>
              <w:rPr>
                <w:b/>
              </w:rPr>
              <w:t>Returning</w:t>
            </w:r>
            <w:r w:rsidRPr="00644D49">
              <w:rPr>
                <w:b/>
              </w:rPr>
              <w:t xml:space="preserve"> your technology equipment:</w:t>
            </w:r>
          </w:p>
          <w:p w:rsidR="00662A7F" w:rsidRPr="00644D49" w:rsidRDefault="00662A7F" w:rsidP="007924AA">
            <w:pPr>
              <w:rPr>
                <w:b/>
              </w:rPr>
            </w:pPr>
          </w:p>
          <w:p w:rsidR="00662A7F" w:rsidRDefault="00662A7F" w:rsidP="007924AA">
            <w:r>
              <w:t xml:space="preserve">On or before your last day at Deloitte all technology equipment must be returned to a local </w:t>
            </w:r>
            <w:proofErr w:type="gramStart"/>
            <w:r>
              <w:t>ITS</w:t>
            </w:r>
            <w:proofErr w:type="gramEnd"/>
            <w:r>
              <w:t xml:space="preserve"> Walk-up Center. </w:t>
            </w:r>
            <w:r w:rsidRPr="00644D49">
              <w:rPr>
                <w:u w:val="single"/>
              </w:rPr>
              <w:t>You must bring all technology items</w:t>
            </w:r>
            <w:r>
              <w:t xml:space="preserve"> as listed above to the ITS Walk-up Center. An ITS technician will assist you with verifying that your inventory is up-to-date and all assigned equipment is returned, provide you with a receipt, and initial the employment termination checklist. </w:t>
            </w:r>
            <w:r w:rsidRPr="006C7F58">
              <w:t>During your exit discussion, you will be required to verify that you have turned in your equipment and that ITS have initial the employment separation checklist.</w:t>
            </w:r>
          </w:p>
          <w:p w:rsidR="00662A7F" w:rsidRDefault="00662A7F" w:rsidP="007924AA"/>
          <w:p w:rsidR="00662A7F" w:rsidRDefault="00662A7F" w:rsidP="007924AA"/>
          <w:p w:rsidR="00662A7F" w:rsidRDefault="00662A7F" w:rsidP="007924AA">
            <w:r>
              <w:t xml:space="preserve">If for any reason you are unable to return your equipment to a local ITS Walk-up Center please contact your Talent lead immediately. Talent will work with ITS management to assist you with the return of your equipment. </w:t>
            </w:r>
          </w:p>
          <w:p w:rsidR="00662A7F" w:rsidRDefault="00662A7F" w:rsidP="007924AA"/>
          <w:p w:rsidR="00662A7F" w:rsidRDefault="00662A7F" w:rsidP="007924AA">
            <w:r w:rsidRPr="00622DEF">
              <w:t xml:space="preserve">For any questions or issues, contact the </w:t>
            </w:r>
            <w:proofErr w:type="spellStart"/>
            <w:r w:rsidRPr="00622DEF">
              <w:t>CallCenter</w:t>
            </w:r>
            <w:proofErr w:type="spellEnd"/>
            <w:r w:rsidRPr="00622DEF">
              <w:t xml:space="preserve"> at 2222 (inside office) or 1 800 DELOITTE (1 800 335 6488 outside office), or submit a non-urgent</w:t>
            </w:r>
            <w:r>
              <w:rPr>
                <w:color w:val="auto"/>
              </w:rPr>
              <w:t xml:space="preserve"> </w:t>
            </w:r>
            <w:hyperlink r:id="rId9" w:history="1">
              <w:r>
                <w:rPr>
                  <w:rStyle w:val="Hyperlink"/>
                </w:rPr>
                <w:t>support request</w:t>
              </w:r>
            </w:hyperlink>
            <w:r>
              <w:rPr>
                <w:color w:val="auto"/>
              </w:rPr>
              <w:t xml:space="preserve"> </w:t>
            </w:r>
            <w:r w:rsidRPr="00622DEF">
              <w:t>on</w:t>
            </w:r>
            <w:r>
              <w:rPr>
                <w:color w:val="auto"/>
              </w:rPr>
              <w:t xml:space="preserve"> </w:t>
            </w:r>
            <w:hyperlink r:id="rId10" w:history="1">
              <w:r>
                <w:rPr>
                  <w:rStyle w:val="Hyperlink"/>
                </w:rPr>
                <w:t xml:space="preserve">My </w:t>
              </w:r>
              <w:proofErr w:type="spellStart"/>
              <w:r>
                <w:rPr>
                  <w:rStyle w:val="Hyperlink"/>
                </w:rPr>
                <w:t>HelpDesk</w:t>
              </w:r>
              <w:proofErr w:type="spellEnd"/>
            </w:hyperlink>
            <w:r>
              <w:rPr>
                <w:color w:val="auto"/>
              </w:rPr>
              <w:t xml:space="preserve">.  </w:t>
            </w:r>
          </w:p>
          <w:p w:rsidR="00662A7F" w:rsidRPr="008C214D" w:rsidRDefault="00662A7F" w:rsidP="007924AA">
            <w:pPr>
              <w:pStyle w:val="LegaldividerLine"/>
            </w:pPr>
          </w:p>
          <w:p w:rsidR="00662A7F" w:rsidRPr="004812D3" w:rsidRDefault="001F2DC7" w:rsidP="007924AA">
            <w:pPr>
              <w:pStyle w:val="Legallinks"/>
              <w:rPr>
                <w:sz w:val="17"/>
                <w:szCs w:val="17"/>
              </w:rPr>
            </w:pPr>
            <w:hyperlink r:id="rId11" w:history="1">
              <w:r w:rsidR="00662A7F" w:rsidRPr="004D6FAC">
                <w:rPr>
                  <w:rStyle w:val="Hyperlink"/>
                  <w:sz w:val="17"/>
                </w:rPr>
                <w:t>My Technology</w:t>
              </w:r>
            </w:hyperlink>
            <w:r w:rsidR="00662A7F" w:rsidRPr="00657718">
              <w:rPr>
                <w:sz w:val="17"/>
                <w:szCs w:val="17"/>
              </w:rPr>
              <w:t xml:space="preserve"> | </w:t>
            </w:r>
            <w:hyperlink r:id="rId12" w:history="1">
              <w:r w:rsidR="00662A7F" w:rsidRPr="00657718">
                <w:rPr>
                  <w:rStyle w:val="Hyperlink"/>
                  <w:sz w:val="17"/>
                </w:rPr>
                <w:t>Security</w:t>
              </w:r>
            </w:hyperlink>
            <w:r w:rsidR="00662A7F">
              <w:t xml:space="preserve"> | </w:t>
            </w:r>
            <w:hyperlink r:id="rId13" w:history="1">
              <w:r w:rsidR="00662A7F" w:rsidRPr="00657718">
                <w:rPr>
                  <w:rStyle w:val="Hyperlink"/>
                  <w:sz w:val="17"/>
                </w:rPr>
                <w:t>Legal</w:t>
              </w:r>
            </w:hyperlink>
            <w:r w:rsidR="00662A7F">
              <w:t xml:space="preserve"> | </w:t>
            </w:r>
            <w:hyperlink r:id="rId14" w:history="1">
              <w:r w:rsidR="00662A7F" w:rsidRPr="00657718">
                <w:rPr>
                  <w:rStyle w:val="Hyperlink"/>
                  <w:sz w:val="17"/>
                </w:rPr>
                <w:t>Privacy</w:t>
              </w:r>
            </w:hyperlink>
          </w:p>
          <w:p w:rsidR="00662A7F" w:rsidRPr="004F6B3D" w:rsidRDefault="00662A7F" w:rsidP="007924AA">
            <w:pPr>
              <w:pStyle w:val="Legaltext"/>
            </w:pPr>
            <w:r>
              <w:t>4022 Sells Drive</w:t>
            </w:r>
            <w:r w:rsidRPr="004F6B3D">
              <w:br/>
            </w:r>
            <w:r>
              <w:t>Hermitage</w:t>
            </w:r>
            <w:r w:rsidRPr="004F6B3D">
              <w:t xml:space="preserve">, </w:t>
            </w:r>
            <w:r>
              <w:t>TN</w:t>
            </w:r>
            <w:r w:rsidRPr="004F6B3D">
              <w:t xml:space="preserve"> </w:t>
            </w:r>
            <w:r>
              <w:t>37076-2930</w:t>
            </w:r>
            <w:r w:rsidRPr="004F6B3D">
              <w:br/>
              <w:t>United States</w:t>
            </w:r>
          </w:p>
          <w:p w:rsidR="00662A7F" w:rsidRPr="0061292D" w:rsidRDefault="00662A7F" w:rsidP="007924AA">
            <w:pPr>
              <w:pStyle w:val="Legaltext"/>
            </w:pPr>
            <w:r w:rsidRPr="004F6B3D">
              <w:t>Copyright © 20</w:t>
            </w:r>
            <w:r>
              <w:t>11</w:t>
            </w:r>
            <w:r w:rsidRPr="004F6B3D">
              <w:t xml:space="preserve"> Deloitte Development LLC. All rights reserved.</w:t>
            </w:r>
            <w:r>
              <w:br/>
            </w:r>
            <w:r w:rsidRPr="00D73C63">
              <w:t xml:space="preserve">Member of Deloitte </w:t>
            </w:r>
            <w:proofErr w:type="spellStart"/>
            <w:r w:rsidRPr="00D73C63">
              <w:t>Touche</w:t>
            </w:r>
            <w:proofErr w:type="spellEnd"/>
            <w:r w:rsidRPr="00D73C63">
              <w:t xml:space="preserve"> Tohmatsu</w:t>
            </w:r>
            <w:r>
              <w:t xml:space="preserve"> Limited</w:t>
            </w:r>
          </w:p>
        </w:tc>
      </w:tr>
    </w:tbl>
    <w:p w:rsidR="0054127A" w:rsidRDefault="0054127A">
      <w:bookmarkStart w:id="0" w:name="_GoBack"/>
      <w:bookmarkEnd w:id="0"/>
    </w:p>
    <w:sectPr w:rsidR="0054127A" w:rsidSect="00F55B7C">
      <w:pgSz w:w="12240" w:h="15840" w:code="1"/>
      <w:pgMar w:top="36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60C69"/>
    <w:multiLevelType w:val="hybridMultilevel"/>
    <w:tmpl w:val="A2589DCA"/>
    <w:lvl w:ilvl="0" w:tplc="D0609B56">
      <w:start w:val="1"/>
      <w:numFmt w:val="bullet"/>
      <w:pStyle w:val="Bulletlevel1"/>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7F"/>
    <w:rsid w:val="001F2DC7"/>
    <w:rsid w:val="0054127A"/>
    <w:rsid w:val="0066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24B7"/>
  <w15:chartTrackingRefBased/>
  <w15:docId w15:val="{279DFE9D-0F6C-407D-A3FF-581BB618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A7F"/>
    <w:rPr>
      <w:rFonts w:ascii="Arial" w:eastAsia="Times New Roman" w:hAnsi="Arial" w:cs="Arial"/>
      <w:color w:val="333333"/>
      <w:sz w:val="18"/>
      <w:szCs w:val="18"/>
    </w:rPr>
  </w:style>
  <w:style w:type="paragraph" w:styleId="Heading1">
    <w:name w:val="heading 1"/>
    <w:basedOn w:val="Normal"/>
    <w:next w:val="Normal"/>
    <w:link w:val="Heading1Char"/>
    <w:qFormat/>
    <w:rsid w:val="00662A7F"/>
    <w:pPr>
      <w:outlineLvl w:val="0"/>
    </w:pPr>
    <w:rPr>
      <w:rFonts w:ascii="Times New Roman" w:hAnsi="Times New Roman"/>
      <w:noProof/>
      <w:color w:val="002776"/>
      <w:sz w:val="42"/>
      <w:szCs w:val="20"/>
    </w:rPr>
  </w:style>
  <w:style w:type="paragraph" w:styleId="Heading2">
    <w:name w:val="heading 2"/>
    <w:basedOn w:val="Normal"/>
    <w:next w:val="Normal"/>
    <w:link w:val="Heading2Char"/>
    <w:qFormat/>
    <w:rsid w:val="00662A7F"/>
    <w:pPr>
      <w:outlineLvl w:val="1"/>
    </w:pPr>
    <w:rPr>
      <w:rFonts w:ascii="Times New Roman" w:hAnsi="Times New Roman"/>
      <w:noProof/>
      <w:color w:val="92D400"/>
      <w:sz w:val="42"/>
      <w:szCs w:val="20"/>
    </w:rPr>
  </w:style>
  <w:style w:type="paragraph" w:styleId="Heading3">
    <w:name w:val="heading 3"/>
    <w:basedOn w:val="Normal"/>
    <w:next w:val="Normal"/>
    <w:link w:val="Heading3Char"/>
    <w:qFormat/>
    <w:rsid w:val="00662A7F"/>
    <w:pPr>
      <w:spacing w:before="360" w:after="180"/>
      <w:outlineLvl w:val="2"/>
    </w:pPr>
    <w:rPr>
      <w:b/>
      <w:bCs/>
      <w:color w:val="00A1DE"/>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2A7F"/>
    <w:rPr>
      <w:rFonts w:ascii="Times New Roman" w:eastAsia="Times New Roman" w:hAnsi="Times New Roman" w:cs="Arial"/>
      <w:noProof/>
      <w:color w:val="002776"/>
      <w:sz w:val="42"/>
      <w:szCs w:val="20"/>
    </w:rPr>
  </w:style>
  <w:style w:type="character" w:customStyle="1" w:styleId="Heading2Char">
    <w:name w:val="Heading 2 Char"/>
    <w:basedOn w:val="DefaultParagraphFont"/>
    <w:link w:val="Heading2"/>
    <w:rsid w:val="00662A7F"/>
    <w:rPr>
      <w:rFonts w:ascii="Times New Roman" w:eastAsia="Times New Roman" w:hAnsi="Times New Roman" w:cs="Arial"/>
      <w:noProof/>
      <w:color w:val="92D400"/>
      <w:sz w:val="42"/>
      <w:szCs w:val="20"/>
    </w:rPr>
  </w:style>
  <w:style w:type="character" w:customStyle="1" w:styleId="Heading3Char">
    <w:name w:val="Heading 3 Char"/>
    <w:basedOn w:val="DefaultParagraphFont"/>
    <w:link w:val="Heading3"/>
    <w:rsid w:val="00662A7F"/>
    <w:rPr>
      <w:rFonts w:ascii="Arial" w:eastAsia="Times New Roman" w:hAnsi="Arial" w:cs="Arial"/>
      <w:b/>
      <w:bCs/>
      <w:color w:val="00A1DE"/>
      <w:sz w:val="21"/>
      <w:szCs w:val="20"/>
    </w:rPr>
  </w:style>
  <w:style w:type="character" w:styleId="Hyperlink">
    <w:name w:val="Hyperlink"/>
    <w:rsid w:val="00662A7F"/>
    <w:rPr>
      <w:rFonts w:ascii="Arial" w:hAnsi="Arial"/>
      <w:b/>
      <w:color w:val="002776"/>
      <w:u w:val="none"/>
    </w:rPr>
  </w:style>
  <w:style w:type="paragraph" w:customStyle="1" w:styleId="LegaldividerLine">
    <w:name w:val="Legal divider Line"/>
    <w:basedOn w:val="Normal"/>
    <w:rsid w:val="00662A7F"/>
    <w:pPr>
      <w:pBdr>
        <w:bottom w:val="single" w:sz="6" w:space="1" w:color="auto"/>
      </w:pBdr>
      <w:spacing w:before="120"/>
    </w:pPr>
    <w:rPr>
      <w:rFonts w:cs="Times New Roman"/>
      <w:szCs w:val="20"/>
    </w:rPr>
  </w:style>
  <w:style w:type="paragraph" w:customStyle="1" w:styleId="Function">
    <w:name w:val="Function"/>
    <w:aliases w:val="Industry,Segment"/>
    <w:basedOn w:val="Normal"/>
    <w:semiHidden/>
    <w:rsid w:val="00662A7F"/>
    <w:rPr>
      <w:b/>
      <w:bCs/>
      <w:color w:val="808080"/>
      <w:sz w:val="17"/>
      <w:szCs w:val="20"/>
    </w:rPr>
  </w:style>
  <w:style w:type="paragraph" w:customStyle="1" w:styleId="Bulletlevel1">
    <w:name w:val="Bullet level 1"/>
    <w:basedOn w:val="Normal"/>
    <w:qFormat/>
    <w:rsid w:val="00662A7F"/>
    <w:pPr>
      <w:numPr>
        <w:numId w:val="1"/>
      </w:numPr>
      <w:spacing w:after="60"/>
    </w:pPr>
  </w:style>
  <w:style w:type="paragraph" w:customStyle="1" w:styleId="Legaltext">
    <w:name w:val="Legal text"/>
    <w:basedOn w:val="Normal"/>
    <w:rsid w:val="00662A7F"/>
    <w:pPr>
      <w:spacing w:before="240" w:after="240"/>
    </w:pPr>
    <w:rPr>
      <w:sz w:val="14"/>
    </w:rPr>
  </w:style>
  <w:style w:type="paragraph" w:customStyle="1" w:styleId="Legallinks">
    <w:name w:val="Legal links"/>
    <w:basedOn w:val="Normal"/>
    <w:rsid w:val="00662A7F"/>
    <w:pPr>
      <w:spacing w:before="240"/>
    </w:pPr>
  </w:style>
  <w:style w:type="paragraph" w:customStyle="1" w:styleId="Forinternaluseonly">
    <w:name w:val="For internal use only"/>
    <w:basedOn w:val="Normal"/>
    <w:uiPriority w:val="99"/>
    <w:rsid w:val="00662A7F"/>
    <w:pPr>
      <w:spacing w:before="100" w:beforeAutospacing="1" w:after="105"/>
    </w:pPr>
    <w:rPr>
      <w:rFonts w:ascii="Verdana" w:eastAsia="Calibri" w:hAnsi="Verdana" w:cs="Times New Roman"/>
      <w:b/>
      <w:bCs/>
      <w:color w:val="00006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oittenet.deloitte.com/WT/Tech/Support/Pages/MyHelpDesk.aspx" TargetMode="External"/><Relationship Id="rId13" Type="http://schemas.openxmlformats.org/officeDocument/2006/relationships/hyperlink" Target="http://www.deloitte.com/us/legal" TargetMode="External"/><Relationship Id="rId3" Type="http://schemas.openxmlformats.org/officeDocument/2006/relationships/settings" Target="settings.xml"/><Relationship Id="rId7" Type="http://schemas.openxmlformats.org/officeDocument/2006/relationships/hyperlink" Target="https://deloittenet.deloitte.com/WT/Tech/Support/Pages/APP_CCWF.aspx" TargetMode="External"/><Relationship Id="rId12" Type="http://schemas.openxmlformats.org/officeDocument/2006/relationships/hyperlink" Target="http://www.deloitte.com/us/secur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jpg@01D1D0BD.7BC1F480" TargetMode="External"/><Relationship Id="rId11" Type="http://schemas.openxmlformats.org/officeDocument/2006/relationships/hyperlink" Target="https://deloittenet.deloitte.com/WT/Tech/Pages/home.aspx"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eloittenet.deloitte.com/WT/Tech/Support/Pages/MyHelpDesk.aspx" TargetMode="External"/><Relationship Id="rId4" Type="http://schemas.openxmlformats.org/officeDocument/2006/relationships/webSettings" Target="webSettings.xml"/><Relationship Id="rId9" Type="http://schemas.openxmlformats.org/officeDocument/2006/relationships/hyperlink" Target="https://deloittenet.deloitte.com/WT/Tech/Support/Pages/APP_CCWF.aspx" TargetMode="External"/><Relationship Id="rId14" Type="http://schemas.openxmlformats.org/officeDocument/2006/relationships/hyperlink" Target="http://www.deloitte.com/u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2999</Characters>
  <Application>Microsoft Office Word</Application>
  <DocSecurity>0</DocSecurity>
  <Lines>24</Lines>
  <Paragraphs>7</Paragraphs>
  <ScaleCrop>false</ScaleCrop>
  <Company>Deloitte</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Gunnam, Ram Kumar</dc:creator>
  <cp:keywords/>
  <dc:description/>
  <cp:lastModifiedBy>Gunnam, Ram Kumar</cp:lastModifiedBy>
  <cp:revision>2</cp:revision>
  <dcterms:created xsi:type="dcterms:W3CDTF">2017-09-21T10:42:00Z</dcterms:created>
  <dcterms:modified xsi:type="dcterms:W3CDTF">2017-09-21T10:43:00Z</dcterms:modified>
</cp:coreProperties>
</file>