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0C7CC" w14:textId="791A5036" w:rsidR="00293E5B" w:rsidRDefault="00293E5B" w:rsidP="00293E5B">
      <w:pPr>
        <w:pStyle w:val="Default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64F5007" wp14:editId="0BBE03F3">
            <wp:extent cx="1914525" cy="438150"/>
            <wp:effectExtent l="0" t="0" r="9525" b="0"/>
            <wp:docPr id="3" name="Picture 3" descr="cid:image001.png@01D1FB53.E187B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FB53.E187B6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2880" w14:textId="77777777" w:rsidR="00293E5B" w:rsidRDefault="00293E5B" w:rsidP="00293E5B">
      <w:pPr>
        <w:pStyle w:val="Default"/>
        <w:rPr>
          <w:rFonts w:ascii="Times New Roman" w:hAnsi="Times New Roman" w:cs="Times New Roman"/>
          <w:b/>
        </w:rPr>
      </w:pPr>
    </w:p>
    <w:p w14:paraId="3551D017" w14:textId="77777777" w:rsidR="00293E5B" w:rsidRDefault="00293E5B" w:rsidP="00293E5B">
      <w:pPr>
        <w:pStyle w:val="Default"/>
        <w:rPr>
          <w:rFonts w:ascii="Times New Roman" w:hAnsi="Times New Roman" w:cs="Times New Roman"/>
          <w:b/>
        </w:rPr>
      </w:pPr>
    </w:p>
    <w:p w14:paraId="2F785822" w14:textId="58364715" w:rsidR="008E5D91" w:rsidRPr="00605AC4" w:rsidRDefault="008E5D91" w:rsidP="00293E5B">
      <w:pPr>
        <w:pStyle w:val="Default"/>
        <w:rPr>
          <w:rFonts w:ascii="Times New Roman" w:hAnsi="Times New Roman" w:cs="Times New Roman"/>
          <w:b/>
        </w:rPr>
      </w:pPr>
      <w:r w:rsidRPr="00605AC4">
        <w:rPr>
          <w:rFonts w:ascii="Times New Roman" w:hAnsi="Times New Roman" w:cs="Times New Roman"/>
          <w:b/>
        </w:rPr>
        <w:t>CERTIFICATION</w:t>
      </w:r>
      <w:r>
        <w:rPr>
          <w:rFonts w:ascii="Times New Roman" w:hAnsi="Times New Roman" w:cs="Times New Roman"/>
          <w:b/>
        </w:rPr>
        <w:t xml:space="preserve"> OF COMPLIANCE</w:t>
      </w:r>
    </w:p>
    <w:p w14:paraId="36D9E924" w14:textId="77777777" w:rsidR="008E5D91" w:rsidRPr="00605AC4" w:rsidRDefault="008E5D91" w:rsidP="008E5D91">
      <w:pPr>
        <w:pStyle w:val="Default"/>
        <w:rPr>
          <w:rFonts w:ascii="Times New Roman" w:hAnsi="Times New Roman" w:cs="Times New Roman"/>
        </w:rPr>
      </w:pPr>
    </w:p>
    <w:p w14:paraId="184C02A6" w14:textId="380CDB9C" w:rsidR="009D0803" w:rsidRDefault="008E5D91" w:rsidP="00601EF0">
      <w:r>
        <w:t xml:space="preserve">I </w:t>
      </w:r>
      <w:r w:rsidRPr="00605AC4">
        <w:t>hereby certify that</w:t>
      </w:r>
      <w:r>
        <w:t>,</w:t>
      </w:r>
      <w:r w:rsidRPr="00605AC4">
        <w:t xml:space="preserve"> as of </w:t>
      </w:r>
      <w:r>
        <w:t>today’s date</w:t>
      </w:r>
      <w:r w:rsidRPr="00605AC4">
        <w:t xml:space="preserve">, I have complied with my obligations </w:t>
      </w:r>
      <w:r>
        <w:t xml:space="preserve">in protecting Deloitte and client </w:t>
      </w:r>
      <w:hyperlink r:id="rId10" w:history="1">
        <w:r>
          <w:rPr>
            <w:rStyle w:val="Hyperlink"/>
          </w:rPr>
          <w:t>C</w:t>
        </w:r>
        <w:r w:rsidRPr="00365169">
          <w:rPr>
            <w:rStyle w:val="Hyperlink"/>
          </w:rPr>
          <w:t xml:space="preserve">onfidential </w:t>
        </w:r>
        <w:r>
          <w:rPr>
            <w:rStyle w:val="Hyperlink"/>
          </w:rPr>
          <w:t>I</w:t>
        </w:r>
        <w:r w:rsidRPr="00365169">
          <w:rPr>
            <w:rStyle w:val="Hyperlink"/>
          </w:rPr>
          <w:t>nformation</w:t>
        </w:r>
      </w:hyperlink>
      <w:r>
        <w:t>, including obligations</w:t>
      </w:r>
      <w:r w:rsidR="00601EF0">
        <w:t xml:space="preserve"> in</w:t>
      </w:r>
      <w:r w:rsidR="00601EF0" w:rsidRPr="00470D71">
        <w:t xml:space="preserve"> </w:t>
      </w:r>
      <w:hyperlink r:id="rId11" w:history="1">
        <w:r w:rsidR="00601EF0" w:rsidRPr="006E3CFE">
          <w:rPr>
            <w:rStyle w:val="Hyperlink"/>
          </w:rPr>
          <w:t>APR 223</w:t>
        </w:r>
      </w:hyperlink>
      <w:r w:rsidR="00601EF0" w:rsidRPr="00470D71">
        <w:t xml:space="preserve">, </w:t>
      </w:r>
      <w:hyperlink r:id="rId12" w:history="1">
        <w:r w:rsidR="00601EF0" w:rsidRPr="006E3CFE">
          <w:rPr>
            <w:rStyle w:val="Hyperlink"/>
          </w:rPr>
          <w:t>APR 208</w:t>
        </w:r>
      </w:hyperlink>
      <w:r w:rsidR="00601EF0">
        <w:t>, and any other agreements I</w:t>
      </w:r>
      <w:r w:rsidR="00601EF0" w:rsidRPr="00470D71">
        <w:t xml:space="preserve"> may have executed relating to </w:t>
      </w:r>
      <w:r w:rsidR="00601EF0">
        <w:t>D</w:t>
      </w:r>
      <w:r w:rsidR="00601EF0" w:rsidRPr="00470D71">
        <w:t xml:space="preserve">eloitte </w:t>
      </w:r>
      <w:r w:rsidR="00601EF0">
        <w:t>P</w:t>
      </w:r>
      <w:r w:rsidR="00601EF0" w:rsidRPr="00470D71">
        <w:t xml:space="preserve">roperty, </w:t>
      </w:r>
      <w:r w:rsidR="00601EF0">
        <w:t>I</w:t>
      </w:r>
      <w:r w:rsidR="00601EF0" w:rsidRPr="00470D71">
        <w:t xml:space="preserve">ntellectual </w:t>
      </w:r>
      <w:r w:rsidR="00601EF0">
        <w:t>P</w:t>
      </w:r>
      <w:r w:rsidR="00601EF0" w:rsidRPr="00470D71">
        <w:t>roper</w:t>
      </w:r>
      <w:r w:rsidR="00601EF0">
        <w:t>ty, or Confidential Information</w:t>
      </w:r>
      <w:r w:rsidR="00022D92">
        <w:t xml:space="preserve"> as those terms are defined in APR 223 and APR 208</w:t>
      </w:r>
      <w:r w:rsidR="00601EF0">
        <w:t xml:space="preserve">. </w:t>
      </w:r>
      <w:r>
        <w:t xml:space="preserve"> </w:t>
      </w:r>
    </w:p>
    <w:p w14:paraId="2849E018" w14:textId="11D5B7C0" w:rsidR="009D0803" w:rsidRDefault="006E3CFE" w:rsidP="00F5430C">
      <w:r w:rsidRPr="006E3CFE">
        <w:t>I understand that</w:t>
      </w:r>
      <w:r>
        <w:rPr>
          <w:rStyle w:val="CommentReference"/>
        </w:rPr>
        <w:t xml:space="preserve"> </w:t>
      </w:r>
      <w:r>
        <w:t>e</w:t>
      </w:r>
      <w:r w:rsidR="009D0803">
        <w:t xml:space="preserve">xamples of materials </w:t>
      </w:r>
      <w:r>
        <w:t xml:space="preserve">I </w:t>
      </w:r>
      <w:r w:rsidR="009D0803" w:rsidRPr="00F34750">
        <w:rPr>
          <w:b/>
          <w:u w:val="single"/>
        </w:rPr>
        <w:t>cannot</w:t>
      </w:r>
      <w:r w:rsidR="009D0803">
        <w:t xml:space="preserve"> take include but are not limited to: </w:t>
      </w:r>
      <w:r w:rsidR="00470D71">
        <w:t xml:space="preserve">Deloitte or </w:t>
      </w:r>
      <w:r w:rsidR="009D0803">
        <w:t xml:space="preserve">client </w:t>
      </w:r>
      <w:r w:rsidR="00F34750">
        <w:t>C</w:t>
      </w:r>
      <w:r w:rsidR="009D0803">
        <w:t>onfidential</w:t>
      </w:r>
      <w:r w:rsidR="00365169">
        <w:t xml:space="preserve"> </w:t>
      </w:r>
      <w:r w:rsidR="00F34750">
        <w:t>I</w:t>
      </w:r>
      <w:r w:rsidR="009D0803">
        <w:t>nformation, products, software, Deloitte timesaver icons, training, infographics, proposals, templates, presentations, notes, methodologies, and deliverables</w:t>
      </w:r>
      <w:r w:rsidR="004C18F8">
        <w:t>, regardless of whether I participated in their creation.</w:t>
      </w:r>
    </w:p>
    <w:p w14:paraId="7B9268EF" w14:textId="2045677D" w:rsidR="00F5430C" w:rsidRDefault="006E3CFE" w:rsidP="00F5430C">
      <w:r>
        <w:t>I understand that e</w:t>
      </w:r>
      <w:r w:rsidR="009D0803">
        <w:t xml:space="preserve">xamples of materials </w:t>
      </w:r>
      <w:r>
        <w:t xml:space="preserve">I </w:t>
      </w:r>
      <w:r w:rsidR="009D0803" w:rsidRPr="00F34750">
        <w:rPr>
          <w:b/>
          <w:u w:val="single"/>
        </w:rPr>
        <w:t>can</w:t>
      </w:r>
      <w:r w:rsidR="009D0803">
        <w:t xml:space="preserve"> take </w:t>
      </w:r>
      <w:proofErr w:type="gramStart"/>
      <w:r w:rsidR="009D0803">
        <w:t>include:</w:t>
      </w:r>
      <w:proofErr w:type="gramEnd"/>
      <w:r w:rsidR="009D0803">
        <w:t xml:space="preserve"> </w:t>
      </w:r>
      <w:r w:rsidR="00C7010E">
        <w:t xml:space="preserve"> </w:t>
      </w:r>
      <w:r w:rsidR="009D0803">
        <w:t xml:space="preserve">personal data outside the scope of </w:t>
      </w:r>
      <w:r>
        <w:t xml:space="preserve">my </w:t>
      </w:r>
      <w:r w:rsidR="009D0803">
        <w:t>work for Deloitte, personal pictures,</w:t>
      </w:r>
      <w:r w:rsidR="00470D71">
        <w:t xml:space="preserve"> </w:t>
      </w:r>
      <w:r>
        <w:t xml:space="preserve">my </w:t>
      </w:r>
      <w:r w:rsidR="009D0803">
        <w:t xml:space="preserve">W-2 and personal tax forms, and </w:t>
      </w:r>
      <w:r>
        <w:t xml:space="preserve">my </w:t>
      </w:r>
      <w:r w:rsidR="009D0803">
        <w:t>personal resume.</w:t>
      </w:r>
    </w:p>
    <w:p w14:paraId="59E6261D" w14:textId="77777777" w:rsidR="00293E5B" w:rsidRDefault="00293E5B" w:rsidP="00293E5B">
      <w:pPr>
        <w:pStyle w:val="Default"/>
        <w:rPr>
          <w:rFonts w:ascii="Times New Roman" w:hAnsi="Times New Roman" w:cs="Times New Roman"/>
          <w:b/>
        </w:rPr>
      </w:pPr>
    </w:p>
    <w:p w14:paraId="2B19510D" w14:textId="659D2D77" w:rsidR="006E3CFE" w:rsidRDefault="006E3CFE" w:rsidP="00293E5B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ADDITIONAL</w:t>
      </w:r>
      <w:r w:rsidRPr="006E3CFE">
        <w:rPr>
          <w:rFonts w:ascii="Times New Roman" w:hAnsi="Times New Roman" w:cs="Times New Roman"/>
          <w:b/>
        </w:rPr>
        <w:t xml:space="preserve"> INFORMATION</w:t>
      </w:r>
    </w:p>
    <w:p w14:paraId="3DA506C2" w14:textId="77777777" w:rsidR="006E3CFE" w:rsidRPr="006E3CFE" w:rsidRDefault="006E3CFE" w:rsidP="006E3CFE">
      <w:pPr>
        <w:pStyle w:val="Default"/>
        <w:jc w:val="center"/>
        <w:rPr>
          <w:rFonts w:ascii="Times New Roman" w:hAnsi="Times New Roman" w:cs="Times New Roman"/>
          <w:b/>
        </w:rPr>
      </w:pPr>
    </w:p>
    <w:p w14:paraId="77C60E7D" w14:textId="16A72636" w:rsidR="0056089B" w:rsidRPr="0056089B" w:rsidRDefault="00470D71" w:rsidP="0056089B">
      <w:r>
        <w:t>In connection with your separation, y</w:t>
      </w:r>
      <w:r w:rsidR="0056089B" w:rsidRPr="0056089B">
        <w:t>ou are</w:t>
      </w:r>
      <w:r>
        <w:t xml:space="preserve"> </w:t>
      </w:r>
      <w:r w:rsidR="0056089B" w:rsidRPr="0056089B">
        <w:t>required</w:t>
      </w:r>
      <w:r w:rsidRPr="00470D71">
        <w:t xml:space="preserve"> </w:t>
      </w:r>
      <w:r>
        <w:t>to disclose whether you moved</w:t>
      </w:r>
      <w:r w:rsidR="0056089B" w:rsidRPr="0056089B">
        <w:t xml:space="preserve"> </w:t>
      </w:r>
      <w:r w:rsidR="00F34750">
        <w:t>C</w:t>
      </w:r>
      <w:r w:rsidR="0056089B" w:rsidRPr="0056089B">
        <w:t xml:space="preserve">onfidential </w:t>
      </w:r>
      <w:r w:rsidR="00F34750">
        <w:t>I</w:t>
      </w:r>
      <w:r w:rsidR="0056089B" w:rsidRPr="0056089B">
        <w:t xml:space="preserve">nformation </w:t>
      </w:r>
      <w:r>
        <w:t>from</w:t>
      </w:r>
      <w:r w:rsidR="0056089B" w:rsidRPr="0056089B">
        <w:t xml:space="preserve"> the Deloitte network to any personal email accounts, cloud sites, devices or other locations. </w:t>
      </w:r>
      <w:r w:rsidR="00E5776E" w:rsidRPr="0035162C">
        <w:rPr>
          <w:iCs/>
        </w:rPr>
        <w:t>As a reminder,</w:t>
      </w:r>
      <w:r w:rsidR="00C7010E">
        <w:rPr>
          <w:iCs/>
        </w:rPr>
        <w:t xml:space="preserve"> Deloitte’s</w:t>
      </w:r>
      <w:r w:rsidR="00E5776E" w:rsidRPr="0035162C">
        <w:rPr>
          <w:iCs/>
        </w:rPr>
        <w:t xml:space="preserve"> Insider Threat Program is monitoring the movement of data </w:t>
      </w:r>
      <w:proofErr w:type="gramStart"/>
      <w:r w:rsidR="00E5776E" w:rsidRPr="0035162C">
        <w:rPr>
          <w:iCs/>
        </w:rPr>
        <w:t>off of</w:t>
      </w:r>
      <w:proofErr w:type="gramEnd"/>
      <w:r w:rsidR="00E5776E" w:rsidRPr="0035162C">
        <w:rPr>
          <w:iCs/>
        </w:rPr>
        <w:t xml:space="preserve"> the network.  </w:t>
      </w:r>
      <w:r>
        <w:rPr>
          <w:iCs/>
        </w:rPr>
        <w:t>Should we determine that you moved</w:t>
      </w:r>
      <w:r w:rsidR="00365169">
        <w:rPr>
          <w:iCs/>
        </w:rPr>
        <w:t xml:space="preserve"> </w:t>
      </w:r>
      <w:r w:rsidR="00F34750">
        <w:rPr>
          <w:iCs/>
        </w:rPr>
        <w:t>C</w:t>
      </w:r>
      <w:r w:rsidR="00365169">
        <w:rPr>
          <w:iCs/>
        </w:rPr>
        <w:t xml:space="preserve">onfidential </w:t>
      </w:r>
      <w:r w:rsidR="00F34750">
        <w:rPr>
          <w:iCs/>
        </w:rPr>
        <w:t>I</w:t>
      </w:r>
      <w:r w:rsidR="00365169">
        <w:rPr>
          <w:iCs/>
        </w:rPr>
        <w:t>nformation</w:t>
      </w:r>
      <w:r>
        <w:rPr>
          <w:iCs/>
        </w:rPr>
        <w:t xml:space="preserve"> and failed to report it, </w:t>
      </w:r>
      <w:r>
        <w:t>we</w:t>
      </w:r>
      <w:r w:rsidR="0056089B" w:rsidRPr="0056089B">
        <w:t xml:space="preserve"> may take</w:t>
      </w:r>
      <w:r>
        <w:t xml:space="preserve"> further</w:t>
      </w:r>
      <w:r w:rsidR="0056089B" w:rsidRPr="0056089B">
        <w:t xml:space="preserve"> action</w:t>
      </w:r>
      <w:r>
        <w:t xml:space="preserve">. </w:t>
      </w:r>
    </w:p>
    <w:p w14:paraId="6E777FB4" w14:textId="71B93E31" w:rsidR="00697A9E" w:rsidRDefault="004C18F8" w:rsidP="0056089B">
      <w:r>
        <w:t xml:space="preserve">While employed by Deloitte, </w:t>
      </w:r>
      <w:proofErr w:type="gramStart"/>
      <w:r>
        <w:t>and also</w:t>
      </w:r>
      <w:proofErr w:type="gramEnd"/>
      <w:r>
        <w:t xml:space="preserve"> after your employment has ended, you have continuing obligations with respect to Deloitte and client Confidential Information. </w:t>
      </w:r>
      <w:r w:rsidR="00470D71">
        <w:t>Both during and after your employment,</w:t>
      </w:r>
      <w:r w:rsidR="00470D71" w:rsidRPr="00F34750">
        <w:t xml:space="preserve"> Deloitte may inspect</w:t>
      </w:r>
      <w:r w:rsidR="00B2326C">
        <w:t xml:space="preserve"> your personal or home computers, as well as your portable storage devices, in order to remove any </w:t>
      </w:r>
      <w:r w:rsidR="00D76462">
        <w:t xml:space="preserve">such </w:t>
      </w:r>
      <w:r w:rsidR="00F34750">
        <w:t>C</w:t>
      </w:r>
      <w:r w:rsidR="00B2326C">
        <w:t xml:space="preserve">onfidential </w:t>
      </w:r>
      <w:r w:rsidR="00F34750">
        <w:t>I</w:t>
      </w:r>
      <w:r w:rsidR="00B2326C">
        <w:t>nformation. This includes your personal email account, online sharing portals, portable or external storage devices, and any</w:t>
      </w:r>
      <w:r w:rsidR="00470D71">
        <w:t xml:space="preserve"> other</w:t>
      </w:r>
      <w:r w:rsidR="00B2326C">
        <w:t xml:space="preserve"> </w:t>
      </w:r>
      <w:r w:rsidR="00470D71" w:rsidRPr="00470D71">
        <w:t>location capable of storing electronic data</w:t>
      </w:r>
      <w:r w:rsidR="00B2326C">
        <w:t xml:space="preserve">. </w:t>
      </w:r>
    </w:p>
    <w:p w14:paraId="6A93E485" w14:textId="72D06F0A" w:rsidR="003020C9" w:rsidRDefault="003020C9" w:rsidP="0056089B"/>
    <w:p w14:paraId="4140C606" w14:textId="0A01A4BE" w:rsidR="003020C9" w:rsidRPr="002E1007" w:rsidRDefault="003020C9" w:rsidP="0056089B">
      <w:r>
        <w:t>____________________________</w:t>
      </w:r>
      <w:bookmarkStart w:id="0" w:name="_GoBack"/>
      <w:bookmarkEnd w:id="0"/>
    </w:p>
    <w:p w14:paraId="58782A81" w14:textId="77777777" w:rsidR="00AA2586" w:rsidRDefault="00AA2586" w:rsidP="00AA2586"/>
    <w:p w14:paraId="15037ECB" w14:textId="77777777" w:rsidR="00AA2586" w:rsidRPr="00CB1E39" w:rsidRDefault="00AA2586" w:rsidP="00AA2586">
      <w:r>
        <w:t xml:space="preserve"> </w:t>
      </w:r>
    </w:p>
    <w:p w14:paraId="4223E2C0" w14:textId="77777777" w:rsidR="001C5123" w:rsidRDefault="001C5123"/>
    <w:sectPr w:rsidR="001C512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0C145" w14:textId="77777777" w:rsidR="00456137" w:rsidRDefault="00456137">
      <w:pPr>
        <w:spacing w:after="0" w:line="240" w:lineRule="auto"/>
      </w:pPr>
      <w:r>
        <w:separator/>
      </w:r>
    </w:p>
  </w:endnote>
  <w:endnote w:type="continuationSeparator" w:id="0">
    <w:p w14:paraId="08DB9836" w14:textId="77777777" w:rsidR="00456137" w:rsidRDefault="0045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6863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346A5C" w14:textId="40977129" w:rsidR="00381D71" w:rsidRPr="000D7A3D" w:rsidRDefault="000D7A3D" w:rsidP="000D7A3D">
        <w:pPr>
          <w:pStyle w:val="Footer"/>
          <w:pBdr>
            <w:top w:val="single" w:sz="4" w:space="1" w:color="auto"/>
          </w:pBdr>
        </w:pPr>
        <w:r w:rsidRPr="000D7A3D">
          <w:t xml:space="preserve">Page: </w:t>
        </w:r>
        <w:r w:rsidR="00AA2586" w:rsidRPr="000D7A3D">
          <w:fldChar w:fldCharType="begin"/>
        </w:r>
        <w:r w:rsidR="00AA2586" w:rsidRPr="000D7A3D">
          <w:instrText xml:space="preserve"> PAGE   \* MERGEFORMAT </w:instrText>
        </w:r>
        <w:r w:rsidR="00AA2586" w:rsidRPr="000D7A3D">
          <w:fldChar w:fldCharType="separate"/>
        </w:r>
        <w:r w:rsidR="003020C9">
          <w:rPr>
            <w:noProof/>
          </w:rPr>
          <w:t>1</w:t>
        </w:r>
        <w:r w:rsidR="00AA2586" w:rsidRPr="000D7A3D">
          <w:rPr>
            <w:noProof/>
          </w:rPr>
          <w:fldChar w:fldCharType="end"/>
        </w:r>
        <w:r w:rsidR="00AA2586" w:rsidRPr="000D7A3D">
          <w:rPr>
            <w:noProof/>
          </w:rPr>
          <w:tab/>
        </w:r>
        <w:r w:rsidRPr="000D7A3D">
          <w:rPr>
            <w:noProof/>
          </w:rPr>
          <w:tab/>
          <w:t>Internal Use-Only</w:t>
        </w:r>
      </w:p>
    </w:sdtContent>
  </w:sdt>
  <w:p w14:paraId="3AE11214" w14:textId="7F5AFC3F" w:rsidR="00381D71" w:rsidRPr="000D7A3D" w:rsidRDefault="00916415" w:rsidP="000D7A3D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01667A" wp14:editId="24C53F8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0d74906b9c77ae72eb3510e" descr="{&quot;HashCode&quot;:-83293544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22AC0E" w14:textId="77777777" w:rsidR="00916415" w:rsidRPr="0035162C" w:rsidRDefault="00916415" w:rsidP="0035162C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  <w:r w:rsidRPr="0035162C"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01667A" id="_x0000_t202" coordsize="21600,21600" o:spt="202" path="m,l,21600r21600,l21600,xe">
              <v:stroke joinstyle="miter"/>
              <v:path gradientshapeok="t" o:connecttype="rect"/>
            </v:shapetype>
            <v:shape id="MSIPCM20d74906b9c77ae72eb3510e" o:spid="_x0000_s1026" type="#_x0000_t202" alt="{&quot;HashCode&quot;:-832935442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xilbQMAAEgHAAAOAAAAZHJzL2Uyb0RvYy54bWysVUtv4zYQvhfofxB06KmOHlasyI2zSBy4&#10;DeDdNeoUOdMUFRErkVqSjuUu9r/3I0U5j91Dt+hFGs6L8/hmePmub5vgiSnNpViEyVkcBkxQWXLx&#10;uAj/ul9NLsJAGyJK0kjBFuGR6fDd1c8/XR66OUtlLZuSqQBOhJ4fukVYG9PNo0jTmrVEn8mOCQgr&#10;qVpicFSPUanIAd7bJkrjeBYdpCo7JSnTGtzbQRheOf9Vxaj5WFWamaBZhIjNuK9y3539RleXZP6o&#10;SFdz6sMg/yGKlnCBS0+ubokhwV7xb1y1nCqpZWXOqGwjWVWcMpcDskniN9lsa9IxlwuKo7tTmfT/&#10;55Z+eNqogJfoXRgI0qJF77d3m+X7NC7zrIhnu4LmOWF5ynbT8yRmYVAyTVHBL7983kvz2x9E10tZ&#10;suE0n1xM02J6nmXpr17O+GNtvDQv0rPYCx54aWrPnyXP/E1DKGuZGG0GlZWUhqmB9g7uRMl672D4&#10;bRRviTq+0toCAsCm10u87b3sPCc+BbRm1XgnmF8tNA6dnqNC2w41Mv2N7G2ZPF+DaTveV6q1f/Qy&#10;gBwgO56AxXoTUDDzPE+zGCIKWZpP43OHvOjZulPa/M5kG1hiESpE7fBEntba4Eaojir2MiFXvGkc&#10;eBsRHBbhbAqXrySwaITlMDcGgxucegPS8RGcg+iXIkF0N2kxWc0u8km2ys4nRR5fTOKkuClmcVZk&#10;t6uv1nuSzWtelkysuWDjuCTZv4OjH9wB6G5gXgWuZcNLm5WNzea6bFTwRDC3OyDiky07UnqhFb0O&#10;x4mR3fh3WUa2g0OnHGWODbP+G/EnqwB71zDLcAuHna4klAKBrteujtC2WhXC+xFDr29Nhy78iPHJ&#10;wt0shTkZt1xI5br9Juzy0xhyNeijGC/ytqTpd71H8E6WRwBbSQAO2NQdXXHUfU202RCFNQgmVrv5&#10;iE/VSKBMeioMaqn+/h7f6gMOkIbBAWt1EerPe6KwNpo7gb2VnmMO4Ne4EwjliCLJMhx2I1fs26VE&#10;67GUEJYjra5pRrJSsn3A6r+210FEBMWlwMpILg1OEODpoOz62tFYuR0xa7HtqHVt62qBdt8/ENX5&#10;yTOA0Ac5bl4yfzOAg661FPJ6b2TF3XTayg7l9BXHunZA9E+LfQ9enp3W8wN49Q8A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wtcYpW0DAABIBwAADgAAAAAAAAAAAAAAAAAuAgAAZHJzL2Uyb0RvYy54bWxQSwECLQAUAAYA&#10;CAAAACEAGAVA3N4AAAALAQAADwAAAAAAAAAAAAAAAADHBQAAZHJzL2Rvd25yZXYueG1sUEsFBgAA&#10;AAAEAAQA8wAAANIGAAAAAA==&#10;" o:allowincell="f" filled="f" stroked="f" strokeweight=".5pt">
              <v:textbox inset="20pt,0,,0">
                <w:txbxContent>
                  <w:p w14:paraId="3E22AC0E" w14:textId="77777777" w:rsidR="00916415" w:rsidRPr="0035162C" w:rsidRDefault="00916415" w:rsidP="0035162C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  <w:r w:rsidRPr="0035162C">
                      <w:rPr>
                        <w:rFonts w:ascii="Calibri" w:hAnsi="Calibri"/>
                        <w:color w:val="000000"/>
                        <w:sz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D7A3D" w:rsidRPr="000D7A3D">
      <w:rPr>
        <w:noProof/>
      </w:rPr>
      <w:tab/>
    </w:r>
    <w:r w:rsidR="000D7A3D" w:rsidRPr="000D7A3D">
      <w:rPr>
        <w:noProof/>
      </w:rPr>
      <w:tab/>
      <w:t xml:space="preserve">Confidential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441B2" w14:textId="77777777" w:rsidR="00456137" w:rsidRDefault="00456137">
      <w:pPr>
        <w:spacing w:after="0" w:line="240" w:lineRule="auto"/>
      </w:pPr>
      <w:r>
        <w:separator/>
      </w:r>
    </w:p>
  </w:footnote>
  <w:footnote w:type="continuationSeparator" w:id="0">
    <w:p w14:paraId="1D4D3FFF" w14:textId="77777777" w:rsidR="00456137" w:rsidRDefault="00456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2DDE"/>
    <w:multiLevelType w:val="hybridMultilevel"/>
    <w:tmpl w:val="B5DC2A7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946024B"/>
    <w:multiLevelType w:val="hybridMultilevel"/>
    <w:tmpl w:val="50006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53C9A"/>
    <w:multiLevelType w:val="hybridMultilevel"/>
    <w:tmpl w:val="F76C8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46ED5"/>
    <w:multiLevelType w:val="hybridMultilevel"/>
    <w:tmpl w:val="7B5E6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03587"/>
    <w:multiLevelType w:val="hybridMultilevel"/>
    <w:tmpl w:val="598A80A0"/>
    <w:lvl w:ilvl="0" w:tplc="95BAA66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B6474"/>
    <w:multiLevelType w:val="hybridMultilevel"/>
    <w:tmpl w:val="DE9EF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21AE1"/>
    <w:multiLevelType w:val="hybridMultilevel"/>
    <w:tmpl w:val="A204E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8B1E3F"/>
    <w:multiLevelType w:val="hybridMultilevel"/>
    <w:tmpl w:val="2886E8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D4C1E87"/>
    <w:multiLevelType w:val="hybridMultilevel"/>
    <w:tmpl w:val="9DBCA42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D8D7154"/>
    <w:multiLevelType w:val="hybridMultilevel"/>
    <w:tmpl w:val="F16A0B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50B5C"/>
    <w:multiLevelType w:val="hybridMultilevel"/>
    <w:tmpl w:val="97CAC9B2"/>
    <w:lvl w:ilvl="0" w:tplc="34D2B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485A75"/>
    <w:multiLevelType w:val="hybridMultilevel"/>
    <w:tmpl w:val="15547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8615D"/>
    <w:multiLevelType w:val="hybridMultilevel"/>
    <w:tmpl w:val="45AC536C"/>
    <w:lvl w:ilvl="0" w:tplc="479EFF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4B0A61"/>
    <w:multiLevelType w:val="hybridMultilevel"/>
    <w:tmpl w:val="ADF6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  <w:num w:numId="11">
    <w:abstractNumId w:val="7"/>
  </w:num>
  <w:num w:numId="12">
    <w:abstractNumId w:val="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86"/>
    <w:rsid w:val="00022D92"/>
    <w:rsid w:val="000734A8"/>
    <w:rsid w:val="000D0949"/>
    <w:rsid w:val="000D7A3D"/>
    <w:rsid w:val="00135367"/>
    <w:rsid w:val="001837D6"/>
    <w:rsid w:val="001C5123"/>
    <w:rsid w:val="001D050E"/>
    <w:rsid w:val="00290A21"/>
    <w:rsid w:val="00293E5B"/>
    <w:rsid w:val="002B5CFF"/>
    <w:rsid w:val="002C4D29"/>
    <w:rsid w:val="003020C9"/>
    <w:rsid w:val="00350224"/>
    <w:rsid w:val="0035162C"/>
    <w:rsid w:val="00365169"/>
    <w:rsid w:val="003F3C30"/>
    <w:rsid w:val="004201A5"/>
    <w:rsid w:val="00456137"/>
    <w:rsid w:val="00470D71"/>
    <w:rsid w:val="004A164F"/>
    <w:rsid w:val="004C18F8"/>
    <w:rsid w:val="00552240"/>
    <w:rsid w:val="0056089B"/>
    <w:rsid w:val="00601EF0"/>
    <w:rsid w:val="00644686"/>
    <w:rsid w:val="00697A9E"/>
    <w:rsid w:val="006E3CFE"/>
    <w:rsid w:val="00734381"/>
    <w:rsid w:val="007B4BEE"/>
    <w:rsid w:val="0085509B"/>
    <w:rsid w:val="00883CC9"/>
    <w:rsid w:val="008C4DC2"/>
    <w:rsid w:val="008D734D"/>
    <w:rsid w:val="008E5D91"/>
    <w:rsid w:val="00916415"/>
    <w:rsid w:val="00971532"/>
    <w:rsid w:val="00985A4D"/>
    <w:rsid w:val="009B31F7"/>
    <w:rsid w:val="009D0803"/>
    <w:rsid w:val="00A411B1"/>
    <w:rsid w:val="00A46A6F"/>
    <w:rsid w:val="00AA2586"/>
    <w:rsid w:val="00B2326C"/>
    <w:rsid w:val="00B46965"/>
    <w:rsid w:val="00B5557D"/>
    <w:rsid w:val="00B60231"/>
    <w:rsid w:val="00BE3479"/>
    <w:rsid w:val="00BF2897"/>
    <w:rsid w:val="00C53B2C"/>
    <w:rsid w:val="00C7010E"/>
    <w:rsid w:val="00CE2C68"/>
    <w:rsid w:val="00D57F17"/>
    <w:rsid w:val="00D76462"/>
    <w:rsid w:val="00DB0018"/>
    <w:rsid w:val="00DE3D66"/>
    <w:rsid w:val="00E1583E"/>
    <w:rsid w:val="00E5776E"/>
    <w:rsid w:val="00EA635F"/>
    <w:rsid w:val="00F00E42"/>
    <w:rsid w:val="00F34750"/>
    <w:rsid w:val="00F439CF"/>
    <w:rsid w:val="00F5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B13CE9"/>
  <w15:chartTrackingRefBased/>
  <w15:docId w15:val="{9B747B39-9053-4C4F-AF67-9F659C71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58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A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586"/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D7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A3D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855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5509B"/>
    <w:rPr>
      <w:rFonts w:ascii="Segoe UI" w:eastAsiaTheme="minorHAns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430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5430C"/>
    <w:rPr>
      <w:i/>
      <w:iCs/>
    </w:rPr>
  </w:style>
  <w:style w:type="table" w:styleId="TableGrid">
    <w:name w:val="Table Grid"/>
    <w:basedOn w:val="TableNormal"/>
    <w:rsid w:val="00F54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4201A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01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201A5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rsid w:val="00420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201A5"/>
    <w:rPr>
      <w:rFonts w:asciiTheme="minorHAnsi" w:eastAsiaTheme="minorHAnsi" w:hAnsiTheme="minorHAnsi" w:cstheme="minorBidi"/>
      <w:b/>
      <w:bCs/>
    </w:rPr>
  </w:style>
  <w:style w:type="paragraph" w:styleId="Revision">
    <w:name w:val="Revision"/>
    <w:hidden/>
    <w:uiPriority w:val="99"/>
    <w:semiHidden/>
    <w:rsid w:val="00365169"/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8E5D91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loittenet.deloitte.com/About/Policies/Admin/Pages/208_ElectronicCommunications_US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loittenet.deloitte.com/About/Policies/Admin/Pages/223_ConfidentialInformationOtherVitalBusinessInterests_US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loittenet.deloitte.com/About/Policies/Admin/Pages/223_ConfidentialInformationOtherVitalBusinessInterests_US.aspx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png@01D1FB53.E187B64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27962-2FBD-4FF7-840B-4B4513F7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Longo, Meredith</dc:creator>
  <cp:keywords/>
  <dc:description/>
  <cp:lastModifiedBy>Pisciotta, Kathryn</cp:lastModifiedBy>
  <cp:revision>2</cp:revision>
  <dcterms:created xsi:type="dcterms:W3CDTF">2017-10-09T15:47:00Z</dcterms:created>
  <dcterms:modified xsi:type="dcterms:W3CDTF">2017-10-09T15:47:00Z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4f673-923e-4cdb-8bf1-dfcce5b5c514_Enabled">
    <vt:lpwstr>True</vt:lpwstr>
  </property>
  <property fmtid="{D5CDD505-2E9C-101B-9397-08002B2CF9AE}" pid="3" name="MSIP_Label_b244f673-923e-4cdb-8bf1-dfcce5b5c514_SiteId">
    <vt:lpwstr>36da45f1-dd2c-4d1f-af13-5abe46b99921</vt:lpwstr>
  </property>
  <property fmtid="{D5CDD505-2E9C-101B-9397-08002B2CF9AE}" pid="4" name="MSIP_Label_b244f673-923e-4cdb-8bf1-dfcce5b5c514_Ref">
    <vt:lpwstr>https://api.informationprotection.azure.com/api/36da45f1-dd2c-4d1f-af13-5abe46b99921</vt:lpwstr>
  </property>
  <property fmtid="{D5CDD505-2E9C-101B-9397-08002B2CF9AE}" pid="5" name="MSIP_Label_b244f673-923e-4cdb-8bf1-dfcce5b5c514_SetBy">
    <vt:lpwstr>emurtha@deloitte.com</vt:lpwstr>
  </property>
  <property fmtid="{D5CDD505-2E9C-101B-9397-08002B2CF9AE}" pid="6" name="MSIP_Label_b244f673-923e-4cdb-8bf1-dfcce5b5c514_SetDate">
    <vt:lpwstr>2017-08-17T17:11:17.0628469-04:00</vt:lpwstr>
  </property>
  <property fmtid="{D5CDD505-2E9C-101B-9397-08002B2CF9AE}" pid="7" name="MSIP_Label_b244f673-923e-4cdb-8bf1-dfcce5b5c514_Name">
    <vt:lpwstr>Confidential</vt:lpwstr>
  </property>
  <property fmtid="{D5CDD505-2E9C-101B-9397-08002B2CF9AE}" pid="8" name="MSIP_Label_b244f673-923e-4cdb-8bf1-dfcce5b5c514_Application">
    <vt:lpwstr>Microsoft Azure Information Protection</vt:lpwstr>
  </property>
  <property fmtid="{D5CDD505-2E9C-101B-9397-08002B2CF9AE}" pid="9" name="MSIP_Label_b244f673-923e-4cdb-8bf1-dfcce5b5c514_Extended_MSFT_Method">
    <vt:lpwstr>Automatic</vt:lpwstr>
  </property>
  <property fmtid="{D5CDD505-2E9C-101B-9397-08002B2CF9AE}" pid="10" name="Sensitivity">
    <vt:lpwstr>Confidential</vt:lpwstr>
  </property>
</Properties>
</file>