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pPr>
      <w:bookmarkStart w:id="29" w:name="_GoBack"/>
      <w:bookmarkEnd w:id="29"/>
      <w:r>
        <w:t>采购</w:t>
      </w:r>
      <w:r>
        <w:rPr>
          <w:rFonts w:hint="eastAsia"/>
        </w:rPr>
        <w:t>需求策划</w:t>
      </w:r>
      <w:r>
        <w:t>方案</w:t>
      </w:r>
    </w:p>
    <w:p>
      <w:pPr>
        <w:tabs>
          <w:tab w:val="left" w:pos="5445"/>
        </w:tabs>
        <w:ind w:firstLine="703" w:firstLineChars="250"/>
        <w:rPr>
          <w:rFonts w:ascii="宋体" w:hAnsi="宋体"/>
          <w:b/>
          <w:sz w:val="32"/>
          <w:szCs w:val="32"/>
        </w:rPr>
      </w:pPr>
      <w:r>
        <w:rPr>
          <w:rFonts w:hint="eastAsia" w:ascii="仿宋" w:hAnsi="仿宋" w:eastAsia="仿宋" w:cs="仿宋"/>
          <w:b/>
          <w:bCs/>
          <w:sz w:val="28"/>
          <w:szCs w:val="28"/>
        </w:rPr>
        <w:t>采购需求</w:t>
      </w:r>
      <w:r>
        <w:rPr>
          <w:rFonts w:ascii="仿宋" w:hAnsi="仿宋" w:eastAsia="仿宋" w:cs="仿宋"/>
          <w:b/>
          <w:bCs/>
          <w:sz w:val="28"/>
          <w:szCs w:val="28"/>
        </w:rPr>
        <w:t>方案</w:t>
      </w:r>
      <w:r>
        <w:rPr>
          <w:rFonts w:hint="eastAsia" w:ascii="仿宋" w:hAnsi="仿宋" w:eastAsia="仿宋" w:cs="仿宋"/>
          <w:b/>
          <w:bCs/>
          <w:sz w:val="28"/>
          <w:szCs w:val="28"/>
        </w:rPr>
        <w:t>一般包括但不限于项目概况、资格条件、控制价编制</w:t>
      </w:r>
      <w:r>
        <w:rPr>
          <w:rFonts w:ascii="仿宋" w:hAnsi="仿宋" w:eastAsia="仿宋" w:cs="仿宋"/>
          <w:b/>
          <w:bCs/>
          <w:sz w:val="28"/>
          <w:szCs w:val="28"/>
        </w:rPr>
        <w:t>说明</w:t>
      </w:r>
      <w:r>
        <w:rPr>
          <w:rFonts w:hint="eastAsia" w:ascii="仿宋" w:hAnsi="仿宋" w:eastAsia="仿宋" w:cs="仿宋"/>
          <w:b/>
          <w:bCs/>
          <w:sz w:val="28"/>
          <w:szCs w:val="28"/>
        </w:rPr>
        <w:t>；招标内容及要求、合同主要</w:t>
      </w:r>
      <w:r>
        <w:rPr>
          <w:rFonts w:ascii="仿宋" w:hAnsi="仿宋" w:eastAsia="仿宋" w:cs="仿宋"/>
          <w:b/>
          <w:bCs/>
          <w:sz w:val="28"/>
          <w:szCs w:val="28"/>
        </w:rPr>
        <w:t>条款、</w:t>
      </w:r>
      <w:r>
        <w:rPr>
          <w:rFonts w:hint="eastAsia" w:ascii="仿宋" w:hAnsi="仿宋" w:eastAsia="仿宋" w:cs="仿宋"/>
          <w:b/>
          <w:bCs/>
          <w:sz w:val="28"/>
          <w:szCs w:val="28"/>
        </w:rPr>
        <w:t>评标办</w:t>
      </w:r>
      <w:r>
        <w:rPr>
          <w:rFonts w:ascii="仿宋" w:hAnsi="仿宋" w:eastAsia="仿宋" w:cs="仿宋"/>
          <w:b/>
          <w:bCs/>
          <w:sz w:val="28"/>
          <w:szCs w:val="28"/>
        </w:rPr>
        <w:t>法</w:t>
      </w:r>
      <w:r>
        <w:rPr>
          <w:rFonts w:hint="eastAsia" w:ascii="仿宋" w:hAnsi="仿宋" w:eastAsia="仿宋" w:cs="仿宋"/>
          <w:b/>
          <w:bCs/>
          <w:sz w:val="28"/>
          <w:szCs w:val="28"/>
        </w:rPr>
        <w:t>等</w:t>
      </w:r>
    </w:p>
    <w:p>
      <w:pPr>
        <w:pStyle w:val="6"/>
      </w:pPr>
      <w:r>
        <w:rPr>
          <w:rFonts w:hint="eastAsia"/>
        </w:rPr>
        <w:t>1 项目概况</w:t>
      </w:r>
    </w:p>
    <w:p>
      <w:pPr>
        <w:spacing w:line="360" w:lineRule="auto"/>
        <w:ind w:firstLine="480" w:firstLineChars="200"/>
        <w:jc w:val="left"/>
        <w:rPr>
          <w:rFonts w:ascii="宋体" w:hAnsi="宋体"/>
          <w:sz w:val="24"/>
          <w:u w:val="single"/>
        </w:rPr>
      </w:pPr>
      <w:r>
        <w:rPr>
          <w:rFonts w:hint="eastAsia" w:ascii="宋体" w:hAnsi="宋体"/>
          <w:sz w:val="24"/>
        </w:rPr>
        <w:t>1.项目名称：</w:t>
      </w:r>
      <w:r>
        <w:rPr>
          <w:rFonts w:hint="eastAsia" w:ascii="宋体" w:hAnsi="宋体"/>
          <w:sz w:val="24"/>
          <w:u w:val="single"/>
        </w:rPr>
        <w:t xml:space="preserve"> </w:t>
      </w:r>
    </w:p>
    <w:p>
      <w:pPr>
        <w:spacing w:line="360" w:lineRule="auto"/>
        <w:ind w:firstLine="480" w:firstLineChars="200"/>
        <w:jc w:val="left"/>
        <w:rPr>
          <w:rFonts w:ascii="宋体" w:hAnsi="宋体"/>
          <w:sz w:val="24"/>
          <w:u w:val="single"/>
        </w:rPr>
      </w:pPr>
      <w:r>
        <w:rPr>
          <w:rFonts w:hint="eastAsia" w:ascii="宋体" w:hAnsi="宋体"/>
          <w:sz w:val="24"/>
        </w:rPr>
        <w:t>2.招标编号：</w:t>
      </w:r>
      <w:r>
        <w:rPr>
          <w:rFonts w:hint="eastAsia" w:ascii="宋体" w:hAnsi="宋体"/>
          <w:sz w:val="24"/>
          <w:u w:val="single"/>
        </w:rPr>
        <w:t xml:space="preserve">     </w:t>
      </w:r>
      <w:r>
        <w:rPr>
          <w:rFonts w:hint="eastAsia"/>
          <w:szCs w:val="21"/>
          <w:u w:val="single"/>
        </w:rPr>
        <w:t>NBYC-CW3302231166（ZGZB2023-390）</w:t>
      </w:r>
      <w:r>
        <w:rPr>
          <w:rFonts w:hint="eastAsia" w:ascii="宋体" w:hAnsi="宋体"/>
          <w:sz w:val="24"/>
          <w:u w:val="single"/>
        </w:rPr>
        <w:t xml:space="preserve">     </w:t>
      </w:r>
      <w:r>
        <w:rPr>
          <w:rFonts w:hint="eastAsia" w:ascii="宋体" w:hAnsi="宋体"/>
          <w:sz w:val="24"/>
        </w:rPr>
        <w:t>；</w:t>
      </w:r>
    </w:p>
    <w:p>
      <w:pPr>
        <w:spacing w:line="360" w:lineRule="auto"/>
        <w:ind w:firstLine="480" w:firstLineChars="200"/>
        <w:jc w:val="left"/>
        <w:rPr>
          <w:rFonts w:hint="eastAsia" w:ascii="宋体" w:hAnsi="宋体" w:eastAsia="宋体"/>
          <w:sz w:val="24"/>
          <w:lang w:val="en-US" w:eastAsia="zh-CN"/>
        </w:rPr>
      </w:pPr>
      <w:r>
        <w:rPr>
          <w:rFonts w:hint="eastAsia" w:ascii="宋体" w:hAnsi="宋体"/>
          <w:sz w:val="24"/>
        </w:rPr>
        <w:t>3.项目实施地点：</w:t>
      </w:r>
      <w:r>
        <w:rPr>
          <w:rFonts w:hint="eastAsia" w:ascii="宋体" w:hAnsi="宋体"/>
          <w:sz w:val="24"/>
          <w:lang w:val="en-US" w:eastAsia="zh-CN"/>
        </w:rPr>
        <w:t>XXX</w:t>
      </w:r>
    </w:p>
    <w:p>
      <w:pPr>
        <w:spacing w:line="360" w:lineRule="auto"/>
        <w:ind w:firstLine="480" w:firstLineChars="200"/>
        <w:jc w:val="left"/>
        <w:rPr>
          <w:rFonts w:ascii="宋体" w:hAnsi="宋体"/>
          <w:sz w:val="24"/>
        </w:rPr>
      </w:pPr>
      <w:r>
        <w:rPr>
          <w:rFonts w:hint="eastAsia" w:ascii="宋体" w:hAnsi="宋体"/>
          <w:sz w:val="24"/>
        </w:rPr>
        <w:t>4.项目预算：</w:t>
      </w:r>
      <w:r>
        <w:rPr>
          <w:rFonts w:hint="eastAsia" w:ascii="宋体" w:hAnsi="宋体"/>
          <w:sz w:val="24"/>
          <w:u w:val="single"/>
        </w:rPr>
        <w:t xml:space="preserve"> </w:t>
      </w:r>
      <w:r>
        <w:rPr>
          <w:rFonts w:hint="eastAsia"/>
          <w:szCs w:val="21"/>
          <w:u w:val="single"/>
        </w:rPr>
        <w:t>子包一：人民币212万元（人民币84.8万元/年），子包二：人民币281.3万元（人民币112.52万元/年），项目概算为预计金额，招标人不保证采购量</w:t>
      </w:r>
      <w:r>
        <w:rPr>
          <w:rFonts w:hint="eastAsia"/>
          <w:szCs w:val="21"/>
        </w:rPr>
        <w:t>；最高限价：</w:t>
      </w:r>
      <w:r>
        <w:rPr>
          <w:rFonts w:hint="eastAsia"/>
          <w:szCs w:val="21"/>
          <w:u w:val="single"/>
        </w:rPr>
        <w:t>投标折扣率≤90%</w:t>
      </w:r>
      <w:r>
        <w:rPr>
          <w:rFonts w:hint="eastAsia"/>
          <w:szCs w:val="21"/>
        </w:rPr>
        <w:t>；</w:t>
      </w:r>
      <w:r>
        <w:rPr>
          <w:rFonts w:ascii="宋体" w:hAnsi="宋体"/>
          <w:sz w:val="24"/>
        </w:rPr>
        <w:t xml:space="preserve"> </w:t>
      </w:r>
    </w:p>
    <w:p>
      <w:pPr>
        <w:spacing w:line="360" w:lineRule="auto"/>
        <w:ind w:firstLine="480" w:firstLineChars="200"/>
        <w:jc w:val="left"/>
        <w:rPr>
          <w:rFonts w:ascii="宋体" w:hAnsi="宋体"/>
          <w:sz w:val="24"/>
          <w:u w:val="single"/>
        </w:rPr>
      </w:pPr>
      <w:r>
        <w:rPr>
          <w:rFonts w:hint="eastAsia" w:ascii="宋体" w:hAnsi="宋体"/>
          <w:sz w:val="24"/>
        </w:rPr>
        <w:t>5. 服务</w:t>
      </w:r>
      <w:r>
        <w:rPr>
          <w:rFonts w:ascii="宋体" w:hAnsi="宋体"/>
          <w:sz w:val="24"/>
        </w:rPr>
        <w:t>期</w:t>
      </w:r>
      <w:r>
        <w:rPr>
          <w:rFonts w:hint="eastAsia" w:ascii="宋体" w:hAnsi="宋体"/>
          <w:sz w:val="24"/>
        </w:rPr>
        <w:t>：</w:t>
      </w:r>
      <w:r>
        <w:rPr>
          <w:rFonts w:hint="eastAsia" w:ascii="宋体" w:hAnsi="宋体"/>
          <w:sz w:val="24"/>
          <w:u w:val="single"/>
        </w:rPr>
        <w:t xml:space="preserve"> </w:t>
      </w:r>
      <w:r>
        <w:rPr>
          <w:rFonts w:hint="eastAsia"/>
          <w:szCs w:val="21"/>
          <w:u w:val="single"/>
        </w:rPr>
        <w:t xml:space="preserve">2024-2026 </w:t>
      </w:r>
      <w:r>
        <w:rPr>
          <w:rFonts w:hint="eastAsia" w:ascii="宋体" w:hAnsi="宋体"/>
          <w:sz w:val="24"/>
          <w:u w:val="single"/>
        </w:rPr>
        <w:t>；</w:t>
      </w:r>
    </w:p>
    <w:p>
      <w:pPr>
        <w:spacing w:line="360" w:lineRule="auto"/>
        <w:ind w:firstLine="480" w:firstLineChars="200"/>
        <w:jc w:val="left"/>
        <w:rPr>
          <w:rFonts w:hint="eastAsia" w:ascii="宋体" w:hAnsi="宋体"/>
          <w:sz w:val="24"/>
        </w:rPr>
      </w:pPr>
      <w:r>
        <w:rPr>
          <w:rFonts w:ascii="宋体" w:hAnsi="宋体"/>
          <w:sz w:val="24"/>
        </w:rPr>
        <w:t>6</w:t>
      </w:r>
      <w:r>
        <w:rPr>
          <w:rFonts w:hint="eastAsia" w:ascii="宋体" w:hAnsi="宋体"/>
          <w:sz w:val="24"/>
        </w:rPr>
        <w:t>.招标内容：</w:t>
      </w:r>
      <w:r>
        <w:rPr>
          <w:rFonts w:hint="eastAsia" w:cs="宋体"/>
          <w:bCs/>
          <w:sz w:val="24"/>
          <w:u w:val="single"/>
        </w:rPr>
        <w:t xml:space="preserve"> </w:t>
      </w:r>
      <w:r>
        <w:rPr>
          <w:rFonts w:hint="eastAsia"/>
          <w:szCs w:val="21"/>
          <w:u w:val="single"/>
        </w:rPr>
        <w:t>2024-2026年 详见第4章</w:t>
      </w:r>
      <w:r>
        <w:rPr>
          <w:rFonts w:hint="eastAsia"/>
          <w:u w:val="single"/>
        </w:rPr>
        <w:t>采购</w:t>
      </w:r>
      <w:r>
        <w:rPr>
          <w:u w:val="single"/>
        </w:rPr>
        <w:t>内容及要求</w:t>
      </w:r>
      <w:r>
        <w:rPr>
          <w:rFonts w:hint="eastAsia"/>
          <w:szCs w:val="21"/>
          <w:u w:val="single"/>
        </w:rPr>
        <w:t xml:space="preserve"> </w:t>
      </w:r>
      <w:r>
        <w:rPr>
          <w:rFonts w:hint="eastAsia" w:cs="宋体"/>
          <w:bCs/>
          <w:sz w:val="24"/>
        </w:rPr>
        <w:t>。</w:t>
      </w:r>
    </w:p>
    <w:p>
      <w:pPr>
        <w:pStyle w:val="6"/>
      </w:pPr>
      <w:r>
        <w:t>2 资格条件</w:t>
      </w:r>
    </w:p>
    <w:p>
      <w:pPr>
        <w:spacing w:line="360" w:lineRule="auto"/>
        <w:ind w:firstLine="480" w:firstLineChars="200"/>
        <w:rPr>
          <w:rFonts w:ascii="宋体" w:hAnsi="宋体" w:cs="宋体"/>
          <w:sz w:val="24"/>
        </w:rPr>
      </w:pPr>
      <w:r>
        <w:rPr>
          <w:rFonts w:hint="eastAsia" w:ascii="宋体" w:hAnsi="宋体" w:cs="宋体"/>
          <w:sz w:val="24"/>
        </w:rPr>
        <w:t>1</w:t>
      </w:r>
      <w:r>
        <w:rPr>
          <w:rFonts w:ascii="宋体" w:hAnsi="宋体" w:cs="宋体"/>
          <w:sz w:val="24"/>
        </w:rPr>
        <w:t>-4</w:t>
      </w:r>
      <w:r>
        <w:rPr>
          <w:rFonts w:hint="eastAsia" w:ascii="宋体" w:hAnsi="宋体" w:cs="宋体"/>
          <w:sz w:val="24"/>
        </w:rPr>
        <w:t>.基本</w:t>
      </w:r>
      <w:r>
        <w:rPr>
          <w:rFonts w:ascii="宋体" w:hAnsi="宋体" w:cs="宋体"/>
          <w:sz w:val="24"/>
        </w:rPr>
        <w:t>条件（</w:t>
      </w:r>
      <w:r>
        <w:rPr>
          <w:rFonts w:hint="eastAsia" w:ascii="宋体" w:hAnsi="宋体" w:cs="宋体"/>
          <w:sz w:val="24"/>
        </w:rPr>
        <w:t>营业</w:t>
      </w:r>
      <w:r>
        <w:rPr>
          <w:rFonts w:ascii="宋体" w:hAnsi="宋体" w:cs="宋体"/>
          <w:sz w:val="24"/>
        </w:rPr>
        <w:t>范围、无行贿、无违法</w:t>
      </w:r>
      <w:r>
        <w:rPr>
          <w:rFonts w:hint="eastAsia" w:ascii="宋体" w:hAnsi="宋体" w:cs="宋体"/>
          <w:sz w:val="24"/>
        </w:rPr>
        <w:t>、</w:t>
      </w:r>
      <w:r>
        <w:rPr>
          <w:rFonts w:ascii="宋体" w:hAnsi="宋体" w:cs="宋体"/>
          <w:sz w:val="24"/>
        </w:rPr>
        <w:t>同时投标限制4</w:t>
      </w:r>
      <w:r>
        <w:rPr>
          <w:rFonts w:hint="eastAsia" w:ascii="宋体" w:hAnsi="宋体" w:cs="宋体"/>
          <w:sz w:val="24"/>
        </w:rPr>
        <w:t>条，</w:t>
      </w:r>
      <w:r>
        <w:rPr>
          <w:rFonts w:ascii="宋体" w:hAnsi="宋体" w:cs="宋体"/>
          <w:sz w:val="24"/>
        </w:rPr>
        <w:t>标准模板可</w:t>
      </w:r>
      <w:r>
        <w:rPr>
          <w:rFonts w:hint="eastAsia" w:ascii="宋体" w:hAnsi="宋体" w:cs="宋体"/>
          <w:sz w:val="24"/>
        </w:rPr>
        <w:t>略</w:t>
      </w:r>
      <w:r>
        <w:rPr>
          <w:rFonts w:ascii="宋体" w:hAnsi="宋体" w:cs="宋体"/>
          <w:sz w:val="24"/>
        </w:rPr>
        <w:t>）</w:t>
      </w:r>
    </w:p>
    <w:p>
      <w:pPr>
        <w:spacing w:line="360" w:lineRule="auto"/>
        <w:ind w:firstLine="480" w:firstLineChars="200"/>
        <w:rPr>
          <w:rFonts w:ascii="宋体" w:hAnsi="宋体" w:cs="宋体"/>
          <w:bCs/>
          <w:sz w:val="24"/>
        </w:rPr>
      </w:pPr>
      <w:r>
        <w:rPr>
          <w:rFonts w:ascii="宋体" w:hAnsi="宋体" w:cs="宋体"/>
          <w:kern w:val="0"/>
          <w:sz w:val="24"/>
        </w:rPr>
        <w:t>5</w:t>
      </w:r>
      <w:r>
        <w:rPr>
          <w:rFonts w:hint="eastAsia" w:ascii="宋体" w:hAnsi="宋体" w:cs="宋体"/>
          <w:kern w:val="0"/>
          <w:sz w:val="24"/>
        </w:rPr>
        <w:t>．</w:t>
      </w:r>
      <w:r>
        <w:rPr>
          <w:rFonts w:ascii="宋体" w:hAnsi="宋体" w:cs="宋体"/>
          <w:kern w:val="0"/>
          <w:sz w:val="24"/>
        </w:rPr>
        <w:t>案例要求：</w:t>
      </w:r>
      <w:r>
        <w:rPr>
          <w:rFonts w:ascii="Segoe UI Symbol" w:hAnsi="Segoe UI Symbol" w:cs="Segoe UI Symbol"/>
          <w:snapToGrid w:val="0"/>
          <w:kern w:val="0"/>
          <w:szCs w:val="21"/>
        </w:rPr>
        <w:t>☑</w:t>
      </w:r>
      <w:r>
        <w:rPr>
          <w:rFonts w:hint="eastAsia" w:ascii="宋体" w:hAnsi="宋体" w:cs="宋体"/>
          <w:snapToGrid w:val="0"/>
          <w:sz w:val="24"/>
        </w:rPr>
        <w:t>无</w:t>
      </w:r>
      <w:r>
        <w:rPr>
          <w:rFonts w:hint="eastAsia" w:ascii="宋体" w:hAnsi="宋体" w:cs="宋体"/>
          <w:sz w:val="24"/>
        </w:rPr>
        <w:t>/</w:t>
      </w:r>
      <w:r>
        <w:rPr>
          <w:rFonts w:hint="eastAsia" w:ascii="宋体" w:hAnsi="宋体" w:cs="宋体"/>
          <w:snapToGrid w:val="0"/>
          <w:kern w:val="0"/>
          <w:sz w:val="24"/>
        </w:rPr>
        <w:t>□</w:t>
      </w:r>
      <w:r>
        <w:rPr>
          <w:rFonts w:hint="eastAsia" w:ascii="宋体" w:hAnsi="宋体" w:cs="宋体"/>
          <w:snapToGrid w:val="0"/>
          <w:sz w:val="24"/>
        </w:rPr>
        <w:t>有，</w:t>
      </w:r>
      <w:r>
        <w:rPr>
          <w:rFonts w:hint="eastAsia" w:ascii="宋体" w:hAnsi="宋体" w:cs="宋体"/>
          <w:sz w:val="24"/>
          <w:u w:val="single"/>
        </w:rPr>
        <w:t xml:space="preserve">    </w:t>
      </w:r>
      <w:r>
        <w:rPr>
          <w:rFonts w:hint="eastAsia" w:ascii="宋体" w:hAnsi="宋体" w:cs="宋体"/>
          <w:sz w:val="24"/>
        </w:rPr>
        <w:t>年</w:t>
      </w:r>
      <w:r>
        <w:rPr>
          <w:rFonts w:hint="eastAsia" w:ascii="宋体" w:hAnsi="宋体" w:cs="宋体"/>
          <w:sz w:val="24"/>
          <w:u w:val="single"/>
        </w:rPr>
        <w:t xml:space="preserve">   </w:t>
      </w:r>
      <w:r>
        <w:rPr>
          <w:rFonts w:hint="eastAsia" w:ascii="宋体" w:hAnsi="宋体" w:cs="宋体"/>
          <w:sz w:val="24"/>
        </w:rPr>
        <w:t>月</w:t>
      </w:r>
      <w:r>
        <w:rPr>
          <w:rFonts w:hint="eastAsia" w:ascii="宋体" w:hAnsi="宋体" w:cs="宋体"/>
          <w:sz w:val="24"/>
          <w:u w:val="single"/>
        </w:rPr>
        <w:t xml:space="preserve">    </w:t>
      </w:r>
      <w:r>
        <w:rPr>
          <w:rFonts w:hint="eastAsia" w:ascii="宋体" w:hAnsi="宋体" w:cs="宋体"/>
          <w:sz w:val="24"/>
        </w:rPr>
        <w:t>日以来，投标人具有合同金额</w:t>
      </w:r>
      <w:r>
        <w:rPr>
          <w:rFonts w:hint="eastAsia" w:ascii="宋体" w:hAnsi="宋体" w:cs="宋体"/>
          <w:sz w:val="24"/>
          <w:u w:val="single"/>
        </w:rPr>
        <w:t xml:space="preserve">     </w:t>
      </w:r>
      <w:r>
        <w:rPr>
          <w:rFonts w:hint="eastAsia" w:ascii="宋体" w:hAnsi="宋体" w:cs="宋体"/>
          <w:sz w:val="24"/>
        </w:rPr>
        <w:t>万元及以上</w:t>
      </w:r>
      <w:r>
        <w:rPr>
          <w:rFonts w:hint="eastAsia" w:ascii="宋体" w:hAnsi="宋体" w:cs="宋体"/>
          <w:sz w:val="24"/>
          <w:u w:val="single"/>
        </w:rPr>
        <w:t xml:space="preserve">     </w:t>
      </w:r>
      <w:r>
        <w:rPr>
          <w:rFonts w:hint="eastAsia" w:ascii="宋体" w:hAnsi="宋体" w:cs="宋体"/>
          <w:sz w:val="24"/>
        </w:rPr>
        <w:t>类似项目案例1例，</w:t>
      </w:r>
      <w:r>
        <w:rPr>
          <w:rFonts w:hint="eastAsia" w:ascii="宋体" w:hAnsi="宋体"/>
          <w:bCs/>
          <w:sz w:val="24"/>
        </w:rPr>
        <w:t>提供合同及对应发票（至少1份）复印件，并在合同及对应发票复印件上加盖投标人公章，原件备查</w:t>
      </w:r>
      <w:r>
        <w:rPr>
          <w:rFonts w:hint="eastAsia" w:ascii="宋体" w:hAnsi="宋体" w:cs="宋体"/>
          <w:bCs/>
          <w:sz w:val="24"/>
        </w:rPr>
        <w:t>；</w:t>
      </w:r>
    </w:p>
    <w:p>
      <w:pPr>
        <w:spacing w:line="360" w:lineRule="auto"/>
        <w:ind w:firstLine="480" w:firstLineChars="200"/>
        <w:rPr>
          <w:rFonts w:ascii="宋体" w:hAnsi="宋体" w:cs="宋体"/>
          <w:color w:val="FF0000"/>
          <w:sz w:val="24"/>
        </w:rPr>
      </w:pPr>
      <w:r>
        <w:rPr>
          <w:rFonts w:ascii="宋体" w:hAnsi="宋体" w:cs="宋体"/>
          <w:sz w:val="24"/>
        </w:rPr>
        <w:t>6.</w:t>
      </w:r>
      <w:r>
        <w:rPr>
          <w:rFonts w:hint="eastAsia" w:ascii="宋体" w:hAnsi="宋体" w:cs="宋体"/>
          <w:color w:val="FF0000"/>
          <w:sz w:val="24"/>
          <w:u w:val="single"/>
        </w:rPr>
        <w:t>（</w:t>
      </w:r>
      <w:r>
        <w:rPr>
          <w:rFonts w:ascii="宋体" w:hAnsi="宋体" w:cs="宋体"/>
          <w:color w:val="FF0000"/>
          <w:sz w:val="24"/>
          <w:u w:val="single"/>
        </w:rPr>
        <w:t>其他资格要求</w:t>
      </w:r>
      <w:r>
        <w:rPr>
          <w:rFonts w:hint="eastAsia" w:ascii="宋体" w:hAnsi="宋体" w:cs="宋体"/>
          <w:color w:val="FF0000"/>
          <w:sz w:val="24"/>
          <w:u w:val="single"/>
        </w:rPr>
        <w:t>）</w:t>
      </w:r>
      <w:r>
        <w:rPr>
          <w:rFonts w:hint="eastAsia" w:ascii="宋体" w:hAnsi="宋体" w:cs="宋体"/>
          <w:snapToGrid w:val="0"/>
          <w:kern w:val="0"/>
          <w:sz w:val="24"/>
          <w:u w:val="single"/>
        </w:rPr>
        <w:t>□</w:t>
      </w:r>
      <w:r>
        <w:rPr>
          <w:rFonts w:hint="eastAsia" w:ascii="宋体" w:hAnsi="宋体" w:cs="宋体"/>
          <w:snapToGrid w:val="0"/>
          <w:sz w:val="24"/>
          <w:u w:val="single"/>
        </w:rPr>
        <w:t>无</w:t>
      </w:r>
      <w:r>
        <w:rPr>
          <w:rFonts w:hint="eastAsia" w:ascii="宋体" w:hAnsi="宋体" w:cs="宋体"/>
          <w:sz w:val="24"/>
          <w:u w:val="single"/>
        </w:rPr>
        <w:t>/</w:t>
      </w:r>
      <w:r>
        <w:rPr>
          <w:rFonts w:ascii="Segoe UI Symbol" w:hAnsi="Segoe UI Symbol" w:cs="Segoe UI Symbol"/>
          <w:snapToGrid w:val="0"/>
          <w:kern w:val="0"/>
          <w:szCs w:val="21"/>
        </w:rPr>
        <w:t>☑</w:t>
      </w:r>
      <w:r>
        <w:rPr>
          <w:rFonts w:hint="eastAsia" w:ascii="宋体" w:hAnsi="宋体" w:cs="宋体"/>
          <w:snapToGrid w:val="0"/>
          <w:sz w:val="24"/>
          <w:u w:val="single"/>
        </w:rPr>
        <w:t>有</w:t>
      </w:r>
      <w:r>
        <w:rPr>
          <w:rFonts w:hint="eastAsia" w:ascii="宋体" w:hAnsi="宋体" w:cs="宋体"/>
          <w:color w:val="FF0000"/>
          <w:sz w:val="24"/>
          <w:u w:val="single"/>
        </w:rPr>
        <w:t xml:space="preserve"> </w:t>
      </w:r>
      <w:r>
        <w:rPr>
          <w:rFonts w:hint="eastAsia" w:cs="宋体"/>
          <w:szCs w:val="21"/>
          <w:u w:val="single"/>
        </w:rPr>
        <w:t>投标人须具备有效的《食品经营许可证》；</w:t>
      </w:r>
      <w:r>
        <w:rPr>
          <w:rFonts w:hint="eastAsia" w:ascii="宋体" w:hAnsi="宋体" w:cs="宋体"/>
          <w:color w:val="FF0000"/>
          <w:sz w:val="24"/>
          <w:u w:val="single"/>
        </w:rPr>
        <w:t xml:space="preserve"> </w:t>
      </w:r>
      <w:r>
        <w:rPr>
          <w:rFonts w:hint="eastAsia" w:cs="宋体"/>
          <w:szCs w:val="21"/>
          <w:u w:val="single"/>
        </w:rPr>
        <w:t>、投标人财务状况良好，具有良好的商业信誉和履行合同的能力</w:t>
      </w:r>
      <w:r>
        <w:rPr>
          <w:rFonts w:hint="eastAsia" w:ascii="宋体" w:hAnsi="宋体" w:cs="宋体"/>
          <w:color w:val="FF0000"/>
          <w:sz w:val="24"/>
          <w:u w:val="single"/>
        </w:rPr>
        <w:t>。</w:t>
      </w:r>
    </w:p>
    <w:p>
      <w:pPr>
        <w:spacing w:line="360" w:lineRule="auto"/>
        <w:ind w:firstLine="480" w:firstLineChars="200"/>
        <w:rPr>
          <w:rFonts w:ascii="宋体" w:hAnsi="宋体" w:cs="宋体"/>
          <w:sz w:val="24"/>
          <w:u w:val="single"/>
        </w:rPr>
      </w:pPr>
      <w:r>
        <w:rPr>
          <w:rFonts w:ascii="宋体" w:hAnsi="宋体" w:cs="宋体"/>
          <w:sz w:val="24"/>
        </w:rPr>
        <w:t>7</w:t>
      </w:r>
      <w:r>
        <w:rPr>
          <w:rFonts w:hint="eastAsia" w:ascii="宋体" w:hAnsi="宋体" w:cs="宋体"/>
          <w:sz w:val="24"/>
        </w:rPr>
        <w:t>.本项目不接受联合体投标</w:t>
      </w:r>
      <w:r>
        <w:rPr>
          <w:rFonts w:hint="eastAsia" w:ascii="宋体" w:hAnsi="宋体" w:cs="宋体"/>
          <w:sz w:val="24"/>
          <w:u w:val="single"/>
        </w:rPr>
        <w:t>；</w:t>
      </w:r>
    </w:p>
    <w:p>
      <w:pPr>
        <w:pStyle w:val="6"/>
      </w:pPr>
      <w:r>
        <w:t xml:space="preserve">3 </w:t>
      </w:r>
      <w:r>
        <w:rPr>
          <w:rFonts w:hint="eastAsia"/>
        </w:rPr>
        <w:t>控制价编制说明</w:t>
      </w:r>
    </w:p>
    <w:p>
      <w:pPr>
        <w:spacing w:line="360" w:lineRule="auto"/>
        <w:ind w:firstLine="480" w:firstLineChars="200"/>
        <w:jc w:val="left"/>
        <w:rPr>
          <w:rFonts w:cs="宋体"/>
          <w:bCs/>
          <w:sz w:val="24"/>
          <w:u w:val="single"/>
        </w:rPr>
      </w:pPr>
      <w:r>
        <w:rPr>
          <w:rFonts w:hint="eastAsia" w:cs="宋体"/>
          <w:bCs/>
          <w:sz w:val="24"/>
          <w:u w:val="single"/>
        </w:rPr>
        <w:t>（简要</w:t>
      </w:r>
      <w:r>
        <w:rPr>
          <w:rFonts w:cs="宋体"/>
          <w:bCs/>
          <w:sz w:val="24"/>
          <w:u w:val="single"/>
        </w:rPr>
        <w:t>表述控制价的编制方法</w:t>
      </w:r>
      <w:r>
        <w:rPr>
          <w:rFonts w:hint="eastAsia" w:cs="宋体"/>
          <w:bCs/>
          <w:sz w:val="24"/>
          <w:u w:val="single"/>
        </w:rPr>
        <w:t>、类型、以及</w:t>
      </w:r>
      <w:r>
        <w:rPr>
          <w:rFonts w:cs="宋体"/>
          <w:bCs/>
          <w:sz w:val="24"/>
          <w:u w:val="single"/>
        </w:rPr>
        <w:t>编制情况</w:t>
      </w:r>
      <w:r>
        <w:rPr>
          <w:rFonts w:hint="eastAsia" w:cs="宋体"/>
          <w:bCs/>
          <w:sz w:val="24"/>
          <w:u w:val="single"/>
        </w:rPr>
        <w:t>；单价</w:t>
      </w:r>
      <w:r>
        <w:rPr>
          <w:rFonts w:cs="宋体"/>
          <w:bCs/>
          <w:sz w:val="24"/>
          <w:u w:val="single"/>
        </w:rPr>
        <w:t>控制价或费率控制价</w:t>
      </w:r>
      <w:r>
        <w:rPr>
          <w:rFonts w:hint="eastAsia" w:cs="宋体"/>
          <w:bCs/>
          <w:sz w:val="24"/>
          <w:u w:val="single"/>
        </w:rPr>
        <w:t>的</w:t>
      </w:r>
      <w:r>
        <w:rPr>
          <w:rFonts w:cs="宋体"/>
          <w:bCs/>
          <w:sz w:val="24"/>
          <w:u w:val="single"/>
        </w:rPr>
        <w:t>要有</w:t>
      </w:r>
      <w:r>
        <w:rPr>
          <w:rFonts w:ascii="宋体" w:hAnsi="宋体" w:cs="宋体"/>
          <w:color w:val="FF0000"/>
          <w:sz w:val="24"/>
          <w:u w:val="single"/>
        </w:rPr>
        <w:t>调价</w:t>
      </w:r>
      <w:r>
        <w:rPr>
          <w:rFonts w:hint="eastAsia" w:ascii="宋体" w:hAnsi="宋体" w:cs="宋体"/>
          <w:color w:val="FF0000"/>
          <w:sz w:val="24"/>
          <w:u w:val="single"/>
        </w:rPr>
        <w:t>、定价、监督</w:t>
      </w:r>
      <w:r>
        <w:rPr>
          <w:rFonts w:ascii="宋体" w:hAnsi="宋体" w:cs="宋体"/>
          <w:color w:val="FF0000"/>
          <w:sz w:val="24"/>
          <w:u w:val="single"/>
        </w:rPr>
        <w:t>核价</w:t>
      </w:r>
      <w:r>
        <w:rPr>
          <w:rFonts w:hint="eastAsia" w:ascii="宋体" w:hAnsi="宋体" w:cs="宋体"/>
          <w:color w:val="FF0000"/>
          <w:sz w:val="24"/>
          <w:u w:val="single"/>
        </w:rPr>
        <w:t>等</w:t>
      </w:r>
      <w:r>
        <w:rPr>
          <w:rFonts w:cs="宋体"/>
          <w:bCs/>
          <w:sz w:val="24"/>
          <w:u w:val="single"/>
        </w:rPr>
        <w:t>价格管理机制</w:t>
      </w:r>
      <w:r>
        <w:rPr>
          <w:rFonts w:hint="eastAsia" w:cs="宋体"/>
          <w:bCs/>
          <w:sz w:val="24"/>
          <w:u w:val="single"/>
        </w:rPr>
        <w:t>）</w:t>
      </w:r>
    </w:p>
    <w:p>
      <w:pPr>
        <w:pStyle w:val="6"/>
      </w:pPr>
      <w:r>
        <w:t>4</w:t>
      </w:r>
      <w:r>
        <w:rPr>
          <w:rFonts w:hint="eastAsia"/>
        </w:rPr>
        <w:t>采购</w:t>
      </w:r>
      <w:r>
        <w:t>内容及要求</w:t>
      </w:r>
    </w:p>
    <w:p>
      <w:pPr>
        <w:spacing w:line="360" w:lineRule="auto"/>
        <w:ind w:right="-21" w:rightChars="-10" w:firstLine="480" w:firstLineChars="200"/>
      </w:pPr>
      <w:r>
        <w:rPr>
          <w:rFonts w:hint="eastAsia" w:ascii="宋体" w:hAnsi="宋体" w:cs="宋体"/>
          <w:sz w:val="24"/>
          <w:u w:val="single"/>
        </w:rPr>
        <w:t>（本次招标项目的招标范围、内容、规模、特征、服务期、技术/服务</w:t>
      </w:r>
      <w:r>
        <w:rPr>
          <w:rFonts w:ascii="宋体" w:hAnsi="宋体" w:cs="宋体"/>
          <w:sz w:val="24"/>
          <w:u w:val="single"/>
        </w:rPr>
        <w:t>标准、</w:t>
      </w:r>
      <w:r>
        <w:rPr>
          <w:rFonts w:hint="eastAsia" w:ascii="宋体" w:hAnsi="宋体" w:cs="宋体"/>
          <w:sz w:val="24"/>
          <w:u w:val="single"/>
        </w:rPr>
        <w:t>质量要求、验收标准、付款方式等）。对要求实质性响应条款用“▲”标注）</w:t>
      </w:r>
    </w:p>
    <w:p>
      <w:pPr>
        <w:spacing w:line="360" w:lineRule="auto"/>
        <w:ind w:right="-21" w:rightChars="-10"/>
        <w:rPr>
          <w:rFonts w:ascii="宋体" w:hAnsi="宋体" w:cs="宋体"/>
          <w:b/>
          <w:sz w:val="24"/>
        </w:rPr>
      </w:pPr>
      <w:r>
        <w:rPr>
          <w:rFonts w:hint="eastAsia"/>
        </w:rPr>
        <w:t xml:space="preserve"> </w:t>
      </w:r>
      <w:bookmarkStart w:id="0" w:name="_Toc328578341"/>
      <w:bookmarkStart w:id="1" w:name="_Toc4423634"/>
      <w:bookmarkStart w:id="2" w:name="_Toc2544"/>
      <w:bookmarkStart w:id="3" w:name="_Toc486344777"/>
      <w:bookmarkStart w:id="4" w:name="_Toc30030"/>
      <w:r>
        <w:rPr>
          <w:rStyle w:val="33"/>
        </w:rPr>
        <w:t>4.1</w:t>
      </w:r>
      <w:r>
        <w:rPr>
          <w:rStyle w:val="33"/>
          <w:rFonts w:hint="eastAsia"/>
        </w:rPr>
        <w:t>项目概况</w:t>
      </w:r>
      <w:bookmarkEnd w:id="0"/>
      <w:bookmarkEnd w:id="1"/>
      <w:bookmarkEnd w:id="2"/>
      <w:bookmarkEnd w:id="3"/>
      <w:bookmarkEnd w:id="4"/>
    </w:p>
    <w:p>
      <w:pPr>
        <w:tabs>
          <w:tab w:val="left" w:pos="0"/>
        </w:tabs>
        <w:spacing w:line="360" w:lineRule="auto"/>
        <w:ind w:firstLine="420" w:firstLineChars="200"/>
        <w:rPr>
          <w:rFonts w:cs="宋体"/>
          <w:szCs w:val="21"/>
        </w:rPr>
      </w:pPr>
      <w:r>
        <w:rPr>
          <w:rFonts w:hint="eastAsia" w:cs="宋体"/>
          <w:szCs w:val="21"/>
        </w:rPr>
        <w:t>“2024-2026年度宁波烟草北仑、象山分公司食堂物资采购项目”子包二为象山烟草及下属食堂提供食配菜服务，食堂配菜服务目录为食堂食材、食堂副食品，主要包括水产类（含水产品类、水产品干货、水产酱腌制品等）、肉禽蛋类（含肉类及禽蛋类）、蔬菜类（含蔬菜干货、蔬菜酱腌制品、豆制品等）及果品类（含水果、干果类）等六大类近百种商品。</w:t>
      </w:r>
    </w:p>
    <w:p>
      <w:pPr>
        <w:tabs>
          <w:tab w:val="left" w:pos="0"/>
        </w:tabs>
        <w:spacing w:line="360" w:lineRule="auto"/>
        <w:ind w:firstLine="420" w:firstLineChars="200"/>
        <w:rPr>
          <w:rFonts w:cs="宋体"/>
          <w:szCs w:val="21"/>
        </w:rPr>
      </w:pPr>
      <w:r>
        <w:rPr>
          <w:rFonts w:hint="eastAsia" w:cs="宋体"/>
          <w:szCs w:val="21"/>
        </w:rPr>
        <w:t>子包二为象山分公司提供食堂配菜定点采购服务，定点采购合同由象山分公司签订。</w:t>
      </w:r>
    </w:p>
    <w:p>
      <w:pPr>
        <w:tabs>
          <w:tab w:val="left" w:pos="0"/>
        </w:tabs>
        <w:spacing w:line="360" w:lineRule="auto"/>
        <w:ind w:firstLine="420" w:firstLineChars="200"/>
        <w:rPr>
          <w:rFonts w:cs="宋体"/>
          <w:szCs w:val="21"/>
        </w:rPr>
      </w:pPr>
      <w:r>
        <w:rPr>
          <w:rFonts w:hint="eastAsia" w:cs="宋体"/>
          <w:szCs w:val="21"/>
        </w:rPr>
        <w:t>合同执行期间，如遇中标人不能满足招标人需求或评价不合格的，招标人有权与另一子包中标人签订合同继续服务，也可重新招标。评价均不合格的，终止合同，重新招标。</w:t>
      </w:r>
    </w:p>
    <w:p>
      <w:pPr>
        <w:pStyle w:val="2"/>
        <w:ind w:firstLine="210"/>
      </w:pPr>
    </w:p>
    <w:p>
      <w:pPr>
        <w:pStyle w:val="7"/>
      </w:pPr>
      <w:bookmarkStart w:id="5" w:name="_Toc11287"/>
      <w:bookmarkStart w:id="6" w:name="_Toc32098"/>
      <w:r>
        <w:t>4.2</w:t>
      </w:r>
      <w:r>
        <w:rPr>
          <w:rFonts w:hint="eastAsia"/>
        </w:rPr>
        <w:t>产品或服务内容</w:t>
      </w:r>
      <w:bookmarkEnd w:id="5"/>
      <w:bookmarkEnd w:id="6"/>
    </w:p>
    <w:p>
      <w:pPr>
        <w:pStyle w:val="8"/>
      </w:pPr>
      <w:bookmarkStart w:id="7" w:name="_Toc7354"/>
      <w:bookmarkStart w:id="8" w:name="_Toc486344780"/>
      <w:bookmarkStart w:id="9" w:name="_Toc4423637"/>
      <w:bookmarkStart w:id="10" w:name="_Toc13677"/>
      <w:bookmarkStart w:id="11" w:name="_Toc328578344"/>
      <w:r>
        <w:rPr>
          <w:rFonts w:hint="eastAsia"/>
        </w:rPr>
        <w:t>4.2.1食材主要要求</w:t>
      </w:r>
    </w:p>
    <w:p>
      <w:pPr>
        <w:tabs>
          <w:tab w:val="left" w:pos="0"/>
        </w:tabs>
        <w:spacing w:line="360" w:lineRule="auto"/>
        <w:ind w:firstLine="420" w:firstLineChars="200"/>
        <w:rPr>
          <w:rFonts w:cs="宋体"/>
          <w:bCs/>
          <w:szCs w:val="21"/>
        </w:rPr>
      </w:pPr>
      <w:r>
        <w:rPr>
          <w:rFonts w:hint="eastAsia" w:cs="宋体"/>
          <w:bCs/>
          <w:szCs w:val="21"/>
        </w:rPr>
        <w:t>所有</w:t>
      </w:r>
      <w:r>
        <w:rPr>
          <w:rFonts w:hint="eastAsia" w:cs="宋体"/>
          <w:szCs w:val="21"/>
        </w:rPr>
        <w:t>粮油、蔬菜、肉类、禽蛋、水产、水果、奶制品等食品为主等</w:t>
      </w:r>
      <w:r>
        <w:rPr>
          <w:rFonts w:hint="eastAsia" w:cs="宋体"/>
          <w:bCs/>
          <w:szCs w:val="21"/>
        </w:rPr>
        <w:t>必须符合国家饮食卫生相关标准。</w:t>
      </w:r>
    </w:p>
    <w:p>
      <w:pPr>
        <w:tabs>
          <w:tab w:val="left" w:pos="0"/>
        </w:tabs>
        <w:spacing w:line="360" w:lineRule="auto"/>
        <w:ind w:firstLine="420" w:firstLineChars="200"/>
        <w:rPr>
          <w:rFonts w:cs="宋体"/>
          <w:szCs w:val="21"/>
        </w:rPr>
      </w:pPr>
      <w:r>
        <w:rPr>
          <w:rFonts w:hint="eastAsia" w:cs="宋体"/>
          <w:szCs w:val="21"/>
        </w:rPr>
        <w:t>（1）鲜肉类（排肉、精肉，牛肉、禽肉等）。质量要求：排肉是指无骨腿肉和无骨夹心肉，其中腿肉要求剔除大股骨，夹心肉要求割除下懒肉，整方供应，并且每方肉上必须盖有屠宰场的检验检疫章，并提供《动物或动物产品分销信息凭证》或《动物检疫合格证》。禽肉质量要求：必须提供《动物或动物产品分销信息凭证》或《动物检疫合格证》。</w:t>
      </w:r>
    </w:p>
    <w:p>
      <w:pPr>
        <w:tabs>
          <w:tab w:val="left" w:pos="0"/>
        </w:tabs>
        <w:spacing w:line="360" w:lineRule="auto"/>
        <w:ind w:firstLine="420" w:firstLineChars="200"/>
        <w:rPr>
          <w:rFonts w:cs="宋体"/>
          <w:szCs w:val="21"/>
        </w:rPr>
      </w:pPr>
      <w:r>
        <w:rPr>
          <w:rFonts w:hint="eastAsia" w:cs="宋体"/>
          <w:szCs w:val="21"/>
        </w:rPr>
        <w:t>（2）</w:t>
      </w:r>
      <w:r>
        <w:rPr>
          <w:rFonts w:hint="eastAsia" w:cs="宋体"/>
          <w:bCs/>
          <w:szCs w:val="21"/>
        </w:rPr>
        <w:t>蔬果类必须是新鲜“绿色食品”</w:t>
      </w:r>
      <w:r>
        <w:rPr>
          <w:rFonts w:hint="eastAsia" w:cs="宋体"/>
          <w:szCs w:val="21"/>
        </w:rPr>
        <w:t>。质量要求：供货商经营品种齐全，有一定规模，日销售量大。所提供的</w:t>
      </w:r>
      <w:r>
        <w:rPr>
          <w:rFonts w:hint="eastAsia" w:cs="宋体"/>
          <w:bCs/>
          <w:szCs w:val="21"/>
        </w:rPr>
        <w:t>蔬果类</w:t>
      </w:r>
      <w:r>
        <w:rPr>
          <w:rFonts w:hint="eastAsia" w:cs="宋体"/>
          <w:szCs w:val="21"/>
        </w:rPr>
        <w:t>必须保证新鲜、不腐烂变质，且符合《农产品质量安全法》要求。</w:t>
      </w:r>
    </w:p>
    <w:p>
      <w:pPr>
        <w:tabs>
          <w:tab w:val="left" w:pos="0"/>
        </w:tabs>
        <w:spacing w:line="360" w:lineRule="auto"/>
        <w:ind w:firstLine="420" w:firstLineChars="200"/>
        <w:rPr>
          <w:rFonts w:cs="宋体"/>
          <w:szCs w:val="21"/>
        </w:rPr>
      </w:pPr>
      <w:r>
        <w:rPr>
          <w:rFonts w:hint="eastAsia" w:cs="宋体"/>
          <w:szCs w:val="21"/>
        </w:rPr>
        <w:t>（3）水产类（鱼、虾等）。质量要求：符合水产品定性检测要求。</w:t>
      </w:r>
    </w:p>
    <w:p>
      <w:pPr>
        <w:tabs>
          <w:tab w:val="left" w:pos="0"/>
        </w:tabs>
        <w:spacing w:line="360" w:lineRule="auto"/>
        <w:ind w:firstLine="420" w:firstLineChars="200"/>
        <w:rPr>
          <w:rFonts w:cs="宋体"/>
          <w:szCs w:val="21"/>
        </w:rPr>
      </w:pPr>
      <w:r>
        <w:rPr>
          <w:rFonts w:cs="宋体"/>
          <w:szCs w:val="21"/>
        </w:rPr>
        <w:t>（</w:t>
      </w:r>
      <w:r>
        <w:rPr>
          <w:rFonts w:hint="eastAsia" w:cs="宋体"/>
          <w:szCs w:val="21"/>
        </w:rPr>
        <w:t>4</w:t>
      </w:r>
      <w:r>
        <w:rPr>
          <w:rFonts w:cs="宋体"/>
          <w:szCs w:val="21"/>
        </w:rPr>
        <w:t>）</w:t>
      </w:r>
      <w:r>
        <w:rPr>
          <w:rFonts w:hint="eastAsia" w:cs="宋体"/>
          <w:szCs w:val="21"/>
        </w:rPr>
        <w:t>冰品类（鸡腿、鸡翅、贡丸、香肠、青豆、玉米、毛豆仁等）。提供《动物或动物产品分销信息凭证》或《动物检疫合格证》。</w:t>
      </w:r>
    </w:p>
    <w:p>
      <w:pPr>
        <w:tabs>
          <w:tab w:val="left" w:pos="0"/>
        </w:tabs>
        <w:spacing w:line="360" w:lineRule="auto"/>
        <w:ind w:firstLine="420" w:firstLineChars="200"/>
        <w:rPr>
          <w:rFonts w:cs="宋体"/>
          <w:szCs w:val="21"/>
        </w:rPr>
      </w:pPr>
      <w:r>
        <w:rPr>
          <w:rFonts w:hint="eastAsia" w:cs="宋体"/>
          <w:szCs w:val="21"/>
        </w:rPr>
        <w:t>（5）豆制品（豆腐、千张、香干、素鸡、大油豆腐、小油豆腐等）类。质量要求：豆制品成品必须具有“SC”食品生产许可证，并提供产品合格证明材料。</w:t>
      </w:r>
    </w:p>
    <w:p>
      <w:pPr>
        <w:tabs>
          <w:tab w:val="left" w:pos="0"/>
        </w:tabs>
        <w:spacing w:line="360" w:lineRule="auto"/>
        <w:ind w:firstLine="420" w:firstLineChars="200"/>
        <w:rPr>
          <w:rFonts w:cs="宋体"/>
          <w:szCs w:val="21"/>
        </w:rPr>
      </w:pPr>
      <w:r>
        <w:rPr>
          <w:rFonts w:hint="eastAsia" w:cs="宋体"/>
          <w:szCs w:val="21"/>
        </w:rPr>
        <w:t>（6）酱腌菜类。质量要求：亚硝酸盐定期抽检合格，且符合《食品安全法》要求。</w:t>
      </w:r>
    </w:p>
    <w:p>
      <w:pPr>
        <w:tabs>
          <w:tab w:val="left" w:pos="0"/>
        </w:tabs>
        <w:spacing w:line="360" w:lineRule="auto"/>
        <w:ind w:firstLine="420" w:firstLineChars="200"/>
        <w:rPr>
          <w:rFonts w:cs="宋体"/>
          <w:szCs w:val="21"/>
        </w:rPr>
      </w:pPr>
      <w:r>
        <w:rPr>
          <w:rFonts w:hint="eastAsia" w:cs="宋体"/>
          <w:szCs w:val="21"/>
        </w:rPr>
        <w:t>（7）禽蛋类。质量要求：禽蛋必须保证新鲜，且符合《食品安全法》要求。</w:t>
      </w:r>
    </w:p>
    <w:p>
      <w:pPr>
        <w:tabs>
          <w:tab w:val="left" w:pos="0"/>
        </w:tabs>
        <w:spacing w:line="360" w:lineRule="auto"/>
        <w:ind w:firstLine="420" w:firstLineChars="200"/>
        <w:rPr>
          <w:rFonts w:cs="宋体"/>
          <w:szCs w:val="21"/>
        </w:rPr>
      </w:pPr>
      <w:r>
        <w:rPr>
          <w:rFonts w:hint="eastAsia" w:cs="宋体"/>
          <w:szCs w:val="21"/>
        </w:rPr>
        <w:t>（8）粮油类。在质保期内，且符合《食品安全法》要求。</w:t>
      </w:r>
    </w:p>
    <w:p>
      <w:pPr>
        <w:tabs>
          <w:tab w:val="left" w:pos="0"/>
        </w:tabs>
        <w:spacing w:line="360" w:lineRule="auto"/>
        <w:ind w:firstLine="420" w:firstLineChars="200"/>
        <w:rPr>
          <w:rFonts w:cs="宋体"/>
          <w:szCs w:val="21"/>
        </w:rPr>
      </w:pPr>
      <w:r>
        <w:rPr>
          <w:rFonts w:hint="eastAsia" w:cs="宋体"/>
          <w:bCs/>
          <w:szCs w:val="21"/>
        </w:rPr>
        <w:t>（9）预包装食品类：不得供应含有腐败变质、油脂酸败、霉变、生虫、污秽不堪、混有异物或者其它感官异常的食品；不得供应含有毒、有害物质，或者被有毒有害物质污染的食品；不得供应掺假、掺杂、伪造影响营养、卫生的食品。不得供应有超过保质期的食品，且包装标签必须符合《预包装食品标签通则》的要求。</w:t>
      </w:r>
    </w:p>
    <w:p>
      <w:pPr>
        <w:tabs>
          <w:tab w:val="left" w:pos="0"/>
        </w:tabs>
        <w:spacing w:line="360" w:lineRule="auto"/>
        <w:ind w:firstLine="420" w:firstLineChars="200"/>
        <w:rPr>
          <w:rFonts w:cs="宋体"/>
          <w:szCs w:val="21"/>
        </w:rPr>
      </w:pPr>
      <w:r>
        <w:rPr>
          <w:rFonts w:hint="eastAsia" w:cs="宋体"/>
          <w:bCs/>
          <w:szCs w:val="21"/>
        </w:rPr>
        <w:t>（10）如招标人有要求，须</w:t>
      </w:r>
      <w:r>
        <w:rPr>
          <w:rFonts w:hint="eastAsia" w:cs="宋体"/>
          <w:szCs w:val="21"/>
        </w:rPr>
        <w:t>无偿</w:t>
      </w:r>
      <w:r>
        <w:rPr>
          <w:rFonts w:hint="eastAsia" w:cs="宋体"/>
          <w:bCs/>
          <w:szCs w:val="21"/>
        </w:rPr>
        <w:t>提供初加工服务（如鱼类等宰杀、切段，蔬菜刨皮、切块等）</w:t>
      </w:r>
      <w:r>
        <w:rPr>
          <w:rFonts w:hint="eastAsia" w:cs="宋体"/>
          <w:szCs w:val="21"/>
        </w:rPr>
        <w:t>。</w:t>
      </w:r>
    </w:p>
    <w:p>
      <w:pPr>
        <w:spacing w:line="360" w:lineRule="auto"/>
        <w:ind w:firstLine="420" w:firstLineChars="200"/>
        <w:rPr>
          <w:rFonts w:cs="宋体"/>
          <w:bCs/>
          <w:color w:val="FF0000"/>
          <w:szCs w:val="21"/>
        </w:rPr>
      </w:pPr>
      <w:r>
        <w:rPr>
          <w:rFonts w:hint="eastAsia" w:cs="宋体"/>
          <w:bCs/>
          <w:szCs w:val="21"/>
        </w:rPr>
        <w:t>（11）中标人所提供的货物数量、质量，必须经招标人验收，验收合格后才能进入食堂。如验收达不到招标人或招标文件要求，则应立刻退回，由此造成的一切损失由中标人承担。若中标人不听劝告，一再坚持错误继续供货，招标人有权拒付货款，并有权终止与中标人的采购合同，由此造成的卫生、安全质量后果，全部由中标人承担，招标人有权不予退回履约保证金。</w:t>
      </w:r>
    </w:p>
    <w:p>
      <w:pPr>
        <w:spacing w:line="360" w:lineRule="auto"/>
        <w:ind w:firstLine="420" w:firstLineChars="200"/>
        <w:rPr>
          <w:rFonts w:cs="宋体"/>
          <w:bCs/>
          <w:szCs w:val="21"/>
        </w:rPr>
      </w:pPr>
      <w:r>
        <w:rPr>
          <w:rFonts w:hint="eastAsia" w:cs="宋体"/>
          <w:bCs/>
          <w:szCs w:val="21"/>
        </w:rPr>
        <w:t>（12）中标人须提供保证供货服务的有关资料，如货物来源证明（生产地、厂家销售授权证书）、物资储备条件、运输车辆、职工人数等。</w:t>
      </w:r>
    </w:p>
    <w:p>
      <w:pPr>
        <w:pStyle w:val="8"/>
      </w:pPr>
      <w:r>
        <w:rPr>
          <w:rFonts w:hint="eastAsia"/>
        </w:rPr>
        <w:t>4.2.2服务要求</w:t>
      </w:r>
    </w:p>
    <w:p>
      <w:pPr>
        <w:spacing w:line="360" w:lineRule="auto"/>
        <w:ind w:firstLine="420" w:firstLineChars="200"/>
        <w:rPr>
          <w:rFonts w:cs="宋体"/>
          <w:bCs/>
          <w:szCs w:val="21"/>
        </w:rPr>
      </w:pPr>
      <w:r>
        <w:rPr>
          <w:rFonts w:hint="eastAsia" w:cs="宋体"/>
          <w:bCs/>
          <w:szCs w:val="21"/>
        </w:rPr>
        <w:t>（1）中标人必须按食堂下达的配送数量，及时保质、保量完成配送任务，并附本次食品安全检测报告及配送单据（单据内容包括供货日期、食品名称、规格、数量、生产批号、保质期、供货者名称、联系方式等，一式三联，验收签字后一张留食堂记台帐，一张作为结账凭据），不得无故推诿或缓送，确保食堂正常运行。</w:t>
      </w:r>
    </w:p>
    <w:p>
      <w:pPr>
        <w:spacing w:line="360" w:lineRule="auto"/>
        <w:ind w:firstLine="420" w:firstLineChars="200"/>
        <w:rPr>
          <w:rFonts w:cs="宋体"/>
          <w:bCs/>
          <w:szCs w:val="21"/>
        </w:rPr>
      </w:pPr>
      <w:r>
        <w:rPr>
          <w:rFonts w:hint="eastAsia" w:cs="宋体"/>
          <w:bCs/>
          <w:szCs w:val="21"/>
        </w:rPr>
        <w:t>（2）在同等质量和同等市场价格下，中标人应优先采购宁波市农业龙头企业的产品。</w:t>
      </w:r>
    </w:p>
    <w:p>
      <w:pPr>
        <w:spacing w:line="360" w:lineRule="auto"/>
        <w:ind w:firstLine="420" w:firstLineChars="200"/>
        <w:rPr>
          <w:rFonts w:hint="eastAsia" w:cs="宋体"/>
          <w:bCs/>
          <w:szCs w:val="21"/>
        </w:rPr>
      </w:pPr>
      <w:r>
        <w:rPr>
          <w:rFonts w:hint="eastAsia" w:cs="宋体"/>
          <w:bCs/>
          <w:szCs w:val="21"/>
        </w:rPr>
        <w:t>（3）按照其投标文件中的服务方案及优惠承诺提供服务及相应的优惠措施。部分食品如果有要求的，必须提供初加工。</w:t>
      </w:r>
    </w:p>
    <w:p>
      <w:pPr>
        <w:pStyle w:val="2"/>
        <w:numPr>
          <w:ilvl w:val="0"/>
          <w:numId w:val="0"/>
        </w:numPr>
        <w:ind w:leftChars="0" w:firstLine="420" w:firstLineChars="0"/>
        <w:rPr>
          <w:rFonts w:hint="eastAsia" w:eastAsia="宋体"/>
          <w:lang w:val="en-US" w:eastAsia="zh-CN"/>
        </w:rPr>
      </w:pPr>
      <w:r>
        <w:rPr>
          <w:rFonts w:hint="eastAsia" w:cs="宋体"/>
          <w:bCs/>
          <w:szCs w:val="21"/>
        </w:rPr>
        <w:t>（</w:t>
      </w:r>
      <w:r>
        <w:rPr>
          <w:rFonts w:hint="eastAsia" w:cs="宋体"/>
          <w:bCs/>
          <w:szCs w:val="21"/>
          <w:lang w:val="en-US" w:eastAsia="zh-CN"/>
        </w:rPr>
        <w:t>4</w:t>
      </w:r>
      <w:r>
        <w:rPr>
          <w:rFonts w:hint="eastAsia" w:cs="宋体"/>
          <w:bCs/>
          <w:szCs w:val="21"/>
        </w:rPr>
        <w:t>）</w:t>
      </w:r>
      <w:r>
        <w:rPr>
          <w:rFonts w:hint="eastAsia"/>
        </w:rPr>
        <w:t>服务期限</w:t>
      </w:r>
      <w:r>
        <w:rPr>
          <w:rFonts w:hint="eastAsia"/>
          <w:lang w:val="en-US" w:eastAsia="zh-CN"/>
        </w:rPr>
        <w:t>为2024年1月1日至2026年6月30日止</w:t>
      </w:r>
    </w:p>
    <w:p/>
    <w:p>
      <w:pPr>
        <w:pStyle w:val="7"/>
      </w:pPr>
      <w:r>
        <w:t>4.3</w:t>
      </w:r>
      <w:r>
        <w:rPr>
          <w:rFonts w:hint="eastAsia"/>
        </w:rPr>
        <w:t>技术和履约要求</w:t>
      </w:r>
      <w:bookmarkEnd w:id="7"/>
      <w:bookmarkEnd w:id="8"/>
      <w:bookmarkEnd w:id="9"/>
      <w:bookmarkEnd w:id="10"/>
      <w:bookmarkEnd w:id="11"/>
    </w:p>
    <w:p>
      <w:pPr>
        <w:spacing w:line="360" w:lineRule="auto"/>
        <w:ind w:right="-21" w:rightChars="-10" w:firstLine="480" w:firstLineChars="200"/>
        <w:rPr>
          <w:rFonts w:ascii="宋体" w:hAnsi="宋体" w:cs="宋体"/>
          <w:sz w:val="24"/>
          <w:u w:val="single"/>
        </w:rPr>
      </w:pPr>
      <w:r>
        <w:rPr>
          <w:rFonts w:hint="eastAsia" w:ascii="宋体" w:hAnsi="宋体" w:cs="宋体"/>
          <w:sz w:val="24"/>
          <w:u w:val="single"/>
        </w:rPr>
        <w:t>（产品（或服务）履行的期限、地点、方式、质量</w:t>
      </w:r>
      <w:r>
        <w:rPr>
          <w:rFonts w:ascii="宋体" w:hAnsi="宋体" w:cs="宋体"/>
          <w:sz w:val="24"/>
          <w:u w:val="single"/>
        </w:rPr>
        <w:t>要求、</w:t>
      </w:r>
      <w:r>
        <w:rPr>
          <w:rFonts w:hint="eastAsia" w:ascii="宋体" w:hAnsi="宋体" w:cs="宋体"/>
          <w:sz w:val="24"/>
          <w:u w:val="single"/>
        </w:rPr>
        <w:t>售后要求</w:t>
      </w:r>
      <w:r>
        <w:rPr>
          <w:rFonts w:ascii="宋体" w:hAnsi="宋体" w:cs="宋体"/>
          <w:sz w:val="24"/>
          <w:u w:val="single"/>
        </w:rPr>
        <w:t>、履约</w:t>
      </w:r>
      <w:r>
        <w:rPr>
          <w:rFonts w:hint="eastAsia" w:ascii="宋体" w:hAnsi="宋体" w:cs="宋体"/>
          <w:sz w:val="24"/>
          <w:u w:val="single"/>
        </w:rPr>
        <w:t>程序、监督</w:t>
      </w:r>
      <w:r>
        <w:rPr>
          <w:rFonts w:ascii="宋体" w:hAnsi="宋体" w:cs="宋体"/>
          <w:sz w:val="24"/>
          <w:u w:val="single"/>
        </w:rPr>
        <w:t>管理</w:t>
      </w:r>
      <w:r>
        <w:rPr>
          <w:rFonts w:hint="eastAsia" w:ascii="宋体" w:hAnsi="宋体" w:cs="宋体"/>
          <w:sz w:val="24"/>
          <w:u w:val="single"/>
        </w:rPr>
        <w:t>等）</w:t>
      </w:r>
    </w:p>
    <w:p>
      <w:pPr>
        <w:pStyle w:val="8"/>
      </w:pPr>
      <w:r>
        <w:rPr>
          <w:rFonts w:hint="eastAsia"/>
        </w:rPr>
        <w:t>4.3.1服务响应时间</w:t>
      </w:r>
    </w:p>
    <w:p>
      <w:pPr>
        <w:spacing w:line="360" w:lineRule="auto"/>
        <w:ind w:firstLine="420" w:firstLineChars="200"/>
        <w:rPr>
          <w:szCs w:val="21"/>
        </w:rPr>
      </w:pPr>
      <w:r>
        <w:rPr>
          <w:rFonts w:hint="eastAsia"/>
          <w:szCs w:val="21"/>
        </w:rPr>
        <w:t>中标人必须在次日上午8:00前将招标人所需货品配送至招标人的指定的食堂。</w:t>
      </w:r>
    </w:p>
    <w:p>
      <w:pPr>
        <w:spacing w:line="360" w:lineRule="auto"/>
        <w:ind w:firstLine="420" w:firstLineChars="200"/>
      </w:pPr>
      <w:r>
        <w:rPr>
          <w:rFonts w:hint="eastAsia"/>
          <w:szCs w:val="21"/>
        </w:rPr>
        <w:t>针对招标人提出的二次配送或临时性配送，中标人应在1小时内完成货品的配送。</w:t>
      </w:r>
    </w:p>
    <w:p>
      <w:pPr>
        <w:pStyle w:val="8"/>
      </w:pPr>
      <w:r>
        <w:rPr>
          <w:rFonts w:hint="eastAsia"/>
        </w:rPr>
        <w:t>4.3.2服务地点</w:t>
      </w:r>
    </w:p>
    <w:p>
      <w:pPr>
        <w:spacing w:line="360" w:lineRule="auto"/>
        <w:ind w:firstLine="420" w:firstLineChars="200"/>
        <w:rPr>
          <w:bCs/>
          <w:szCs w:val="21"/>
        </w:rPr>
      </w:pPr>
      <w:r>
        <w:rPr>
          <w:rFonts w:hint="eastAsia"/>
          <w:bCs/>
          <w:szCs w:val="21"/>
        </w:rPr>
        <w:t>宁波市烟草公司北仑分公司下属3个食堂（北仑区新碶街道新大路225号、小港街道小浃江中路158号、柴桥街道庐江南路78号）</w:t>
      </w:r>
    </w:p>
    <w:p>
      <w:pPr>
        <w:pStyle w:val="8"/>
      </w:pPr>
      <w:r>
        <w:rPr>
          <w:rFonts w:hint="eastAsia"/>
        </w:rPr>
        <w:t>4.3.3履约保证金</w:t>
      </w:r>
    </w:p>
    <w:p>
      <w:pPr>
        <w:spacing w:line="360" w:lineRule="auto"/>
        <w:ind w:right="-21" w:rightChars="-10" w:firstLine="420" w:firstLineChars="200"/>
        <w:rPr>
          <w:b/>
          <w:szCs w:val="21"/>
        </w:rPr>
      </w:pPr>
      <w:r>
        <w:rPr>
          <w:rFonts w:hint="eastAsia" w:cs="宋体"/>
          <w:szCs w:val="21"/>
        </w:rPr>
        <w:t>合同签订后的</w:t>
      </w:r>
      <w:r>
        <w:rPr>
          <w:rFonts w:hint="eastAsia" w:cs="宋体"/>
          <w:szCs w:val="21"/>
          <w:u w:val="single"/>
        </w:rPr>
        <w:t xml:space="preserve"> </w:t>
      </w:r>
      <w:r>
        <w:rPr>
          <w:rFonts w:cs="宋体"/>
          <w:szCs w:val="21"/>
          <w:u w:val="single"/>
        </w:rPr>
        <w:t>1</w:t>
      </w:r>
      <w:r>
        <w:rPr>
          <w:rFonts w:hint="eastAsia" w:cs="宋体"/>
          <w:szCs w:val="21"/>
          <w:u w:val="single"/>
        </w:rPr>
        <w:t xml:space="preserve">5 </w:t>
      </w:r>
      <w:r>
        <w:rPr>
          <w:rFonts w:hint="eastAsia" w:cs="宋体"/>
          <w:szCs w:val="21"/>
        </w:rPr>
        <w:t>日内向招标人缴纳年度项目概算3%的履约保证金，若中标人拒交履约保证金的，招标人将取消其中标资格，并不予退还其投标保证金。合同履约完毕，扣除中标人因违约时所需支付的违约金后，</w:t>
      </w:r>
      <w:r>
        <w:rPr>
          <w:rFonts w:hint="eastAsia" w:cs="宋体"/>
          <w:szCs w:val="21"/>
          <w:u w:val="single"/>
        </w:rPr>
        <w:t xml:space="preserve"> 30 </w:t>
      </w:r>
      <w:r>
        <w:rPr>
          <w:rFonts w:hint="eastAsia" w:cs="宋体"/>
          <w:szCs w:val="21"/>
        </w:rPr>
        <w:t>个日历天内退还履约保证金；履约保证金以银行保函以外方式缴纳的，一并退还按央行活期存款基准利率计算的银行同期存款利息。</w:t>
      </w:r>
    </w:p>
    <w:p>
      <w:pPr>
        <w:pStyle w:val="2"/>
        <w:ind w:firstLine="210"/>
      </w:pPr>
    </w:p>
    <w:p>
      <w:pPr>
        <w:pStyle w:val="7"/>
      </w:pPr>
      <w:r>
        <w:t>4.4</w:t>
      </w:r>
      <w:r>
        <w:rPr>
          <w:rFonts w:hint="eastAsia"/>
        </w:rPr>
        <w:t>最高限价</w:t>
      </w:r>
      <w:r>
        <w:t>及报价要求</w:t>
      </w:r>
    </w:p>
    <w:p>
      <w:pPr>
        <w:spacing w:line="360" w:lineRule="auto"/>
        <w:ind w:right="-21" w:rightChars="-10" w:firstLine="480" w:firstLineChars="200"/>
        <w:rPr>
          <w:rFonts w:ascii="宋体" w:hAnsi="宋体" w:cs="宋体"/>
          <w:sz w:val="24"/>
          <w:u w:val="single"/>
        </w:rPr>
      </w:pPr>
      <w:r>
        <w:rPr>
          <w:rFonts w:hint="eastAsia" w:ascii="宋体" w:hAnsi="宋体" w:cs="宋体"/>
          <w:sz w:val="24"/>
          <w:u w:val="single"/>
        </w:rPr>
        <w:t>（根据控制价</w:t>
      </w:r>
      <w:r>
        <w:rPr>
          <w:rFonts w:ascii="宋体" w:hAnsi="宋体" w:cs="宋体"/>
          <w:sz w:val="24"/>
          <w:u w:val="single"/>
        </w:rPr>
        <w:t>类型表述</w:t>
      </w:r>
      <w:r>
        <w:rPr>
          <w:rFonts w:hint="eastAsia" w:ascii="宋体" w:hAnsi="宋体" w:cs="宋体"/>
          <w:sz w:val="24"/>
          <w:u w:val="single"/>
        </w:rPr>
        <w:t>）</w:t>
      </w:r>
    </w:p>
    <w:p>
      <w:pPr>
        <w:spacing w:line="360" w:lineRule="auto"/>
        <w:ind w:firstLine="420" w:firstLineChars="200"/>
        <w:rPr>
          <w:color w:val="000000"/>
          <w:szCs w:val="21"/>
          <w:lang w:val="zh-CN"/>
        </w:rPr>
      </w:pPr>
      <w:r>
        <w:rPr>
          <w:rFonts w:hint="eastAsia"/>
          <w:color w:val="000000"/>
          <w:szCs w:val="21"/>
        </w:rPr>
        <w:t>（1）</w:t>
      </w:r>
      <w:r>
        <w:rPr>
          <w:rFonts w:hint="eastAsia"/>
          <w:color w:val="000000"/>
          <w:szCs w:val="21"/>
          <w:lang w:val="zh-CN"/>
        </w:rPr>
        <w:t>中标</w:t>
      </w:r>
      <w:r>
        <w:rPr>
          <w:color w:val="000000"/>
          <w:szCs w:val="21"/>
          <w:lang w:val="zh-CN"/>
        </w:rPr>
        <w:t>人</w:t>
      </w:r>
      <w:r>
        <w:rPr>
          <w:rFonts w:hint="eastAsia"/>
          <w:color w:val="000000"/>
          <w:szCs w:val="21"/>
          <w:lang w:val="zh-CN"/>
        </w:rPr>
        <w:t>须在合同签订后5个工作日内完成食堂物资基本信息对应表制作。</w:t>
      </w:r>
    </w:p>
    <w:p>
      <w:pPr>
        <w:spacing w:line="360" w:lineRule="auto"/>
        <w:ind w:firstLine="420" w:firstLineChars="200"/>
        <w:rPr>
          <w:bCs/>
          <w:color w:val="000000"/>
          <w:szCs w:val="21"/>
          <w:lang w:val="zh-CN"/>
        </w:rPr>
      </w:pPr>
      <w:r>
        <w:rPr>
          <w:rFonts w:hint="eastAsia"/>
          <w:color w:val="000000"/>
          <w:szCs w:val="21"/>
          <w:lang w:val="zh-CN"/>
        </w:rPr>
        <w:t>（2）供货定价：每周组织一次产品定价，确定下一供货周期内产品的供货基准价。并按照要求进行报价，所报价格为基准价，即中标</w:t>
      </w:r>
      <w:r>
        <w:rPr>
          <w:color w:val="000000"/>
          <w:szCs w:val="21"/>
          <w:lang w:val="zh-CN"/>
        </w:rPr>
        <w:t>人</w:t>
      </w:r>
      <w:r>
        <w:rPr>
          <w:rFonts w:hint="eastAsia"/>
          <w:color w:val="000000"/>
          <w:szCs w:val="21"/>
          <w:lang w:val="zh-CN"/>
        </w:rPr>
        <w:t>以自己公开售价为基础向招标人</w:t>
      </w:r>
      <w:r>
        <w:rPr>
          <w:rFonts w:hint="eastAsia"/>
          <w:color w:val="000000"/>
          <w:szCs w:val="21"/>
        </w:rPr>
        <w:t>提供</w:t>
      </w:r>
      <w:r>
        <w:rPr>
          <w:rFonts w:hint="eastAsia"/>
          <w:color w:val="000000"/>
          <w:szCs w:val="21"/>
          <w:lang w:val="zh-CN"/>
        </w:rPr>
        <w:t>的报价。</w:t>
      </w:r>
      <w:r>
        <w:rPr>
          <w:rFonts w:hint="eastAsia"/>
          <w:szCs w:val="21"/>
        </w:rPr>
        <w:t>中标人必须于定价日自报</w:t>
      </w:r>
      <w:r>
        <w:rPr>
          <w:rFonts w:hint="eastAsia"/>
          <w:bCs/>
          <w:color w:val="000000"/>
          <w:szCs w:val="21"/>
          <w:lang w:val="zh-CN"/>
        </w:rPr>
        <w:t>基准价</w:t>
      </w:r>
      <w:r>
        <w:rPr>
          <w:rFonts w:hint="eastAsia"/>
          <w:szCs w:val="21"/>
        </w:rPr>
        <w:t>作为下一供货周期</w:t>
      </w:r>
      <w:r>
        <w:rPr>
          <w:szCs w:val="21"/>
        </w:rPr>
        <w:t>成交价基准</w:t>
      </w:r>
      <w:r>
        <w:rPr>
          <w:rFonts w:hint="eastAsia"/>
          <w:szCs w:val="21"/>
        </w:rPr>
        <w:t>，</w:t>
      </w:r>
      <w:r>
        <w:rPr>
          <w:szCs w:val="21"/>
        </w:rPr>
        <w:t>并承诺诚信报价</w:t>
      </w:r>
      <w:r>
        <w:rPr>
          <w:rFonts w:hint="eastAsia"/>
          <w:szCs w:val="21"/>
        </w:rPr>
        <w:t>。</w:t>
      </w:r>
    </w:p>
    <w:p>
      <w:pPr>
        <w:spacing w:line="360" w:lineRule="auto"/>
        <w:ind w:firstLine="420" w:firstLineChars="200"/>
        <w:rPr>
          <w:szCs w:val="21"/>
        </w:rPr>
      </w:pPr>
      <w:r>
        <w:rPr>
          <w:rFonts w:hint="eastAsia"/>
          <w:bCs/>
          <w:color w:val="000000"/>
          <w:szCs w:val="21"/>
          <w:lang w:val="zh-CN"/>
        </w:rPr>
        <w:t>定价时以定价日最近一天物价部门公布的</w:t>
      </w:r>
      <w:r>
        <w:rPr>
          <w:bCs/>
          <w:color w:val="000000"/>
          <w:szCs w:val="21"/>
        </w:rPr>
        <w:t>市场</w:t>
      </w:r>
      <w:r>
        <w:rPr>
          <w:rFonts w:hint="eastAsia"/>
          <w:bCs/>
          <w:color w:val="000000"/>
          <w:szCs w:val="21"/>
          <w:lang w:val="zh-CN"/>
        </w:rPr>
        <w:t>价格为准（以每周公布时间）</w:t>
      </w:r>
      <w:r>
        <w:rPr>
          <w:bCs/>
          <w:color w:val="000000"/>
          <w:szCs w:val="21"/>
        </w:rPr>
        <w:t>。</w:t>
      </w:r>
      <w:r>
        <w:rPr>
          <w:szCs w:val="21"/>
        </w:rPr>
        <w:t>所报基准</w:t>
      </w:r>
      <w:r>
        <w:rPr>
          <w:rFonts w:hint="eastAsia"/>
          <w:szCs w:val="21"/>
        </w:rPr>
        <w:t>价</w:t>
      </w:r>
      <w:r>
        <w:rPr>
          <w:szCs w:val="21"/>
        </w:rPr>
        <w:t>不得高于</w:t>
      </w:r>
      <w:r>
        <w:rPr>
          <w:rFonts w:hint="eastAsia"/>
          <w:szCs w:val="21"/>
        </w:rPr>
        <w:t>市发展和改革委员会网（http://fgw.ningbo.gov.cn/col/col1229020662/index.html）每周公布的“菜篮子民生商品价格监测”表中的最高价</w:t>
      </w:r>
      <w:r>
        <w:rPr>
          <w:szCs w:val="21"/>
        </w:rPr>
        <w:t>或当期市场价。</w:t>
      </w:r>
      <w:r>
        <w:rPr>
          <w:rFonts w:hint="eastAsia"/>
          <w:szCs w:val="21"/>
        </w:rPr>
        <w:t>如“菜篮子民生商品价格监测”表中没有该类食品，以“超市民生商品价格监测”食品最高价补充，如“菜篮子民生商品价格监测”及“超市民生商品价格监测”均没有该类食品，招标人有权至菜场对市场价进行实地调研。</w:t>
      </w:r>
    </w:p>
    <w:p>
      <w:pPr>
        <w:spacing w:line="360" w:lineRule="auto"/>
        <w:ind w:firstLine="420" w:firstLineChars="200"/>
        <w:rPr>
          <w:rFonts w:hint="eastAsia"/>
          <w:szCs w:val="21"/>
        </w:rPr>
      </w:pPr>
      <w:r>
        <w:rPr>
          <w:rFonts w:hint="eastAsia"/>
          <w:szCs w:val="21"/>
        </w:rPr>
        <w:t>（3）招标人有权对市场价格进行了解监督，若中标人恶意虚报价格，每发生一次加倍扣除相应货物金额，累计发生三次终止合同并没收履约保证金。</w:t>
      </w:r>
    </w:p>
    <w:p>
      <w:pPr>
        <w:pStyle w:val="7"/>
      </w:pPr>
      <w:bookmarkStart w:id="12" w:name="_Toc21179"/>
      <w:bookmarkStart w:id="13" w:name="_Toc486344782"/>
      <w:bookmarkStart w:id="14" w:name="_Toc19242"/>
      <w:bookmarkStart w:id="15" w:name="_Toc4423639"/>
      <w:bookmarkStart w:id="16" w:name="_Toc452129879"/>
      <w:bookmarkStart w:id="17" w:name="_Toc414286123"/>
      <w:r>
        <w:t>4.5</w:t>
      </w:r>
      <w:r>
        <w:rPr>
          <w:rFonts w:hint="eastAsia"/>
        </w:rPr>
        <w:t>验收要求</w:t>
      </w:r>
      <w:bookmarkEnd w:id="12"/>
      <w:bookmarkEnd w:id="13"/>
      <w:bookmarkEnd w:id="14"/>
      <w:bookmarkEnd w:id="15"/>
      <w:bookmarkStart w:id="18" w:name="_Toc486344779"/>
      <w:bookmarkStart w:id="19" w:name="_Toc328578343"/>
      <w:bookmarkStart w:id="20" w:name="_Toc4423636"/>
    </w:p>
    <w:p>
      <w:pPr>
        <w:spacing w:line="360" w:lineRule="auto"/>
        <w:ind w:right="-21" w:rightChars="-10" w:firstLine="480" w:firstLineChars="200"/>
        <w:rPr>
          <w:rFonts w:ascii="宋体" w:hAnsi="宋体" w:cs="宋体"/>
          <w:sz w:val="24"/>
          <w:u w:val="single"/>
        </w:rPr>
      </w:pPr>
      <w:bookmarkStart w:id="21" w:name="_Hlk163205017"/>
      <w:r>
        <w:rPr>
          <w:rFonts w:hint="eastAsia" w:ascii="宋体" w:hAnsi="宋体" w:cs="宋体"/>
          <w:sz w:val="24"/>
          <w:u w:val="single"/>
        </w:rPr>
        <w:t>验收标准</w:t>
      </w:r>
      <w:bookmarkEnd w:id="21"/>
      <w:r>
        <w:rPr>
          <w:rFonts w:hint="eastAsia" w:ascii="宋体" w:hAnsi="宋体" w:cs="宋体"/>
          <w:sz w:val="24"/>
          <w:u w:val="single"/>
        </w:rPr>
        <w:t>、程序</w:t>
      </w:r>
      <w:r>
        <w:rPr>
          <w:rFonts w:ascii="宋体" w:hAnsi="宋体" w:cs="宋体"/>
          <w:sz w:val="24"/>
          <w:u w:val="single"/>
        </w:rPr>
        <w:t>、</w:t>
      </w:r>
      <w:r>
        <w:rPr>
          <w:rFonts w:hint="eastAsia" w:ascii="宋体" w:hAnsi="宋体" w:cs="宋体"/>
          <w:sz w:val="24"/>
          <w:u w:val="single"/>
        </w:rPr>
        <w:t>供应商</w:t>
      </w:r>
      <w:r>
        <w:rPr>
          <w:rFonts w:ascii="宋体" w:hAnsi="宋体" w:cs="宋体"/>
          <w:sz w:val="24"/>
          <w:u w:val="single"/>
        </w:rPr>
        <w:t>评价</w:t>
      </w:r>
    </w:p>
    <w:p>
      <w:pPr>
        <w:snapToGrid w:val="0"/>
        <w:spacing w:line="360" w:lineRule="auto"/>
        <w:ind w:firstLine="480"/>
        <w:jc w:val="left"/>
        <w:rPr>
          <w:b/>
          <w:szCs w:val="21"/>
          <w:lang w:val="zh-CN"/>
        </w:rPr>
      </w:pPr>
    </w:p>
    <w:p>
      <w:pPr>
        <w:snapToGrid w:val="0"/>
        <w:spacing w:line="360" w:lineRule="auto"/>
        <w:ind w:firstLine="480"/>
        <w:jc w:val="left"/>
        <w:rPr>
          <w:b/>
          <w:szCs w:val="21"/>
          <w:lang w:val="zh-CN"/>
        </w:rPr>
      </w:pPr>
      <w:r>
        <w:rPr>
          <w:rFonts w:hint="eastAsia"/>
          <w:b/>
          <w:szCs w:val="21"/>
          <w:lang w:val="zh-CN"/>
        </w:rPr>
        <w:t>验收程序</w:t>
      </w:r>
    </w:p>
    <w:p>
      <w:pPr>
        <w:tabs>
          <w:tab w:val="left" w:pos="0"/>
        </w:tabs>
        <w:spacing w:line="360" w:lineRule="auto"/>
        <w:ind w:firstLine="420" w:firstLineChars="200"/>
        <w:rPr>
          <w:rFonts w:cs="宋体"/>
          <w:bCs/>
          <w:szCs w:val="21"/>
        </w:rPr>
      </w:pPr>
      <w:r>
        <w:rPr>
          <w:rFonts w:cs="宋体"/>
          <w:bCs/>
          <w:szCs w:val="21"/>
        </w:rPr>
        <w:t>各招标人在签收货物前</w:t>
      </w:r>
      <w:r>
        <w:rPr>
          <w:rFonts w:hint="eastAsia" w:cs="宋体"/>
          <w:bCs/>
          <w:szCs w:val="21"/>
        </w:rPr>
        <w:t>，具有</w:t>
      </w:r>
      <w:r>
        <w:rPr>
          <w:rFonts w:cs="宋体"/>
          <w:bCs/>
          <w:szCs w:val="21"/>
        </w:rPr>
        <w:t>验货的权利，验货前货物</w:t>
      </w:r>
      <w:r>
        <w:rPr>
          <w:rFonts w:hint="eastAsia" w:cs="宋体"/>
          <w:bCs/>
          <w:szCs w:val="21"/>
        </w:rPr>
        <w:t>毁损</w:t>
      </w:r>
      <w:r>
        <w:rPr>
          <w:rFonts w:cs="宋体"/>
          <w:bCs/>
          <w:szCs w:val="21"/>
        </w:rPr>
        <w:t>、灭失的风险由中标人承担。若</w:t>
      </w:r>
      <w:r>
        <w:rPr>
          <w:rFonts w:hint="eastAsia" w:cs="宋体"/>
          <w:bCs/>
          <w:szCs w:val="21"/>
        </w:rPr>
        <w:t>发现</w:t>
      </w:r>
      <w:r>
        <w:rPr>
          <w:rFonts w:cs="宋体"/>
          <w:bCs/>
          <w:szCs w:val="21"/>
        </w:rPr>
        <w:t>食材不新鲜或在运输</w:t>
      </w:r>
      <w:r>
        <w:rPr>
          <w:rFonts w:hint="eastAsia" w:cs="宋体"/>
          <w:bCs/>
          <w:szCs w:val="21"/>
        </w:rPr>
        <w:t>途中</w:t>
      </w:r>
      <w:r>
        <w:rPr>
          <w:rFonts w:cs="宋体"/>
          <w:bCs/>
          <w:szCs w:val="21"/>
        </w:rPr>
        <w:t>发生损坏的，可</w:t>
      </w:r>
      <w:r>
        <w:rPr>
          <w:rFonts w:hint="eastAsia" w:cs="宋体"/>
          <w:bCs/>
          <w:szCs w:val="21"/>
        </w:rPr>
        <w:t>当场拒收</w:t>
      </w:r>
      <w:r>
        <w:rPr>
          <w:rFonts w:cs="宋体"/>
          <w:bCs/>
          <w:szCs w:val="21"/>
        </w:rPr>
        <w:t>并退货，并承担按招标人要求重新补</w:t>
      </w:r>
      <w:r>
        <w:rPr>
          <w:rFonts w:hint="eastAsia" w:cs="宋体"/>
          <w:bCs/>
          <w:szCs w:val="21"/>
        </w:rPr>
        <w:t>送</w:t>
      </w:r>
      <w:r>
        <w:rPr>
          <w:rFonts w:cs="宋体"/>
          <w:bCs/>
          <w:szCs w:val="21"/>
        </w:rPr>
        <w:t>相关商品，所造成的</w:t>
      </w:r>
      <w:r>
        <w:rPr>
          <w:rFonts w:hint="eastAsia" w:cs="宋体"/>
          <w:bCs/>
          <w:szCs w:val="21"/>
        </w:rPr>
        <w:t>一切</w:t>
      </w:r>
      <w:r>
        <w:rPr>
          <w:rFonts w:cs="宋体"/>
          <w:bCs/>
          <w:szCs w:val="21"/>
        </w:rPr>
        <w:t>费用损失</w:t>
      </w:r>
      <w:r>
        <w:rPr>
          <w:rFonts w:hint="eastAsia" w:cs="宋体"/>
          <w:bCs/>
          <w:szCs w:val="21"/>
        </w:rPr>
        <w:t>由</w:t>
      </w:r>
      <w:r>
        <w:rPr>
          <w:rFonts w:cs="宋体"/>
          <w:bCs/>
          <w:szCs w:val="21"/>
        </w:rPr>
        <w:t>中标人承担。</w:t>
      </w:r>
    </w:p>
    <w:p>
      <w:pPr>
        <w:snapToGrid w:val="0"/>
        <w:spacing w:line="360" w:lineRule="auto"/>
        <w:ind w:firstLine="480"/>
        <w:jc w:val="left"/>
        <w:rPr>
          <w:bCs/>
          <w:szCs w:val="21"/>
          <w:lang w:val="zh-CN"/>
        </w:rPr>
      </w:pPr>
    </w:p>
    <w:p>
      <w:pPr>
        <w:snapToGrid w:val="0"/>
        <w:spacing w:line="360" w:lineRule="auto"/>
        <w:ind w:firstLine="480"/>
        <w:jc w:val="left"/>
        <w:rPr>
          <w:b/>
          <w:szCs w:val="21"/>
          <w:lang w:val="zh-CN"/>
        </w:rPr>
      </w:pPr>
      <w:r>
        <w:rPr>
          <w:rFonts w:hint="eastAsia"/>
          <w:b/>
          <w:szCs w:val="21"/>
          <w:lang w:val="zh-CN"/>
        </w:rPr>
        <w:t>供应商评价</w:t>
      </w:r>
    </w:p>
    <w:p>
      <w:pPr>
        <w:snapToGrid w:val="0"/>
        <w:spacing w:line="360" w:lineRule="auto"/>
        <w:ind w:firstLine="480"/>
        <w:jc w:val="left"/>
        <w:rPr>
          <w:bCs/>
          <w:szCs w:val="21"/>
          <w:lang w:val="zh-CN"/>
        </w:rPr>
      </w:pPr>
      <w:r>
        <w:rPr>
          <w:rFonts w:hint="eastAsia"/>
          <w:bCs/>
          <w:szCs w:val="21"/>
          <w:lang w:val="zh-CN"/>
        </w:rPr>
        <w:t>评价围绕</w:t>
      </w:r>
      <w:r>
        <w:rPr>
          <w:rFonts w:hint="eastAsia"/>
          <w:bCs/>
          <w:szCs w:val="21"/>
        </w:rPr>
        <w:t>乙方</w:t>
      </w:r>
      <w:r>
        <w:rPr>
          <w:rFonts w:hint="eastAsia"/>
          <w:bCs/>
          <w:szCs w:val="21"/>
          <w:lang w:val="zh-CN"/>
        </w:rPr>
        <w:t>在采购活动及合同履行过程中存在的违法、违规、违约等内容展开，评价种类及频次、</w:t>
      </w:r>
      <w:r>
        <w:rPr>
          <w:rFonts w:hint="eastAsia"/>
          <w:bCs/>
          <w:szCs w:val="21"/>
        </w:rPr>
        <w:t>评价内容</w:t>
      </w:r>
      <w:r>
        <w:rPr>
          <w:rFonts w:hint="eastAsia"/>
          <w:bCs/>
          <w:szCs w:val="21"/>
          <w:lang w:val="zh-CN"/>
        </w:rPr>
        <w:t>等具体内容如下：</w:t>
      </w:r>
    </w:p>
    <w:p>
      <w:pPr>
        <w:snapToGrid w:val="0"/>
        <w:spacing w:line="360" w:lineRule="auto"/>
        <w:ind w:firstLine="480"/>
        <w:jc w:val="left"/>
        <w:rPr>
          <w:bCs/>
          <w:szCs w:val="21"/>
          <w:lang w:val="zh-CN"/>
        </w:rPr>
      </w:pPr>
      <w:r>
        <w:rPr>
          <w:rFonts w:hint="eastAsia"/>
          <w:bCs/>
          <w:szCs w:val="21"/>
          <w:lang w:val="zh-CN"/>
        </w:rPr>
        <w:t>（</w:t>
      </w:r>
      <w:r>
        <w:rPr>
          <w:rFonts w:hint="eastAsia"/>
          <w:bCs/>
          <w:szCs w:val="21"/>
        </w:rPr>
        <w:t>一</w:t>
      </w:r>
      <w:r>
        <w:rPr>
          <w:rFonts w:hint="eastAsia"/>
          <w:bCs/>
          <w:szCs w:val="21"/>
          <w:lang w:val="zh-CN"/>
        </w:rPr>
        <w:t>）评价种类及频次：分为付款验收评价和综合评价，付款验收评价是指每次付款前</w:t>
      </w:r>
      <w:r>
        <w:rPr>
          <w:rFonts w:hint="eastAsia"/>
          <w:bCs/>
          <w:szCs w:val="21"/>
          <w:lang w:val="zh-CN" w:eastAsia="zh-Hans"/>
        </w:rPr>
        <w:t>按合同约定</w:t>
      </w:r>
      <w:r>
        <w:rPr>
          <w:rFonts w:hint="eastAsia"/>
          <w:bCs/>
          <w:szCs w:val="21"/>
          <w:lang w:val="zh-CN"/>
        </w:rPr>
        <w:t>进行的单次验收评价；综合评价是指</w:t>
      </w:r>
      <w:r>
        <w:rPr>
          <w:rFonts w:hint="eastAsia"/>
          <w:bCs/>
          <w:szCs w:val="21"/>
          <w:lang w:val="zh-CN" w:eastAsia="zh-Hans"/>
        </w:rPr>
        <w:t>按合同约定</w:t>
      </w:r>
      <w:r>
        <w:rPr>
          <w:rFonts w:hint="eastAsia"/>
          <w:bCs/>
          <w:szCs w:val="21"/>
          <w:lang w:val="zh-CN"/>
        </w:rPr>
        <w:t>对</w:t>
      </w:r>
      <w:r>
        <w:rPr>
          <w:rFonts w:hint="eastAsia"/>
          <w:bCs/>
          <w:szCs w:val="21"/>
        </w:rPr>
        <w:t>乙方</w:t>
      </w:r>
      <w:r>
        <w:rPr>
          <w:rFonts w:hint="eastAsia"/>
          <w:bCs/>
          <w:szCs w:val="21"/>
          <w:lang w:val="zh-CN"/>
        </w:rPr>
        <w:t>进行的年度综合评价；</w:t>
      </w:r>
    </w:p>
    <w:p>
      <w:pPr>
        <w:snapToGrid w:val="0"/>
        <w:spacing w:line="360" w:lineRule="auto"/>
        <w:ind w:firstLine="480"/>
        <w:jc w:val="left"/>
        <w:rPr>
          <w:bCs/>
          <w:szCs w:val="21"/>
          <w:lang w:val="zh-CN"/>
        </w:rPr>
      </w:pPr>
      <w:r>
        <w:rPr>
          <w:rFonts w:hint="eastAsia"/>
          <w:bCs/>
          <w:szCs w:val="21"/>
          <w:lang w:val="zh-CN"/>
        </w:rPr>
        <w:t>（</w:t>
      </w:r>
      <w:r>
        <w:rPr>
          <w:rFonts w:hint="eastAsia"/>
          <w:bCs/>
          <w:szCs w:val="21"/>
        </w:rPr>
        <w:t>二</w:t>
      </w:r>
      <w:r>
        <w:rPr>
          <w:rFonts w:hint="eastAsia"/>
          <w:bCs/>
          <w:szCs w:val="21"/>
          <w:lang w:val="zh-CN"/>
        </w:rPr>
        <w:t>）付款验收评价内容及等级：</w:t>
      </w:r>
      <w:r>
        <w:rPr>
          <w:rFonts w:hint="eastAsia"/>
          <w:bCs/>
          <w:szCs w:val="21"/>
          <w:lang w:val="zh-CN" w:eastAsia="zh-Hans"/>
        </w:rPr>
        <w:t>付款验收评价从质量、服务、进度、人员及组织等方面展开</w:t>
      </w:r>
      <w:r>
        <w:rPr>
          <w:rFonts w:hint="eastAsia"/>
          <w:bCs/>
          <w:szCs w:val="21"/>
          <w:lang w:val="zh-CN"/>
        </w:rPr>
        <w:t>；评价等级分为A、B、C、D四个等级，得分90分以上的为A；得分80分以上、不足90分的为B；得分70分以上、不足80分的为C；得分不足70分的为D；付款验收评价结果等级为D的，须从应支付款项中扣减¥</w:t>
      </w:r>
      <w:r>
        <w:rPr>
          <w:rFonts w:hint="eastAsia"/>
          <w:bCs/>
          <w:szCs w:val="21"/>
          <w:u w:val="single"/>
          <w:lang w:val="zh-CN"/>
        </w:rPr>
        <w:t xml:space="preserve">      </w:t>
      </w:r>
      <w:r>
        <w:rPr>
          <w:rFonts w:hint="eastAsia"/>
          <w:bCs/>
          <w:szCs w:val="21"/>
          <w:u w:val="single"/>
        </w:rPr>
        <w:t xml:space="preserve">  </w:t>
      </w:r>
      <w:r>
        <w:rPr>
          <w:rFonts w:hint="eastAsia"/>
          <w:bCs/>
          <w:szCs w:val="21"/>
          <w:lang w:val="zh-CN"/>
        </w:rPr>
        <w:t>（大写：</w:t>
      </w:r>
      <w:r>
        <w:rPr>
          <w:rFonts w:hint="eastAsia"/>
          <w:bCs/>
          <w:szCs w:val="21"/>
          <w:u w:val="single"/>
          <w:lang w:val="zh-CN"/>
        </w:rPr>
        <w:t xml:space="preserve">         </w:t>
      </w:r>
      <w:r>
        <w:rPr>
          <w:rFonts w:hint="eastAsia"/>
          <w:bCs/>
          <w:szCs w:val="21"/>
          <w:lang w:val="zh-CN"/>
        </w:rPr>
        <w:t>）；</w:t>
      </w:r>
    </w:p>
    <w:p>
      <w:pPr>
        <w:pStyle w:val="2"/>
        <w:ind w:firstLine="210"/>
        <w:rPr>
          <w:rFonts w:hint="eastAsia"/>
          <w:bCs/>
          <w:szCs w:val="21"/>
          <w:lang w:val="zh-CN"/>
        </w:rPr>
      </w:pPr>
      <w:r>
        <w:rPr>
          <w:rFonts w:hint="eastAsia"/>
          <w:bCs/>
          <w:szCs w:val="21"/>
          <w:lang w:val="zh-CN"/>
        </w:rPr>
        <w:t>（</w:t>
      </w:r>
      <w:r>
        <w:rPr>
          <w:rFonts w:hint="eastAsia"/>
          <w:bCs/>
          <w:szCs w:val="21"/>
        </w:rPr>
        <w:t>三</w:t>
      </w:r>
      <w:r>
        <w:rPr>
          <w:rFonts w:hint="eastAsia"/>
          <w:bCs/>
          <w:szCs w:val="21"/>
          <w:lang w:val="zh-CN"/>
        </w:rPr>
        <w:t>）综合评价内容及等级：综合评价从</w:t>
      </w:r>
      <w:r>
        <w:rPr>
          <w:rFonts w:hint="eastAsia"/>
          <w:bCs/>
          <w:szCs w:val="21"/>
          <w:lang w:val="zh-CN" w:eastAsia="zh-Hans"/>
        </w:rPr>
        <w:t>历次付款验收评价、综合评议</w:t>
      </w:r>
      <w:r>
        <w:rPr>
          <w:rFonts w:hint="eastAsia"/>
          <w:bCs/>
          <w:szCs w:val="21"/>
          <w:lang w:val="zh-CN"/>
        </w:rPr>
        <w:t>等方面展开；综合评价等级分为优秀、良好、合格、不合格等四个等级，得分90分以上的为优秀；得分80分以上、不足90分的为良好；得分70分以上、不足80分的为合格；得分不足70分的为不合格。</w:t>
      </w:r>
    </w:p>
    <w:p>
      <w:pPr>
        <w:pStyle w:val="7"/>
      </w:pPr>
      <w:bookmarkStart w:id="22" w:name="_Toc29903"/>
      <w:bookmarkStart w:id="23" w:name="_Toc16613"/>
      <w:r>
        <w:t>4.6</w:t>
      </w:r>
      <w:r>
        <w:rPr>
          <w:rFonts w:hint="eastAsia"/>
        </w:rPr>
        <w:t>付款方</w:t>
      </w:r>
      <w:bookmarkEnd w:id="18"/>
      <w:bookmarkEnd w:id="19"/>
      <w:bookmarkEnd w:id="20"/>
      <w:r>
        <w:rPr>
          <w:rFonts w:hint="eastAsia"/>
        </w:rPr>
        <w:t>式</w:t>
      </w:r>
      <w:bookmarkEnd w:id="22"/>
      <w:bookmarkEnd w:id="23"/>
      <w:r>
        <w:rPr>
          <w:rFonts w:hint="eastAsia"/>
        </w:rPr>
        <w:t>、</w:t>
      </w:r>
      <w:r>
        <w:t>时间与条件</w:t>
      </w:r>
    </w:p>
    <w:bookmarkEnd w:id="16"/>
    <w:bookmarkEnd w:id="17"/>
    <w:p>
      <w:pPr>
        <w:spacing w:line="360" w:lineRule="auto"/>
        <w:ind w:right="-21" w:rightChars="-10" w:firstLine="480" w:firstLineChars="200"/>
        <w:rPr>
          <w:rFonts w:hint="eastAsia" w:ascii="宋体" w:hAnsi="宋体" w:cs="宋体"/>
          <w:sz w:val="24"/>
          <w:u w:val="single"/>
        </w:rPr>
      </w:pPr>
      <w:r>
        <w:rPr>
          <w:rFonts w:hint="eastAsia" w:ascii="宋体" w:hAnsi="宋体" w:cs="宋体"/>
          <w:sz w:val="24"/>
          <w:u w:val="single"/>
        </w:rPr>
        <w:t>付款频次</w:t>
      </w:r>
      <w:r>
        <w:rPr>
          <w:rFonts w:ascii="宋体" w:hAnsi="宋体" w:cs="宋体"/>
          <w:sz w:val="24"/>
          <w:u w:val="single"/>
        </w:rPr>
        <w:t>、</w:t>
      </w:r>
      <w:r>
        <w:rPr>
          <w:rFonts w:hint="eastAsia" w:ascii="宋体" w:hAnsi="宋体" w:cs="宋体"/>
          <w:sz w:val="24"/>
          <w:u w:val="single"/>
        </w:rPr>
        <w:t>流程</w:t>
      </w:r>
      <w:r>
        <w:rPr>
          <w:rFonts w:ascii="宋体" w:hAnsi="宋体" w:cs="宋体"/>
          <w:sz w:val="24"/>
          <w:u w:val="single"/>
        </w:rPr>
        <w:t>及所提交的</w:t>
      </w:r>
      <w:r>
        <w:rPr>
          <w:rFonts w:hint="eastAsia" w:ascii="宋体" w:hAnsi="宋体" w:cs="宋体"/>
          <w:sz w:val="24"/>
          <w:u w:val="single"/>
        </w:rPr>
        <w:t>资料</w:t>
      </w:r>
    </w:p>
    <w:p>
      <w:pPr>
        <w:spacing w:line="360" w:lineRule="auto"/>
        <w:ind w:firstLine="420" w:firstLineChars="200"/>
        <w:rPr>
          <w:szCs w:val="21"/>
        </w:rPr>
      </w:pPr>
      <w:bookmarkStart w:id="24" w:name="_Toc486344784"/>
      <w:bookmarkStart w:id="25" w:name="_Toc10561"/>
      <w:bookmarkStart w:id="26" w:name="_Toc4423641"/>
      <w:bookmarkStart w:id="27" w:name="_Toc28362"/>
      <w:bookmarkStart w:id="28" w:name="_Toc328578345"/>
      <w:r>
        <w:rPr>
          <w:rFonts w:hint="eastAsia"/>
          <w:szCs w:val="21"/>
        </w:rPr>
        <w:t>每月支付一次费用。中标人所提供的服务经招标人验收通过后，每月</w:t>
      </w:r>
      <w:r>
        <w:rPr>
          <w:szCs w:val="21"/>
        </w:rPr>
        <w:t>25</w:t>
      </w:r>
      <w:r>
        <w:rPr>
          <w:rFonts w:hint="eastAsia"/>
          <w:szCs w:val="21"/>
        </w:rPr>
        <w:t>日前向招标人开具正规的增值税专用发票、服务清单（加盖公章），招标人在</w:t>
      </w:r>
      <w:r>
        <w:rPr>
          <w:szCs w:val="21"/>
        </w:rPr>
        <w:t>30</w:t>
      </w:r>
      <w:r>
        <w:rPr>
          <w:rFonts w:hint="eastAsia"/>
          <w:szCs w:val="21"/>
        </w:rPr>
        <w:t>个日历天内将相应款项，以电汇、网上银行或转账支票方式支付到合同约定中中标人的账户。</w:t>
      </w:r>
    </w:p>
    <w:p>
      <w:pPr>
        <w:spacing w:line="360" w:lineRule="auto"/>
        <w:ind w:right="-21" w:rightChars="-10" w:firstLine="480" w:firstLineChars="200"/>
        <w:rPr>
          <w:rFonts w:ascii="宋体" w:hAnsi="宋体" w:cs="宋体"/>
          <w:sz w:val="24"/>
          <w:u w:val="single"/>
        </w:rPr>
      </w:pPr>
    </w:p>
    <w:p>
      <w:pPr>
        <w:spacing w:line="360" w:lineRule="auto"/>
        <w:ind w:right="-21" w:rightChars="-10" w:firstLine="641" w:firstLineChars="200"/>
        <w:rPr>
          <w:rStyle w:val="33"/>
        </w:rPr>
      </w:pPr>
      <w:r>
        <w:rPr>
          <w:rStyle w:val="33"/>
        </w:rPr>
        <w:t>4.7</w:t>
      </w:r>
      <w:r>
        <w:rPr>
          <w:rStyle w:val="33"/>
          <w:rFonts w:hint="eastAsia"/>
        </w:rPr>
        <w:t>其它事项</w:t>
      </w:r>
      <w:bookmarkEnd w:id="24"/>
      <w:bookmarkEnd w:id="25"/>
      <w:bookmarkEnd w:id="26"/>
      <w:bookmarkEnd w:id="27"/>
      <w:bookmarkEnd w:id="28"/>
    </w:p>
    <w:p>
      <w:pPr>
        <w:spacing w:line="360" w:lineRule="auto"/>
        <w:ind w:right="-21" w:rightChars="-10" w:firstLine="480" w:firstLineChars="200"/>
        <w:rPr>
          <w:rFonts w:hint="eastAsia"/>
        </w:rPr>
      </w:pPr>
      <w:r>
        <w:rPr>
          <w:rFonts w:hint="eastAsia" w:ascii="宋体" w:hAnsi="宋体" w:cs="宋体"/>
          <w:sz w:val="24"/>
          <w:u w:val="single"/>
        </w:rPr>
        <w:t>（请根据项目情况自行编写，</w:t>
      </w:r>
      <w:r>
        <w:rPr>
          <w:rFonts w:ascii="宋体" w:hAnsi="宋体" w:cs="宋体"/>
          <w:sz w:val="24"/>
          <w:u w:val="single"/>
        </w:rPr>
        <w:t>保密要求、</w:t>
      </w:r>
      <w:r>
        <w:rPr>
          <w:rFonts w:hint="eastAsia" w:ascii="宋体" w:hAnsi="宋体" w:cs="宋体"/>
          <w:sz w:val="24"/>
          <w:u w:val="single"/>
        </w:rPr>
        <w:t>廉洁</w:t>
      </w:r>
      <w:r>
        <w:rPr>
          <w:rFonts w:ascii="宋体" w:hAnsi="宋体" w:cs="宋体"/>
          <w:sz w:val="24"/>
          <w:u w:val="single"/>
        </w:rPr>
        <w:t>要求、知识产权、</w:t>
      </w:r>
      <w:r>
        <w:rPr>
          <w:rFonts w:hint="eastAsia" w:ascii="宋体" w:hAnsi="宋体" w:cs="宋体"/>
          <w:sz w:val="24"/>
          <w:u w:val="single"/>
        </w:rPr>
        <w:t>供应商</w:t>
      </w:r>
      <w:r>
        <w:rPr>
          <w:rFonts w:ascii="宋体" w:hAnsi="宋体" w:cs="宋体"/>
          <w:sz w:val="24"/>
          <w:u w:val="single"/>
        </w:rPr>
        <w:t>管理</w:t>
      </w:r>
      <w:r>
        <w:rPr>
          <w:rFonts w:hint="eastAsia" w:ascii="宋体" w:hAnsi="宋体" w:cs="宋体"/>
          <w:sz w:val="24"/>
          <w:u w:val="single"/>
        </w:rPr>
        <w:t>）</w:t>
      </w:r>
    </w:p>
    <w:p>
      <w:pPr>
        <w:pStyle w:val="6"/>
      </w:pPr>
      <w:r>
        <w:rPr>
          <w:rFonts w:hint="eastAsia"/>
        </w:rPr>
        <w:t>5 合同</w:t>
      </w:r>
      <w:r>
        <w:t>主要条款</w:t>
      </w:r>
    </w:p>
    <w:p>
      <w:pPr>
        <w:spacing w:line="360" w:lineRule="auto"/>
        <w:ind w:firstLine="480" w:firstLineChars="200"/>
        <w:rPr>
          <w:rFonts w:ascii="宋体" w:hAnsi="宋体" w:cs="宋体"/>
          <w:sz w:val="24"/>
        </w:rPr>
      </w:pPr>
      <w:r>
        <w:rPr>
          <w:rFonts w:ascii="宋体" w:hAnsi="宋体" w:cs="宋体"/>
          <w:sz w:val="24"/>
        </w:rPr>
        <w:t xml:space="preserve">4.1 </w:t>
      </w:r>
      <w:r>
        <w:rPr>
          <w:rFonts w:hint="eastAsia" w:ascii="宋体" w:hAnsi="宋体" w:cs="宋体"/>
          <w:sz w:val="24"/>
        </w:rPr>
        <w:t>通用</w:t>
      </w:r>
      <w:r>
        <w:rPr>
          <w:rFonts w:ascii="宋体" w:hAnsi="宋体" w:cs="宋体"/>
          <w:sz w:val="24"/>
        </w:rPr>
        <w:t>条款：略</w:t>
      </w:r>
    </w:p>
    <w:p>
      <w:pPr>
        <w:spacing w:line="360" w:lineRule="auto"/>
        <w:ind w:firstLine="480" w:firstLineChars="200"/>
        <w:rPr>
          <w:rFonts w:ascii="宋体" w:hAnsi="宋体" w:cs="宋体"/>
          <w:sz w:val="24"/>
        </w:rPr>
      </w:pPr>
      <w:r>
        <w:rPr>
          <w:rFonts w:hint="eastAsia" w:ascii="宋体" w:hAnsi="宋体" w:cs="宋体"/>
          <w:sz w:val="24"/>
        </w:rPr>
        <w:t>4.2本</w:t>
      </w:r>
      <w:r>
        <w:rPr>
          <w:rFonts w:ascii="宋体" w:hAnsi="宋体" w:cs="宋体"/>
          <w:sz w:val="24"/>
        </w:rPr>
        <w:t>项目相关的</w:t>
      </w:r>
      <w:r>
        <w:rPr>
          <w:rFonts w:hint="eastAsia" w:ascii="宋体" w:hAnsi="宋体" w:cs="宋体"/>
          <w:sz w:val="24"/>
        </w:rPr>
        <w:t>特定程序</w:t>
      </w:r>
      <w:r>
        <w:rPr>
          <w:rFonts w:ascii="宋体" w:hAnsi="宋体" w:cs="宋体"/>
          <w:sz w:val="24"/>
        </w:rPr>
        <w:t>、</w:t>
      </w:r>
      <w:r>
        <w:rPr>
          <w:rFonts w:hint="eastAsia" w:ascii="宋体" w:hAnsi="宋体" w:cs="宋体"/>
          <w:sz w:val="24"/>
        </w:rPr>
        <w:t>履约</w:t>
      </w:r>
      <w:r>
        <w:rPr>
          <w:rFonts w:ascii="宋体" w:hAnsi="宋体" w:cs="宋体"/>
          <w:sz w:val="24"/>
        </w:rPr>
        <w:t>监督、质量</w:t>
      </w:r>
      <w:r>
        <w:rPr>
          <w:rFonts w:hint="eastAsia" w:ascii="宋体" w:hAnsi="宋体" w:cs="宋体"/>
          <w:sz w:val="24"/>
        </w:rPr>
        <w:t>保证、售后</w:t>
      </w:r>
      <w:r>
        <w:rPr>
          <w:rFonts w:ascii="宋体" w:hAnsi="宋体" w:cs="宋体"/>
          <w:sz w:val="24"/>
        </w:rPr>
        <w:t>服务、评价</w:t>
      </w:r>
      <w:r>
        <w:rPr>
          <w:rFonts w:hint="eastAsia" w:ascii="宋体" w:hAnsi="宋体" w:cs="宋体"/>
          <w:sz w:val="24"/>
        </w:rPr>
        <w:t>管理等</w:t>
      </w:r>
    </w:p>
    <w:p>
      <w:pPr>
        <w:pStyle w:val="7"/>
        <w:rPr>
          <w:rFonts w:hint="eastAsia"/>
        </w:rPr>
      </w:pPr>
      <w:r>
        <w:rPr>
          <w:rFonts w:hint="eastAsia"/>
        </w:rPr>
        <w:t>5.1</w:t>
      </w:r>
      <w:r>
        <w:t>评价</w:t>
      </w:r>
      <w:r>
        <w:rPr>
          <w:rFonts w:hint="eastAsia"/>
        </w:rPr>
        <w:t>管理</w:t>
      </w:r>
    </w:p>
    <w:p>
      <w:pPr>
        <w:spacing w:line="360" w:lineRule="auto"/>
        <w:ind w:firstLine="440" w:firstLineChars="200"/>
        <w:rPr>
          <w:rFonts w:ascii="宋体" w:hAnsi="宋体"/>
          <w:sz w:val="22"/>
          <w:szCs w:val="24"/>
        </w:rPr>
      </w:pPr>
      <w:r>
        <w:rPr>
          <w:rFonts w:ascii="宋体" w:hAnsi="宋体"/>
          <w:sz w:val="22"/>
          <w:szCs w:val="24"/>
        </w:rPr>
        <w:t>评价围绕乙方在采购活动及合同履行过程中存在的违法、违规、违约等内容展开，评价种类及频次、评价内容等具体内容如下:</w:t>
      </w:r>
    </w:p>
    <w:p>
      <w:pPr>
        <w:spacing w:line="360" w:lineRule="auto"/>
        <w:ind w:firstLine="440" w:firstLineChars="200"/>
        <w:rPr>
          <w:rFonts w:ascii="宋体" w:hAnsi="宋体"/>
          <w:sz w:val="22"/>
          <w:szCs w:val="24"/>
        </w:rPr>
      </w:pPr>
      <w:r>
        <w:rPr>
          <w:rFonts w:ascii="宋体" w:hAnsi="宋体"/>
          <w:sz w:val="22"/>
          <w:szCs w:val="24"/>
        </w:rPr>
        <w:t>(一)评价种类及频次:分为付款验收评价和综合评价，付款验收评价是指每次付款前按合同约定进行的单次验收评价:综合评价是指按合同约定对乙方进行的年度综合评价:</w:t>
      </w:r>
    </w:p>
    <w:p>
      <w:pPr>
        <w:spacing w:line="360" w:lineRule="auto"/>
        <w:ind w:firstLine="440" w:firstLineChars="200"/>
        <w:rPr>
          <w:rFonts w:ascii="宋体" w:hAnsi="宋体"/>
          <w:sz w:val="22"/>
          <w:szCs w:val="24"/>
        </w:rPr>
      </w:pPr>
      <w:r>
        <w:rPr>
          <w:rFonts w:ascii="宋体" w:hAnsi="宋体"/>
          <w:sz w:val="22"/>
          <w:szCs w:val="24"/>
        </w:rPr>
        <w:t>(二)付款验收评价内容及等级:付款验收评价从质量、服务、进度、人员及组织等方面展开:评价等级分为A、B、C、D四个等级得分90分以上的为A:得分80分以上、不足90分的为B:得分70分以上、不足80分的为C:得分不足70分的为D。付款验收评价结果等级为D的，暂不结算当期款项，扣除相应比例履约保证金，履约保证金扣除比例=1-(20+一次评价得分)%:整改后再次评价，再次评价等级仍为D的，直接解除合同，并进行</w:t>
      </w:r>
      <w:r>
        <w:rPr>
          <w:rFonts w:hint="eastAsia" w:ascii="宋体" w:hAnsi="宋体"/>
          <w:sz w:val="22"/>
          <w:szCs w:val="24"/>
        </w:rPr>
        <w:t>合同款项清算。合同清算款</w:t>
      </w:r>
      <w:r>
        <w:rPr>
          <w:rFonts w:ascii="宋体" w:hAnsi="宋体"/>
          <w:sz w:val="22"/>
          <w:szCs w:val="24"/>
        </w:rPr>
        <w:t>=当期合同应付款*(20+二次评价得分)%。</w:t>
      </w:r>
    </w:p>
    <w:p>
      <w:pPr>
        <w:spacing w:line="360" w:lineRule="auto"/>
        <w:ind w:firstLine="440" w:firstLineChars="200"/>
        <w:rPr>
          <w:rFonts w:ascii="宋体" w:hAnsi="宋体"/>
          <w:sz w:val="22"/>
          <w:szCs w:val="24"/>
        </w:rPr>
      </w:pPr>
      <w:r>
        <w:rPr>
          <w:rFonts w:ascii="宋体" w:hAnsi="宋体"/>
          <w:sz w:val="22"/>
          <w:szCs w:val="24"/>
        </w:rPr>
        <w:t>(三)综合评价内容及等级:综合评价从历次付款验收评价、综合评议等方面展开:综合评价等级分为优秀、良好、合格、不合格等四个等级，得分 90.分以上的为优秀:得分80分以上、不足90分的为良好:得分 70分以上、不足80分的为合格:得分不足70分的为不合格。综合评价等级为不合格的，扣除相应比例履约保证金，直接解除合同。履约保证金扣除比例=1-(20+综合评价得分)%。</w:t>
      </w:r>
    </w:p>
    <w:p>
      <w:pPr>
        <w:pStyle w:val="4"/>
        <w:ind w:left="0" w:leftChars="0" w:firstLine="440" w:firstLineChars="200"/>
        <w:rPr>
          <w:rFonts w:hint="eastAsia"/>
        </w:rPr>
      </w:pPr>
      <w:r>
        <w:rPr>
          <w:rFonts w:ascii="宋体" w:hAnsi="宋体"/>
          <w:sz w:val="22"/>
          <w:szCs w:val="24"/>
        </w:rPr>
        <w:t>不良行为的处理分为列入不良行为供应商名单和列入行贿供应商名单。</w:t>
      </w:r>
    </w:p>
    <w:p>
      <w:pPr>
        <w:pStyle w:val="6"/>
      </w:pPr>
      <w:r>
        <w:rPr>
          <w:rFonts w:hint="eastAsia"/>
        </w:rPr>
        <w:t>6评标办法：综合评分法</w:t>
      </w:r>
    </w:p>
    <w:p>
      <w:pPr>
        <w:pStyle w:val="7"/>
      </w:pPr>
      <w:r>
        <w:rPr>
          <w:rFonts w:hint="eastAsia"/>
        </w:rPr>
        <w:t>6.1技术部分（0-47分）</w:t>
      </w:r>
    </w:p>
    <w:tbl>
      <w:tblPr>
        <w:tblStyle w:val="15"/>
        <w:tblW w:w="0" w:type="auto"/>
        <w:jc w:val="center"/>
        <w:tblBorders>
          <w:top w:val="single" w:color="000000" w:sz="6" w:space="0"/>
          <w:left w:val="single" w:color="000000" w:sz="4" w:space="0"/>
          <w:bottom w:val="single" w:color="000000" w:sz="4" w:space="0"/>
          <w:right w:val="single" w:color="000000" w:sz="4" w:space="0"/>
          <w:insideH w:val="single" w:color="000000" w:sz="6" w:space="0"/>
          <w:insideV w:val="single" w:color="000000" w:sz="6" w:space="0"/>
        </w:tblBorders>
        <w:tblLayout w:type="fixed"/>
        <w:tblCellMar>
          <w:top w:w="0" w:type="dxa"/>
          <w:left w:w="113" w:type="dxa"/>
          <w:bottom w:w="0" w:type="dxa"/>
          <w:right w:w="113" w:type="dxa"/>
        </w:tblCellMar>
      </w:tblPr>
      <w:tblGrid>
        <w:gridCol w:w="757"/>
        <w:gridCol w:w="1525"/>
        <w:gridCol w:w="725"/>
        <w:gridCol w:w="6656"/>
      </w:tblGrid>
      <w:tr>
        <w:trPr>
          <w:trHeight w:val="454" w:hRule="atLeast"/>
          <w:tblHeader/>
          <w:jc w:val="center"/>
        </w:trPr>
        <w:tc>
          <w:tcPr>
            <w:tcW w:w="757" w:type="dxa"/>
            <w:tcBorders>
              <w:tl2br w:val="nil"/>
              <w:tr2bl w:val="nil"/>
            </w:tcBorders>
            <w:vAlign w:val="center"/>
          </w:tcPr>
          <w:p>
            <w:pPr>
              <w:widowControl/>
              <w:spacing w:line="360" w:lineRule="exact"/>
              <w:jc w:val="center"/>
              <w:textAlignment w:val="center"/>
              <w:rPr>
                <w:rFonts w:ascii="Times New Roman" w:hAnsi="Times New Roman" w:cs="宋体"/>
                <w:b/>
                <w:szCs w:val="21"/>
              </w:rPr>
            </w:pPr>
            <w:r>
              <w:rPr>
                <w:rFonts w:hint="eastAsia" w:ascii="Times New Roman" w:hAnsi="Times New Roman" w:cs="宋体"/>
                <w:b/>
                <w:szCs w:val="21"/>
              </w:rPr>
              <w:t>序号</w:t>
            </w:r>
          </w:p>
        </w:tc>
        <w:tc>
          <w:tcPr>
            <w:tcW w:w="1525" w:type="dxa"/>
            <w:tcBorders>
              <w:tl2br w:val="nil"/>
              <w:tr2bl w:val="nil"/>
            </w:tcBorders>
            <w:vAlign w:val="center"/>
          </w:tcPr>
          <w:p>
            <w:pPr>
              <w:widowControl/>
              <w:spacing w:line="360" w:lineRule="exact"/>
              <w:jc w:val="center"/>
              <w:textAlignment w:val="center"/>
              <w:rPr>
                <w:rFonts w:ascii="Times New Roman" w:hAnsi="Times New Roman"/>
                <w:b/>
                <w:szCs w:val="21"/>
              </w:rPr>
            </w:pPr>
            <w:r>
              <w:rPr>
                <w:rFonts w:hint="eastAsia" w:ascii="Times New Roman" w:hAnsi="Times New Roman" w:cs="宋体"/>
                <w:b/>
                <w:szCs w:val="21"/>
              </w:rPr>
              <w:t>评分内容</w:t>
            </w:r>
          </w:p>
        </w:tc>
        <w:tc>
          <w:tcPr>
            <w:tcW w:w="725" w:type="dxa"/>
            <w:tcBorders>
              <w:tl2br w:val="nil"/>
              <w:tr2bl w:val="nil"/>
            </w:tcBorders>
            <w:vAlign w:val="center"/>
          </w:tcPr>
          <w:p>
            <w:pPr>
              <w:widowControl/>
              <w:spacing w:line="360" w:lineRule="exact"/>
              <w:jc w:val="center"/>
              <w:textAlignment w:val="center"/>
              <w:rPr>
                <w:rFonts w:ascii="Times New Roman" w:hAnsi="Times New Roman"/>
                <w:b/>
                <w:szCs w:val="21"/>
              </w:rPr>
            </w:pPr>
            <w:r>
              <w:rPr>
                <w:rFonts w:hint="eastAsia" w:ascii="Times New Roman" w:hAnsi="Times New Roman"/>
                <w:b/>
                <w:szCs w:val="21"/>
              </w:rPr>
              <w:t>分值</w:t>
            </w:r>
          </w:p>
        </w:tc>
        <w:tc>
          <w:tcPr>
            <w:tcW w:w="6656" w:type="dxa"/>
            <w:tcBorders>
              <w:tl2br w:val="nil"/>
              <w:tr2bl w:val="nil"/>
            </w:tcBorders>
            <w:vAlign w:val="center"/>
          </w:tcPr>
          <w:p>
            <w:pPr>
              <w:spacing w:line="360" w:lineRule="exact"/>
              <w:jc w:val="center"/>
              <w:rPr>
                <w:rFonts w:ascii="Times New Roman" w:hAnsi="Times New Roman"/>
                <w:b/>
                <w:szCs w:val="21"/>
              </w:rPr>
            </w:pPr>
            <w:r>
              <w:rPr>
                <w:rFonts w:hint="eastAsia" w:ascii="Times New Roman" w:hAnsi="Times New Roman"/>
                <w:b/>
                <w:szCs w:val="21"/>
              </w:rPr>
              <w:t>评分细则</w:t>
            </w:r>
          </w:p>
        </w:tc>
      </w:tr>
      <w:tr>
        <w:trPr>
          <w:trHeight w:val="454" w:hRule="atLeast"/>
          <w:jc w:val="center"/>
        </w:trPr>
        <w:tc>
          <w:tcPr>
            <w:tcW w:w="757" w:type="dxa"/>
            <w:vMerge w:val="restart"/>
            <w:tcBorders>
              <w:tl2br w:val="nil"/>
              <w:tr2bl w:val="nil"/>
            </w:tcBorders>
            <w:vAlign w:val="center"/>
          </w:tcPr>
          <w:p>
            <w:pPr>
              <w:widowControl/>
              <w:spacing w:line="360" w:lineRule="exact"/>
              <w:jc w:val="center"/>
              <w:textAlignment w:val="center"/>
              <w:rPr>
                <w:rFonts w:ascii="Times New Roman" w:hAnsi="Times New Roman" w:cs="宋体"/>
                <w:szCs w:val="21"/>
              </w:rPr>
            </w:pPr>
            <w:r>
              <w:rPr>
                <w:rFonts w:hint="eastAsia" w:ascii="Times New Roman" w:hAnsi="Times New Roman" w:cs="宋体"/>
                <w:szCs w:val="21"/>
              </w:rPr>
              <w:t>1</w:t>
            </w:r>
          </w:p>
        </w:tc>
        <w:tc>
          <w:tcPr>
            <w:tcW w:w="1525" w:type="dxa"/>
            <w:vMerge w:val="restart"/>
            <w:tcBorders>
              <w:tl2br w:val="nil"/>
              <w:tr2bl w:val="nil"/>
            </w:tcBorders>
            <w:vAlign w:val="center"/>
          </w:tcPr>
          <w:p>
            <w:pPr>
              <w:spacing w:line="360" w:lineRule="exact"/>
              <w:jc w:val="center"/>
              <w:rPr>
                <w:rFonts w:ascii="Times New Roman" w:hAnsi="Times New Roman"/>
                <w:szCs w:val="21"/>
              </w:rPr>
            </w:pPr>
            <w:r>
              <w:rPr>
                <w:rFonts w:hint="eastAsia" w:ascii="Times New Roman" w:hAnsi="Times New Roman"/>
                <w:szCs w:val="21"/>
              </w:rPr>
              <w:t>供货</w:t>
            </w:r>
            <w:r>
              <w:rPr>
                <w:rFonts w:hint="eastAsia"/>
                <w:szCs w:val="21"/>
              </w:rPr>
              <w:t>能力</w:t>
            </w:r>
            <w:r>
              <w:rPr>
                <w:rFonts w:hint="eastAsia" w:ascii="Times New Roman" w:hAnsi="Times New Roman"/>
                <w:szCs w:val="21"/>
              </w:rPr>
              <w:t>和质量保证</w:t>
            </w:r>
          </w:p>
        </w:tc>
        <w:tc>
          <w:tcPr>
            <w:tcW w:w="725" w:type="dxa"/>
            <w:tcBorders>
              <w:bottom w:val="single" w:color="000000" w:sz="4" w:space="0"/>
              <w:tl2br w:val="nil"/>
              <w:tr2bl w:val="nil"/>
            </w:tcBorders>
            <w:vAlign w:val="center"/>
          </w:tcPr>
          <w:p>
            <w:pPr>
              <w:widowControl/>
              <w:spacing w:line="360" w:lineRule="exact"/>
              <w:jc w:val="center"/>
              <w:textAlignment w:val="center"/>
              <w:rPr>
                <w:rFonts w:ascii="Times New Roman" w:hAnsi="Times New Roman" w:cs="宋体"/>
                <w:szCs w:val="21"/>
              </w:rPr>
            </w:pPr>
            <w:r>
              <w:rPr>
                <w:rFonts w:hint="eastAsia" w:ascii="Times New Roman" w:hAnsi="Times New Roman" w:cs="宋体"/>
                <w:szCs w:val="21"/>
              </w:rPr>
              <w:t>2</w:t>
            </w:r>
          </w:p>
        </w:tc>
        <w:tc>
          <w:tcPr>
            <w:tcW w:w="6656" w:type="dxa"/>
            <w:tcBorders>
              <w:tl2br w:val="nil"/>
              <w:tr2bl w:val="nil"/>
            </w:tcBorders>
          </w:tcPr>
          <w:p>
            <w:pPr>
              <w:spacing w:line="360" w:lineRule="exact"/>
              <w:rPr>
                <w:rFonts w:ascii="Times New Roman" w:hAnsi="Times New Roman"/>
                <w:szCs w:val="21"/>
              </w:rPr>
            </w:pPr>
            <w:r>
              <w:rPr>
                <w:rFonts w:hint="eastAsia" w:ascii="Times New Roman" w:hAnsi="Times New Roman"/>
                <w:szCs w:val="21"/>
              </w:rPr>
              <w:t>蔬菜种植基地（2分）</w:t>
            </w:r>
          </w:p>
          <w:p>
            <w:pPr>
              <w:spacing w:line="360" w:lineRule="exact"/>
              <w:rPr>
                <w:rFonts w:ascii="Times New Roman" w:hAnsi="Times New Roman"/>
                <w:szCs w:val="21"/>
              </w:rPr>
            </w:pPr>
            <w:r>
              <w:rPr>
                <w:rFonts w:hint="eastAsia" w:ascii="Times New Roman" w:hAnsi="Times New Roman"/>
                <w:szCs w:val="21"/>
              </w:rPr>
              <w:t>投标人具有蔬菜种植基地的得2分，没有的不得分。</w:t>
            </w:r>
            <w:r>
              <w:rPr>
                <w:rFonts w:hint="eastAsia"/>
              </w:rPr>
              <w:t>（土地证（土地租赁合同、种植租赁协议或货源合作协议）复印件和基地照片编入投标文件）</w:t>
            </w:r>
          </w:p>
        </w:tc>
      </w:tr>
      <w:tr>
        <w:trPr>
          <w:trHeight w:val="454" w:hRule="atLeast"/>
          <w:jc w:val="center"/>
        </w:trPr>
        <w:tc>
          <w:tcPr>
            <w:tcW w:w="757" w:type="dxa"/>
            <w:vMerge w:val="continue"/>
            <w:tcBorders>
              <w:tl2br w:val="nil"/>
              <w:tr2bl w:val="nil"/>
            </w:tcBorders>
            <w:vAlign w:val="center"/>
          </w:tcPr>
          <w:p>
            <w:pPr>
              <w:widowControl/>
              <w:spacing w:line="360" w:lineRule="exact"/>
              <w:jc w:val="center"/>
              <w:textAlignment w:val="center"/>
              <w:rPr>
                <w:rFonts w:ascii="Times New Roman" w:hAnsi="Times New Roman" w:cs="宋体"/>
                <w:szCs w:val="21"/>
              </w:rPr>
            </w:pPr>
          </w:p>
        </w:tc>
        <w:tc>
          <w:tcPr>
            <w:tcW w:w="1525" w:type="dxa"/>
            <w:vMerge w:val="continue"/>
            <w:tcBorders>
              <w:tl2br w:val="nil"/>
              <w:tr2bl w:val="nil"/>
            </w:tcBorders>
            <w:vAlign w:val="center"/>
          </w:tcPr>
          <w:p>
            <w:pPr>
              <w:spacing w:line="360" w:lineRule="exact"/>
              <w:jc w:val="center"/>
              <w:rPr>
                <w:rFonts w:ascii="Times New Roman" w:hAnsi="Times New Roman"/>
                <w:szCs w:val="21"/>
              </w:rPr>
            </w:pPr>
          </w:p>
        </w:tc>
        <w:tc>
          <w:tcPr>
            <w:tcW w:w="725" w:type="dxa"/>
            <w:tcBorders>
              <w:bottom w:val="single" w:color="000000" w:sz="4" w:space="0"/>
              <w:tl2br w:val="nil"/>
              <w:tr2bl w:val="nil"/>
            </w:tcBorders>
            <w:vAlign w:val="center"/>
          </w:tcPr>
          <w:p>
            <w:pPr>
              <w:widowControl/>
              <w:spacing w:line="360" w:lineRule="exact"/>
              <w:jc w:val="center"/>
              <w:textAlignment w:val="center"/>
              <w:rPr>
                <w:rFonts w:ascii="Times New Roman" w:hAnsi="Times New Roman"/>
                <w:szCs w:val="21"/>
              </w:rPr>
            </w:pPr>
            <w:r>
              <w:rPr>
                <w:rFonts w:hint="eastAsia" w:ascii="Times New Roman" w:hAnsi="Times New Roman"/>
                <w:szCs w:val="21"/>
              </w:rPr>
              <w:t>2</w:t>
            </w:r>
          </w:p>
        </w:tc>
        <w:tc>
          <w:tcPr>
            <w:tcW w:w="6656" w:type="dxa"/>
            <w:tcBorders>
              <w:tl2br w:val="nil"/>
              <w:tr2bl w:val="nil"/>
            </w:tcBorders>
          </w:tcPr>
          <w:p>
            <w:pPr>
              <w:spacing w:line="360" w:lineRule="exact"/>
              <w:rPr>
                <w:rFonts w:ascii="Times New Roman" w:hAnsi="Times New Roman"/>
                <w:szCs w:val="21"/>
              </w:rPr>
            </w:pPr>
            <w:r>
              <w:rPr>
                <w:rFonts w:hint="eastAsia" w:ascii="Times New Roman" w:hAnsi="Times New Roman"/>
                <w:szCs w:val="21"/>
              </w:rPr>
              <w:t>肉禽类养殖基地（2分）</w:t>
            </w:r>
          </w:p>
          <w:p>
            <w:pPr>
              <w:spacing w:line="360" w:lineRule="exact"/>
              <w:rPr>
                <w:rFonts w:ascii="Times New Roman" w:hAnsi="Times New Roman"/>
                <w:szCs w:val="21"/>
              </w:rPr>
            </w:pPr>
            <w:r>
              <w:rPr>
                <w:rFonts w:hint="eastAsia" w:ascii="Times New Roman" w:hAnsi="Times New Roman"/>
                <w:szCs w:val="21"/>
              </w:rPr>
              <w:t>投标人具有肉禽类养殖基地的得2分，没有的不得分。（土地证（土地租赁合同、养殖租赁协议或货源合作协议）复印件和基地照片编入投标文件）</w:t>
            </w:r>
          </w:p>
        </w:tc>
      </w:tr>
      <w:tr>
        <w:trPr>
          <w:trHeight w:val="454" w:hRule="atLeast"/>
          <w:jc w:val="center"/>
        </w:trPr>
        <w:tc>
          <w:tcPr>
            <w:tcW w:w="757" w:type="dxa"/>
            <w:vMerge w:val="continue"/>
            <w:tcBorders>
              <w:tl2br w:val="nil"/>
              <w:tr2bl w:val="nil"/>
            </w:tcBorders>
            <w:vAlign w:val="center"/>
          </w:tcPr>
          <w:p>
            <w:pPr>
              <w:widowControl/>
              <w:spacing w:line="360" w:lineRule="exact"/>
              <w:jc w:val="center"/>
              <w:textAlignment w:val="center"/>
              <w:rPr>
                <w:rFonts w:ascii="Times New Roman" w:hAnsi="Times New Roman" w:cs="宋体"/>
                <w:szCs w:val="21"/>
              </w:rPr>
            </w:pPr>
          </w:p>
        </w:tc>
        <w:tc>
          <w:tcPr>
            <w:tcW w:w="1525" w:type="dxa"/>
            <w:vMerge w:val="continue"/>
            <w:tcBorders>
              <w:tl2br w:val="nil"/>
              <w:tr2bl w:val="nil"/>
            </w:tcBorders>
            <w:vAlign w:val="center"/>
          </w:tcPr>
          <w:p>
            <w:pPr>
              <w:spacing w:line="360" w:lineRule="exact"/>
              <w:jc w:val="center"/>
              <w:rPr>
                <w:rFonts w:ascii="Times New Roman" w:hAnsi="Times New Roman"/>
                <w:szCs w:val="21"/>
              </w:rPr>
            </w:pPr>
          </w:p>
        </w:tc>
        <w:tc>
          <w:tcPr>
            <w:tcW w:w="725" w:type="dxa"/>
            <w:tcBorders>
              <w:bottom w:val="single" w:color="000000" w:sz="4" w:space="0"/>
              <w:tl2br w:val="nil"/>
              <w:tr2bl w:val="nil"/>
            </w:tcBorders>
            <w:vAlign w:val="center"/>
          </w:tcPr>
          <w:p>
            <w:pPr>
              <w:widowControl/>
              <w:spacing w:line="360" w:lineRule="exact"/>
              <w:jc w:val="center"/>
              <w:textAlignment w:val="center"/>
              <w:rPr>
                <w:rFonts w:ascii="Times New Roman" w:hAnsi="Times New Roman"/>
                <w:szCs w:val="21"/>
              </w:rPr>
            </w:pPr>
            <w:r>
              <w:rPr>
                <w:rFonts w:hint="eastAsia" w:ascii="Times New Roman" w:hAnsi="Times New Roman"/>
                <w:szCs w:val="21"/>
              </w:rPr>
              <w:t>4</w:t>
            </w:r>
          </w:p>
        </w:tc>
        <w:tc>
          <w:tcPr>
            <w:tcW w:w="6656" w:type="dxa"/>
            <w:tcBorders>
              <w:tl2br w:val="nil"/>
              <w:tr2bl w:val="nil"/>
            </w:tcBorders>
          </w:tcPr>
          <w:p>
            <w:pPr>
              <w:spacing w:line="360" w:lineRule="exact"/>
              <w:rPr>
                <w:rFonts w:ascii="Times New Roman" w:hAnsi="Times New Roman"/>
                <w:szCs w:val="21"/>
              </w:rPr>
            </w:pPr>
            <w:r>
              <w:rPr>
                <w:rFonts w:hint="eastAsia" w:ascii="Times New Roman" w:hAnsi="Times New Roman"/>
                <w:szCs w:val="21"/>
              </w:rPr>
              <w:t>供货质量保障（4分）</w:t>
            </w:r>
          </w:p>
          <w:p>
            <w:pPr>
              <w:spacing w:line="360" w:lineRule="exact"/>
              <w:rPr>
                <w:rFonts w:ascii="Times New Roman" w:hAnsi="Times New Roman"/>
                <w:szCs w:val="21"/>
              </w:rPr>
            </w:pPr>
            <w:r>
              <w:rPr>
                <w:rFonts w:hint="eastAsia" w:ascii="Times New Roman" w:hAnsi="Times New Roman"/>
                <w:szCs w:val="21"/>
              </w:rPr>
              <w:t>评标</w:t>
            </w:r>
            <w:r>
              <w:rPr>
                <w:rFonts w:ascii="Times New Roman" w:hAnsi="Times New Roman"/>
                <w:szCs w:val="21"/>
              </w:rPr>
              <w:t>委员会</w:t>
            </w:r>
            <w:r>
              <w:rPr>
                <w:rFonts w:hint="eastAsia" w:ascii="Times New Roman" w:hAnsi="Times New Roman"/>
                <w:szCs w:val="21"/>
              </w:rPr>
              <w:t>根据投标人提供的进货单位资质、物流运输及包装、食品质量安全承诺、工作人员健康证明等方面进行评议。</w:t>
            </w:r>
          </w:p>
        </w:tc>
      </w:tr>
      <w:tr>
        <w:trPr>
          <w:trHeight w:val="454" w:hRule="atLeast"/>
          <w:jc w:val="center"/>
        </w:trPr>
        <w:tc>
          <w:tcPr>
            <w:tcW w:w="757" w:type="dxa"/>
            <w:vMerge w:val="continue"/>
            <w:tcBorders>
              <w:tl2br w:val="nil"/>
              <w:tr2bl w:val="nil"/>
            </w:tcBorders>
            <w:vAlign w:val="center"/>
          </w:tcPr>
          <w:p>
            <w:pPr>
              <w:widowControl/>
              <w:spacing w:line="360" w:lineRule="exact"/>
              <w:jc w:val="center"/>
              <w:textAlignment w:val="center"/>
              <w:rPr>
                <w:rFonts w:ascii="Times New Roman" w:hAnsi="Times New Roman" w:cs="宋体"/>
                <w:szCs w:val="21"/>
              </w:rPr>
            </w:pPr>
          </w:p>
        </w:tc>
        <w:tc>
          <w:tcPr>
            <w:tcW w:w="1525" w:type="dxa"/>
            <w:vMerge w:val="continue"/>
            <w:tcBorders>
              <w:tl2br w:val="nil"/>
              <w:tr2bl w:val="nil"/>
            </w:tcBorders>
            <w:vAlign w:val="center"/>
          </w:tcPr>
          <w:p>
            <w:pPr>
              <w:widowControl/>
              <w:spacing w:line="360" w:lineRule="exact"/>
              <w:jc w:val="center"/>
              <w:textAlignment w:val="center"/>
              <w:rPr>
                <w:rFonts w:ascii="Times New Roman" w:hAnsi="Times New Roman" w:cs="宋体"/>
                <w:szCs w:val="21"/>
              </w:rPr>
            </w:pPr>
          </w:p>
        </w:tc>
        <w:tc>
          <w:tcPr>
            <w:tcW w:w="725" w:type="dxa"/>
            <w:tcBorders>
              <w:top w:val="single" w:color="000000" w:sz="4" w:space="0"/>
              <w:bottom w:val="single" w:color="000000" w:sz="4" w:space="0"/>
              <w:tl2br w:val="nil"/>
              <w:tr2bl w:val="nil"/>
            </w:tcBorders>
            <w:vAlign w:val="center"/>
          </w:tcPr>
          <w:p>
            <w:pPr>
              <w:widowControl/>
              <w:spacing w:line="360" w:lineRule="exact"/>
              <w:jc w:val="center"/>
              <w:textAlignment w:val="center"/>
              <w:rPr>
                <w:rFonts w:ascii="Times New Roman" w:hAnsi="Times New Roman" w:cs="宋体"/>
                <w:szCs w:val="21"/>
              </w:rPr>
            </w:pPr>
            <w:r>
              <w:rPr>
                <w:rFonts w:hint="eastAsia" w:ascii="Times New Roman" w:hAnsi="Times New Roman" w:cs="宋体"/>
                <w:szCs w:val="21"/>
              </w:rPr>
              <w:t>2</w:t>
            </w:r>
          </w:p>
        </w:tc>
        <w:tc>
          <w:tcPr>
            <w:tcW w:w="6656" w:type="dxa"/>
            <w:tcBorders>
              <w:tl2br w:val="nil"/>
              <w:tr2bl w:val="nil"/>
            </w:tcBorders>
          </w:tcPr>
          <w:p>
            <w:pPr>
              <w:spacing w:line="360" w:lineRule="exact"/>
              <w:rPr>
                <w:rFonts w:ascii="Times New Roman" w:hAnsi="Times New Roman"/>
                <w:szCs w:val="21"/>
              </w:rPr>
            </w:pPr>
            <w:r>
              <w:rPr>
                <w:rFonts w:hint="eastAsia" w:ascii="Times New Roman" w:hAnsi="Times New Roman"/>
                <w:szCs w:val="21"/>
              </w:rPr>
              <w:t>质检报告、合格证（</w:t>
            </w:r>
            <w:r>
              <w:rPr>
                <w:rFonts w:ascii="Times New Roman" w:hAnsi="Times New Roman"/>
                <w:szCs w:val="21"/>
              </w:rPr>
              <w:t>2</w:t>
            </w:r>
            <w:r>
              <w:rPr>
                <w:rFonts w:hint="eastAsia" w:ascii="Times New Roman" w:hAnsi="Times New Roman"/>
                <w:szCs w:val="21"/>
              </w:rPr>
              <w:t>分）</w:t>
            </w:r>
          </w:p>
          <w:p>
            <w:pPr>
              <w:spacing w:line="360" w:lineRule="exact"/>
              <w:rPr>
                <w:rFonts w:ascii="Times New Roman" w:hAnsi="Times New Roman"/>
                <w:szCs w:val="21"/>
              </w:rPr>
            </w:pPr>
            <w:r>
              <w:rPr>
                <w:rFonts w:hint="eastAsia" w:ascii="Times New Roman" w:hAnsi="Times New Roman"/>
                <w:szCs w:val="21"/>
              </w:rPr>
              <w:t>评标</w:t>
            </w:r>
            <w:r>
              <w:rPr>
                <w:rFonts w:ascii="Times New Roman" w:hAnsi="Times New Roman"/>
                <w:szCs w:val="21"/>
              </w:rPr>
              <w:t>委员会</w:t>
            </w:r>
            <w:r>
              <w:rPr>
                <w:rFonts w:hint="eastAsia" w:ascii="Times New Roman" w:hAnsi="Times New Roman"/>
                <w:szCs w:val="21"/>
              </w:rPr>
              <w:t>根据投标人提供的距本次开标日最近批次的投标货物质量检验报告、合格证进行</w:t>
            </w:r>
            <w:r>
              <w:rPr>
                <w:rFonts w:ascii="Times New Roman" w:hAnsi="Times New Roman"/>
                <w:szCs w:val="21"/>
              </w:rPr>
              <w:t>评议</w:t>
            </w:r>
            <w:r>
              <w:rPr>
                <w:rFonts w:hint="eastAsia" w:ascii="Times New Roman" w:hAnsi="Times New Roman"/>
                <w:szCs w:val="21"/>
              </w:rPr>
              <w:t>，未提供的不得分。（第三方检测机构出具的质检报告、合格证复印件编入</w:t>
            </w:r>
            <w:r>
              <w:rPr>
                <w:rFonts w:ascii="Times New Roman" w:hAnsi="Times New Roman"/>
                <w:szCs w:val="21"/>
              </w:rPr>
              <w:t>投标文件</w:t>
            </w:r>
            <w:r>
              <w:rPr>
                <w:rFonts w:hint="eastAsia" w:ascii="Times New Roman" w:hAnsi="Times New Roman"/>
                <w:szCs w:val="21"/>
              </w:rPr>
              <w:t>）</w:t>
            </w:r>
          </w:p>
        </w:tc>
      </w:tr>
      <w:tr>
        <w:trPr>
          <w:trHeight w:val="454" w:hRule="atLeast"/>
          <w:jc w:val="center"/>
        </w:trPr>
        <w:tc>
          <w:tcPr>
            <w:tcW w:w="757" w:type="dxa"/>
            <w:vMerge w:val="continue"/>
            <w:tcBorders>
              <w:tl2br w:val="nil"/>
              <w:tr2bl w:val="nil"/>
            </w:tcBorders>
            <w:vAlign w:val="center"/>
          </w:tcPr>
          <w:p>
            <w:pPr>
              <w:widowControl/>
              <w:spacing w:line="360" w:lineRule="exact"/>
              <w:jc w:val="center"/>
              <w:textAlignment w:val="center"/>
              <w:rPr>
                <w:rFonts w:ascii="Times New Roman" w:hAnsi="Times New Roman" w:cs="宋体"/>
                <w:szCs w:val="21"/>
              </w:rPr>
            </w:pPr>
          </w:p>
        </w:tc>
        <w:tc>
          <w:tcPr>
            <w:tcW w:w="1525" w:type="dxa"/>
            <w:vMerge w:val="continue"/>
            <w:tcBorders>
              <w:tl2br w:val="nil"/>
              <w:tr2bl w:val="nil"/>
            </w:tcBorders>
            <w:vAlign w:val="center"/>
          </w:tcPr>
          <w:p>
            <w:pPr>
              <w:widowControl/>
              <w:spacing w:line="360" w:lineRule="exact"/>
              <w:jc w:val="center"/>
              <w:textAlignment w:val="center"/>
              <w:rPr>
                <w:rFonts w:ascii="Times New Roman" w:hAnsi="Times New Roman" w:cs="宋体"/>
                <w:szCs w:val="21"/>
              </w:rPr>
            </w:pPr>
          </w:p>
        </w:tc>
        <w:tc>
          <w:tcPr>
            <w:tcW w:w="725" w:type="dxa"/>
            <w:tcBorders>
              <w:top w:val="single" w:color="000000" w:sz="4" w:space="0"/>
              <w:bottom w:val="single" w:color="000000" w:sz="4" w:space="0"/>
              <w:tl2br w:val="nil"/>
              <w:tr2bl w:val="nil"/>
            </w:tcBorders>
            <w:vAlign w:val="center"/>
          </w:tcPr>
          <w:p>
            <w:pPr>
              <w:widowControl/>
              <w:spacing w:line="360" w:lineRule="exact"/>
              <w:jc w:val="center"/>
              <w:textAlignment w:val="center"/>
              <w:rPr>
                <w:rFonts w:ascii="Times New Roman" w:hAnsi="Times New Roman" w:cs="宋体"/>
                <w:szCs w:val="21"/>
              </w:rPr>
            </w:pPr>
            <w:r>
              <w:rPr>
                <w:rFonts w:hint="eastAsia" w:ascii="Times New Roman" w:hAnsi="Times New Roman" w:cs="宋体"/>
                <w:szCs w:val="21"/>
              </w:rPr>
              <w:t>3</w:t>
            </w:r>
          </w:p>
        </w:tc>
        <w:tc>
          <w:tcPr>
            <w:tcW w:w="6656" w:type="dxa"/>
            <w:tcBorders>
              <w:tl2br w:val="nil"/>
              <w:tr2bl w:val="nil"/>
            </w:tcBorders>
          </w:tcPr>
          <w:p>
            <w:pPr>
              <w:spacing w:line="360" w:lineRule="exact"/>
              <w:rPr>
                <w:rFonts w:ascii="Times New Roman" w:hAnsi="Times New Roman"/>
                <w:szCs w:val="21"/>
              </w:rPr>
            </w:pPr>
            <w:r>
              <w:rPr>
                <w:rFonts w:hint="eastAsia" w:ascii="Times New Roman" w:hAnsi="Times New Roman"/>
                <w:szCs w:val="21"/>
              </w:rPr>
              <w:t>商品丰富度及价格合理性（3分）</w:t>
            </w:r>
          </w:p>
          <w:p>
            <w:pPr>
              <w:spacing w:line="360" w:lineRule="exact"/>
              <w:rPr>
                <w:rFonts w:ascii="Times New Roman" w:hAnsi="Times New Roman"/>
                <w:szCs w:val="21"/>
              </w:rPr>
            </w:pPr>
            <w:r>
              <w:rPr>
                <w:rFonts w:hint="eastAsia" w:ascii="Times New Roman" w:hAnsi="Times New Roman" w:cs="宋体"/>
                <w:szCs w:val="21"/>
              </w:rPr>
              <w:t>评标</w:t>
            </w:r>
            <w:r>
              <w:rPr>
                <w:rFonts w:ascii="Times New Roman" w:hAnsi="Times New Roman" w:cs="宋体"/>
                <w:szCs w:val="21"/>
              </w:rPr>
              <w:t>委员会根据投标人提供的</w:t>
            </w:r>
            <w:r>
              <w:rPr>
                <w:rFonts w:hint="eastAsia" w:ascii="Times New Roman" w:hAnsi="Times New Roman" w:cs="宋体"/>
                <w:szCs w:val="21"/>
              </w:rPr>
              <w:t>公告发布前一周销售清单（含产品名称、规格、单价等</w:t>
            </w:r>
            <w:r>
              <w:rPr>
                <w:rFonts w:ascii="Times New Roman" w:hAnsi="Times New Roman" w:cs="宋体"/>
                <w:szCs w:val="21"/>
              </w:rPr>
              <w:t>信息</w:t>
            </w:r>
            <w:r>
              <w:rPr>
                <w:rFonts w:hint="eastAsia" w:ascii="Times New Roman" w:hAnsi="Times New Roman" w:cs="宋体"/>
                <w:szCs w:val="21"/>
              </w:rPr>
              <w:t>），对其</w:t>
            </w:r>
            <w:r>
              <w:rPr>
                <w:rFonts w:hint="eastAsia" w:ascii="Times New Roman" w:hAnsi="Times New Roman"/>
                <w:szCs w:val="21"/>
              </w:rPr>
              <w:t>商品丰富度及价格合理性进行</w:t>
            </w:r>
            <w:r>
              <w:rPr>
                <w:rFonts w:ascii="Times New Roman" w:hAnsi="Times New Roman"/>
                <w:szCs w:val="21"/>
              </w:rPr>
              <w:t>评议。</w:t>
            </w:r>
            <w:r>
              <w:rPr>
                <w:rFonts w:hint="eastAsia" w:ascii="Times New Roman" w:hAnsi="Times New Roman"/>
                <w:szCs w:val="21"/>
              </w:rPr>
              <w:t>（此</w:t>
            </w:r>
            <w:r>
              <w:rPr>
                <w:rFonts w:ascii="Times New Roman" w:hAnsi="Times New Roman"/>
                <w:szCs w:val="21"/>
              </w:rPr>
              <w:t>单价为</w:t>
            </w:r>
            <w:r>
              <w:rPr>
                <w:rFonts w:hint="eastAsia" w:ascii="Times New Roman" w:hAnsi="Times New Roman"/>
                <w:szCs w:val="21"/>
              </w:rPr>
              <w:t>基准价，即店内销售价或会员价，低者优先）</w:t>
            </w:r>
          </w:p>
        </w:tc>
      </w:tr>
      <w:tr>
        <w:trPr>
          <w:trHeight w:val="454" w:hRule="atLeast"/>
          <w:jc w:val="center"/>
        </w:trPr>
        <w:tc>
          <w:tcPr>
            <w:tcW w:w="757" w:type="dxa"/>
            <w:vMerge w:val="continue"/>
            <w:tcBorders>
              <w:tl2br w:val="nil"/>
              <w:tr2bl w:val="nil"/>
            </w:tcBorders>
            <w:vAlign w:val="center"/>
          </w:tcPr>
          <w:p>
            <w:pPr>
              <w:widowControl/>
              <w:spacing w:line="360" w:lineRule="exact"/>
              <w:jc w:val="center"/>
              <w:textAlignment w:val="center"/>
              <w:rPr>
                <w:rFonts w:ascii="Times New Roman" w:hAnsi="Times New Roman" w:cs="宋体"/>
                <w:szCs w:val="21"/>
              </w:rPr>
            </w:pPr>
          </w:p>
        </w:tc>
        <w:tc>
          <w:tcPr>
            <w:tcW w:w="1525" w:type="dxa"/>
            <w:vMerge w:val="continue"/>
            <w:tcBorders>
              <w:tl2br w:val="nil"/>
              <w:tr2bl w:val="nil"/>
            </w:tcBorders>
            <w:vAlign w:val="center"/>
          </w:tcPr>
          <w:p>
            <w:pPr>
              <w:widowControl/>
              <w:spacing w:line="360" w:lineRule="exact"/>
              <w:jc w:val="center"/>
              <w:textAlignment w:val="center"/>
              <w:rPr>
                <w:rFonts w:ascii="Times New Roman" w:hAnsi="Times New Roman" w:cs="宋体"/>
                <w:szCs w:val="21"/>
              </w:rPr>
            </w:pPr>
          </w:p>
        </w:tc>
        <w:tc>
          <w:tcPr>
            <w:tcW w:w="725" w:type="dxa"/>
            <w:tcBorders>
              <w:top w:val="single" w:color="000000" w:sz="4" w:space="0"/>
              <w:bottom w:val="single" w:color="000000" w:sz="4" w:space="0"/>
              <w:tl2br w:val="nil"/>
              <w:tr2bl w:val="nil"/>
            </w:tcBorders>
            <w:vAlign w:val="center"/>
          </w:tcPr>
          <w:p>
            <w:pPr>
              <w:widowControl/>
              <w:spacing w:line="360" w:lineRule="exact"/>
              <w:jc w:val="center"/>
              <w:textAlignment w:val="center"/>
              <w:rPr>
                <w:rFonts w:ascii="Times New Roman" w:hAnsi="Times New Roman" w:cs="宋体"/>
                <w:szCs w:val="21"/>
              </w:rPr>
            </w:pPr>
            <w:r>
              <w:rPr>
                <w:rFonts w:hint="eastAsia" w:ascii="Times New Roman" w:hAnsi="Times New Roman" w:cs="宋体"/>
                <w:szCs w:val="21"/>
              </w:rPr>
              <w:t>2</w:t>
            </w:r>
          </w:p>
        </w:tc>
        <w:tc>
          <w:tcPr>
            <w:tcW w:w="6656" w:type="dxa"/>
            <w:tcBorders>
              <w:tl2br w:val="nil"/>
              <w:tr2bl w:val="nil"/>
            </w:tcBorders>
          </w:tcPr>
          <w:p>
            <w:pPr>
              <w:spacing w:line="360" w:lineRule="exact"/>
              <w:rPr>
                <w:rFonts w:ascii="Times New Roman" w:hAnsi="Times New Roman"/>
                <w:szCs w:val="21"/>
              </w:rPr>
            </w:pPr>
            <w:r>
              <w:rPr>
                <w:rFonts w:hint="eastAsia" w:ascii="Times New Roman" w:hAnsi="Times New Roman"/>
                <w:szCs w:val="21"/>
              </w:rPr>
              <w:t>食品安全责任险（2分）</w:t>
            </w:r>
          </w:p>
          <w:p>
            <w:pPr>
              <w:spacing w:line="360" w:lineRule="exact"/>
              <w:rPr>
                <w:rFonts w:ascii="Times New Roman" w:hAnsi="Times New Roman"/>
                <w:szCs w:val="21"/>
              </w:rPr>
            </w:pPr>
            <w:r>
              <w:rPr>
                <w:rFonts w:hint="eastAsia" w:ascii="Times New Roman" w:hAnsi="Times New Roman"/>
                <w:szCs w:val="21"/>
              </w:rPr>
              <w:t>投标人提供有效的“食品安全责任险”保单的得2分，其余不得分。（保单复印件编入</w:t>
            </w:r>
            <w:r>
              <w:rPr>
                <w:rFonts w:ascii="Times New Roman" w:hAnsi="Times New Roman"/>
                <w:szCs w:val="21"/>
              </w:rPr>
              <w:t>投标文件</w:t>
            </w:r>
            <w:r>
              <w:rPr>
                <w:rFonts w:hint="eastAsia" w:ascii="Times New Roman" w:hAnsi="Times New Roman"/>
                <w:szCs w:val="21"/>
              </w:rPr>
              <w:t>）</w:t>
            </w:r>
          </w:p>
        </w:tc>
      </w:tr>
      <w:tr>
        <w:trPr>
          <w:trHeight w:val="454" w:hRule="atLeast"/>
          <w:jc w:val="center"/>
        </w:trPr>
        <w:tc>
          <w:tcPr>
            <w:tcW w:w="757" w:type="dxa"/>
            <w:vMerge w:val="continue"/>
            <w:tcBorders>
              <w:tl2br w:val="nil"/>
              <w:tr2bl w:val="nil"/>
            </w:tcBorders>
            <w:vAlign w:val="center"/>
          </w:tcPr>
          <w:p>
            <w:pPr>
              <w:widowControl/>
              <w:spacing w:line="360" w:lineRule="exact"/>
              <w:jc w:val="center"/>
              <w:textAlignment w:val="center"/>
              <w:rPr>
                <w:rFonts w:ascii="Times New Roman" w:hAnsi="Times New Roman" w:cs="宋体"/>
                <w:szCs w:val="21"/>
              </w:rPr>
            </w:pPr>
          </w:p>
        </w:tc>
        <w:tc>
          <w:tcPr>
            <w:tcW w:w="1525" w:type="dxa"/>
            <w:vMerge w:val="continue"/>
            <w:tcBorders>
              <w:tl2br w:val="nil"/>
              <w:tr2bl w:val="nil"/>
            </w:tcBorders>
            <w:vAlign w:val="center"/>
          </w:tcPr>
          <w:p>
            <w:pPr>
              <w:widowControl/>
              <w:spacing w:line="360" w:lineRule="exact"/>
              <w:jc w:val="center"/>
              <w:textAlignment w:val="center"/>
              <w:rPr>
                <w:rFonts w:ascii="Times New Roman" w:hAnsi="Times New Roman" w:cs="宋体"/>
                <w:szCs w:val="21"/>
              </w:rPr>
            </w:pPr>
          </w:p>
        </w:tc>
        <w:tc>
          <w:tcPr>
            <w:tcW w:w="725" w:type="dxa"/>
            <w:tcBorders>
              <w:top w:val="single" w:color="000000" w:sz="4" w:space="0"/>
              <w:bottom w:val="single" w:color="000000" w:sz="4" w:space="0"/>
              <w:tl2br w:val="nil"/>
              <w:tr2bl w:val="nil"/>
            </w:tcBorders>
            <w:vAlign w:val="center"/>
          </w:tcPr>
          <w:p>
            <w:pPr>
              <w:widowControl/>
              <w:spacing w:line="360" w:lineRule="exact"/>
              <w:jc w:val="center"/>
              <w:textAlignment w:val="center"/>
              <w:rPr>
                <w:rFonts w:ascii="Times New Roman" w:hAnsi="Times New Roman" w:cs="宋体"/>
                <w:szCs w:val="21"/>
              </w:rPr>
            </w:pPr>
            <w:r>
              <w:rPr>
                <w:rFonts w:hint="eastAsia" w:ascii="Times New Roman" w:hAnsi="Times New Roman" w:cs="宋体"/>
                <w:szCs w:val="21"/>
              </w:rPr>
              <w:t>3</w:t>
            </w:r>
          </w:p>
        </w:tc>
        <w:tc>
          <w:tcPr>
            <w:tcW w:w="6656" w:type="dxa"/>
            <w:tcBorders>
              <w:tl2br w:val="nil"/>
              <w:tr2bl w:val="nil"/>
            </w:tcBorders>
          </w:tcPr>
          <w:p>
            <w:pPr>
              <w:spacing w:line="360" w:lineRule="exact"/>
              <w:rPr>
                <w:rFonts w:ascii="Times New Roman" w:hAnsi="Times New Roman"/>
                <w:szCs w:val="21"/>
              </w:rPr>
            </w:pPr>
            <w:r>
              <w:rPr>
                <w:rFonts w:hint="eastAsia" w:ascii="Times New Roman" w:hAnsi="Times New Roman"/>
                <w:szCs w:val="21"/>
              </w:rPr>
              <w:t>食品品质（</w:t>
            </w:r>
            <w:r>
              <w:rPr>
                <w:rFonts w:ascii="Times New Roman" w:hAnsi="Times New Roman"/>
                <w:szCs w:val="21"/>
              </w:rPr>
              <w:t>3</w:t>
            </w:r>
            <w:r>
              <w:rPr>
                <w:rFonts w:hint="eastAsia" w:ascii="Times New Roman" w:hAnsi="Times New Roman"/>
                <w:szCs w:val="21"/>
              </w:rPr>
              <w:t>分）</w:t>
            </w:r>
          </w:p>
          <w:p>
            <w:pPr>
              <w:spacing w:line="360" w:lineRule="exact"/>
              <w:rPr>
                <w:rFonts w:ascii="Times New Roman" w:hAnsi="Times New Roman"/>
                <w:szCs w:val="21"/>
              </w:rPr>
            </w:pPr>
            <w:r>
              <w:rPr>
                <w:rFonts w:hint="eastAsia" w:ascii="Times New Roman" w:hAnsi="Times New Roman"/>
                <w:szCs w:val="21"/>
              </w:rPr>
              <w:t>评标</w:t>
            </w:r>
            <w:r>
              <w:rPr>
                <w:rFonts w:ascii="Times New Roman" w:hAnsi="Times New Roman"/>
                <w:szCs w:val="21"/>
              </w:rPr>
              <w:t>委员会</w:t>
            </w:r>
            <w:r>
              <w:rPr>
                <w:rFonts w:hint="eastAsia" w:ascii="Times New Roman" w:hAnsi="Times New Roman"/>
                <w:szCs w:val="21"/>
              </w:rPr>
              <w:t>根据投标人拟供应食品的品种、品牌、质量等内容说明进行评议。</w:t>
            </w:r>
          </w:p>
        </w:tc>
      </w:tr>
      <w:tr>
        <w:trPr>
          <w:trHeight w:val="454" w:hRule="atLeast"/>
          <w:jc w:val="center"/>
        </w:trPr>
        <w:tc>
          <w:tcPr>
            <w:tcW w:w="757" w:type="dxa"/>
            <w:vMerge w:val="restart"/>
            <w:tcBorders>
              <w:tl2br w:val="nil"/>
              <w:tr2bl w:val="nil"/>
            </w:tcBorders>
            <w:vAlign w:val="center"/>
          </w:tcPr>
          <w:p>
            <w:pPr>
              <w:widowControl/>
              <w:spacing w:line="360" w:lineRule="exact"/>
              <w:jc w:val="center"/>
              <w:textAlignment w:val="center"/>
              <w:rPr>
                <w:rFonts w:ascii="Times New Roman" w:hAnsi="Times New Roman" w:cs="宋体"/>
                <w:szCs w:val="21"/>
              </w:rPr>
            </w:pPr>
            <w:r>
              <w:rPr>
                <w:rFonts w:hint="eastAsia" w:ascii="Times New Roman" w:hAnsi="Times New Roman" w:cs="宋体"/>
                <w:szCs w:val="21"/>
              </w:rPr>
              <w:t>2</w:t>
            </w:r>
          </w:p>
        </w:tc>
        <w:tc>
          <w:tcPr>
            <w:tcW w:w="1525" w:type="dxa"/>
            <w:vMerge w:val="restart"/>
            <w:tcBorders>
              <w:tl2br w:val="nil"/>
              <w:tr2bl w:val="nil"/>
            </w:tcBorders>
            <w:vAlign w:val="center"/>
          </w:tcPr>
          <w:p>
            <w:pPr>
              <w:widowControl/>
              <w:spacing w:line="360" w:lineRule="exact"/>
              <w:jc w:val="center"/>
              <w:textAlignment w:val="center"/>
              <w:rPr>
                <w:rFonts w:ascii="Times New Roman" w:hAnsi="Times New Roman"/>
                <w:szCs w:val="21"/>
              </w:rPr>
            </w:pPr>
            <w:r>
              <w:rPr>
                <w:rFonts w:hint="eastAsia" w:ascii="Times New Roman" w:hAnsi="Times New Roman"/>
                <w:szCs w:val="21"/>
              </w:rPr>
              <w:t>固定仓储、冷藏等场所</w:t>
            </w:r>
          </w:p>
        </w:tc>
        <w:tc>
          <w:tcPr>
            <w:tcW w:w="725" w:type="dxa"/>
            <w:tcBorders>
              <w:top w:val="single" w:color="000000" w:sz="4" w:space="0"/>
              <w:bottom w:val="single" w:color="000000" w:sz="4" w:space="0"/>
              <w:tl2br w:val="nil"/>
              <w:tr2bl w:val="nil"/>
            </w:tcBorders>
            <w:vAlign w:val="center"/>
          </w:tcPr>
          <w:p>
            <w:pPr>
              <w:widowControl/>
              <w:spacing w:line="360" w:lineRule="exact"/>
              <w:jc w:val="center"/>
              <w:textAlignment w:val="center"/>
              <w:rPr>
                <w:rFonts w:ascii="Times New Roman" w:hAnsi="Times New Roman" w:cs="宋体"/>
                <w:szCs w:val="21"/>
              </w:rPr>
            </w:pPr>
            <w:r>
              <w:rPr>
                <w:rFonts w:hint="eastAsia" w:ascii="Times New Roman" w:hAnsi="Times New Roman"/>
                <w:szCs w:val="21"/>
              </w:rPr>
              <w:t>2</w:t>
            </w:r>
          </w:p>
        </w:tc>
        <w:tc>
          <w:tcPr>
            <w:tcW w:w="6656" w:type="dxa"/>
            <w:tcBorders>
              <w:tl2br w:val="nil"/>
              <w:tr2bl w:val="nil"/>
            </w:tcBorders>
            <w:vAlign w:val="center"/>
          </w:tcPr>
          <w:p>
            <w:pPr>
              <w:spacing w:line="360" w:lineRule="exact"/>
              <w:rPr>
                <w:rFonts w:ascii="Times New Roman" w:hAnsi="Times New Roman"/>
                <w:szCs w:val="21"/>
              </w:rPr>
            </w:pPr>
            <w:r>
              <w:rPr>
                <w:rFonts w:hint="eastAsia" w:ascii="Times New Roman" w:hAnsi="Times New Roman"/>
                <w:szCs w:val="21"/>
              </w:rPr>
              <w:t>场地分割情况</w:t>
            </w:r>
            <w:r>
              <w:rPr>
                <w:rFonts w:ascii="Times New Roman" w:hAnsi="Times New Roman"/>
                <w:szCs w:val="21"/>
              </w:rPr>
              <w:t>（</w:t>
            </w:r>
            <w:r>
              <w:rPr>
                <w:rFonts w:hint="eastAsia" w:ascii="Times New Roman" w:hAnsi="Times New Roman"/>
                <w:szCs w:val="21"/>
              </w:rPr>
              <w:t>2分</w:t>
            </w:r>
            <w:r>
              <w:rPr>
                <w:rFonts w:ascii="Times New Roman" w:hAnsi="Times New Roman"/>
                <w:szCs w:val="21"/>
              </w:rPr>
              <w:t>）</w:t>
            </w:r>
          </w:p>
          <w:p>
            <w:pPr>
              <w:spacing w:line="360" w:lineRule="exact"/>
              <w:rPr>
                <w:rFonts w:ascii="Times New Roman" w:hAnsi="Times New Roman"/>
                <w:szCs w:val="21"/>
              </w:rPr>
            </w:pPr>
            <w:r>
              <w:rPr>
                <w:rFonts w:hint="eastAsia" w:ascii="Times New Roman" w:hAnsi="Times New Roman"/>
                <w:szCs w:val="21"/>
              </w:rPr>
              <w:t>评标</w:t>
            </w:r>
            <w:r>
              <w:rPr>
                <w:rFonts w:ascii="Times New Roman" w:hAnsi="Times New Roman"/>
                <w:szCs w:val="21"/>
              </w:rPr>
              <w:t>委员会</w:t>
            </w:r>
            <w:r>
              <w:rPr>
                <w:rFonts w:hint="eastAsia" w:ascii="Times New Roman" w:hAnsi="Times New Roman"/>
                <w:szCs w:val="21"/>
              </w:rPr>
              <w:t>根据投标</w:t>
            </w:r>
            <w:r>
              <w:rPr>
                <w:rFonts w:ascii="Times New Roman" w:hAnsi="Times New Roman"/>
                <w:szCs w:val="21"/>
              </w:rPr>
              <w:t>人</w:t>
            </w:r>
            <w:r>
              <w:rPr>
                <w:rFonts w:hint="eastAsia" w:ascii="Times New Roman" w:hAnsi="Times New Roman"/>
                <w:szCs w:val="21"/>
              </w:rPr>
              <w:t>仓储、冷库等经营场所的合理分割情况进行评议。（提供现场照片等资料）</w:t>
            </w:r>
          </w:p>
        </w:tc>
      </w:tr>
      <w:tr>
        <w:trPr>
          <w:trHeight w:val="454" w:hRule="atLeast"/>
          <w:jc w:val="center"/>
        </w:trPr>
        <w:tc>
          <w:tcPr>
            <w:tcW w:w="757" w:type="dxa"/>
            <w:vMerge w:val="continue"/>
            <w:tcBorders>
              <w:tl2br w:val="nil"/>
              <w:tr2bl w:val="nil"/>
            </w:tcBorders>
            <w:vAlign w:val="center"/>
          </w:tcPr>
          <w:p>
            <w:pPr>
              <w:widowControl/>
              <w:spacing w:line="360" w:lineRule="exact"/>
              <w:jc w:val="center"/>
              <w:textAlignment w:val="center"/>
              <w:rPr>
                <w:rFonts w:ascii="Times New Roman" w:hAnsi="Times New Roman" w:cs="宋体"/>
                <w:szCs w:val="21"/>
              </w:rPr>
            </w:pPr>
          </w:p>
        </w:tc>
        <w:tc>
          <w:tcPr>
            <w:tcW w:w="1525" w:type="dxa"/>
            <w:vMerge w:val="continue"/>
            <w:tcBorders>
              <w:tl2br w:val="nil"/>
              <w:tr2bl w:val="nil"/>
            </w:tcBorders>
            <w:vAlign w:val="center"/>
          </w:tcPr>
          <w:p>
            <w:pPr>
              <w:widowControl/>
              <w:spacing w:line="360" w:lineRule="exact"/>
              <w:jc w:val="center"/>
              <w:textAlignment w:val="center"/>
              <w:rPr>
                <w:rFonts w:ascii="Times New Roman" w:hAnsi="Times New Roman" w:cs="宋体"/>
                <w:szCs w:val="21"/>
              </w:rPr>
            </w:pPr>
          </w:p>
        </w:tc>
        <w:tc>
          <w:tcPr>
            <w:tcW w:w="725" w:type="dxa"/>
            <w:tcBorders>
              <w:top w:val="single" w:color="000000" w:sz="4" w:space="0"/>
              <w:tl2br w:val="nil"/>
              <w:tr2bl w:val="nil"/>
            </w:tcBorders>
            <w:vAlign w:val="center"/>
          </w:tcPr>
          <w:p>
            <w:pPr>
              <w:widowControl/>
              <w:spacing w:line="360" w:lineRule="exact"/>
              <w:jc w:val="center"/>
              <w:textAlignment w:val="center"/>
              <w:rPr>
                <w:rFonts w:ascii="Times New Roman" w:hAnsi="Times New Roman" w:cs="宋体"/>
                <w:szCs w:val="21"/>
              </w:rPr>
            </w:pPr>
            <w:r>
              <w:rPr>
                <w:rFonts w:hint="eastAsia" w:ascii="Times New Roman" w:hAnsi="Times New Roman" w:cs="宋体"/>
                <w:szCs w:val="21"/>
              </w:rPr>
              <w:t>2</w:t>
            </w:r>
          </w:p>
        </w:tc>
        <w:tc>
          <w:tcPr>
            <w:tcW w:w="6656" w:type="dxa"/>
            <w:tcBorders>
              <w:tl2br w:val="nil"/>
              <w:tr2bl w:val="nil"/>
            </w:tcBorders>
            <w:vAlign w:val="center"/>
          </w:tcPr>
          <w:p>
            <w:pPr>
              <w:spacing w:line="360" w:lineRule="exact"/>
              <w:rPr>
                <w:rFonts w:ascii="Times New Roman" w:hAnsi="Times New Roman"/>
                <w:szCs w:val="21"/>
              </w:rPr>
            </w:pPr>
            <w:r>
              <w:rPr>
                <w:rFonts w:hint="eastAsia" w:ascii="Times New Roman" w:hAnsi="Times New Roman"/>
                <w:szCs w:val="21"/>
              </w:rPr>
              <w:t>场地功能</w:t>
            </w:r>
            <w:r>
              <w:rPr>
                <w:rFonts w:ascii="Times New Roman" w:hAnsi="Times New Roman"/>
                <w:szCs w:val="21"/>
              </w:rPr>
              <w:t>及布局</w:t>
            </w:r>
            <w:r>
              <w:rPr>
                <w:rFonts w:hint="eastAsia" w:ascii="Times New Roman" w:hAnsi="Times New Roman"/>
                <w:szCs w:val="21"/>
              </w:rPr>
              <w:t>（2分）</w:t>
            </w:r>
          </w:p>
          <w:p>
            <w:pPr>
              <w:spacing w:line="360" w:lineRule="exact"/>
              <w:rPr>
                <w:rFonts w:ascii="Times New Roman" w:hAnsi="Times New Roman"/>
                <w:szCs w:val="21"/>
              </w:rPr>
            </w:pPr>
            <w:r>
              <w:rPr>
                <w:rFonts w:hint="eastAsia" w:ascii="Times New Roman" w:hAnsi="Times New Roman"/>
                <w:szCs w:val="21"/>
              </w:rPr>
              <w:t>评标</w:t>
            </w:r>
            <w:r>
              <w:rPr>
                <w:rFonts w:ascii="Times New Roman" w:hAnsi="Times New Roman"/>
                <w:szCs w:val="21"/>
              </w:rPr>
              <w:t>委员会</w:t>
            </w:r>
            <w:r>
              <w:rPr>
                <w:rFonts w:hint="eastAsia" w:ascii="Times New Roman" w:hAnsi="Times New Roman"/>
                <w:szCs w:val="21"/>
              </w:rPr>
              <w:t>根据投标人</w:t>
            </w:r>
            <w:r>
              <w:rPr>
                <w:rFonts w:ascii="Times New Roman" w:hAnsi="Times New Roman"/>
                <w:szCs w:val="21"/>
              </w:rPr>
              <w:t>的</w:t>
            </w:r>
            <w:r>
              <w:rPr>
                <w:rFonts w:hint="eastAsia" w:ascii="Times New Roman" w:hAnsi="Times New Roman"/>
                <w:szCs w:val="21"/>
              </w:rPr>
              <w:t>仓储、冷库、检测等设备的先进性、功能齐全性、布局合理性等情况进行</w:t>
            </w:r>
            <w:r>
              <w:rPr>
                <w:rFonts w:ascii="Times New Roman" w:hAnsi="Times New Roman"/>
                <w:szCs w:val="21"/>
              </w:rPr>
              <w:t>评议</w:t>
            </w:r>
            <w:r>
              <w:rPr>
                <w:rFonts w:hint="eastAsia" w:ascii="Times New Roman" w:hAnsi="Times New Roman"/>
                <w:szCs w:val="21"/>
              </w:rPr>
              <w:t>。（提供现场照片等资料）</w:t>
            </w:r>
          </w:p>
        </w:tc>
      </w:tr>
      <w:tr>
        <w:trPr>
          <w:trHeight w:val="454" w:hRule="atLeast"/>
          <w:jc w:val="center"/>
        </w:trPr>
        <w:tc>
          <w:tcPr>
            <w:tcW w:w="757" w:type="dxa"/>
            <w:tcBorders>
              <w:tl2br w:val="nil"/>
              <w:tr2bl w:val="nil"/>
            </w:tcBorders>
            <w:vAlign w:val="center"/>
          </w:tcPr>
          <w:p>
            <w:pPr>
              <w:widowControl/>
              <w:spacing w:line="360" w:lineRule="exact"/>
              <w:jc w:val="center"/>
              <w:textAlignment w:val="center"/>
              <w:rPr>
                <w:rFonts w:ascii="Times New Roman" w:hAnsi="Times New Roman" w:cs="宋体"/>
                <w:szCs w:val="21"/>
              </w:rPr>
            </w:pPr>
            <w:r>
              <w:rPr>
                <w:rFonts w:hint="eastAsia" w:ascii="Times New Roman" w:hAnsi="Times New Roman" w:cs="宋体"/>
                <w:szCs w:val="21"/>
              </w:rPr>
              <w:t>3</w:t>
            </w:r>
          </w:p>
        </w:tc>
        <w:tc>
          <w:tcPr>
            <w:tcW w:w="1525" w:type="dxa"/>
            <w:tcBorders>
              <w:tl2br w:val="nil"/>
              <w:tr2bl w:val="nil"/>
            </w:tcBorders>
            <w:vAlign w:val="center"/>
          </w:tcPr>
          <w:p>
            <w:pPr>
              <w:widowControl/>
              <w:spacing w:line="360" w:lineRule="exact"/>
              <w:jc w:val="center"/>
              <w:textAlignment w:val="center"/>
              <w:rPr>
                <w:rFonts w:ascii="Times New Roman" w:hAnsi="Times New Roman" w:cs="宋体"/>
                <w:szCs w:val="21"/>
              </w:rPr>
            </w:pPr>
            <w:r>
              <w:rPr>
                <w:rFonts w:hint="eastAsia" w:ascii="Times New Roman" w:hAnsi="Times New Roman" w:cs="宋体"/>
                <w:szCs w:val="21"/>
              </w:rPr>
              <w:t>服务便捷性</w:t>
            </w:r>
          </w:p>
        </w:tc>
        <w:tc>
          <w:tcPr>
            <w:tcW w:w="725" w:type="dxa"/>
            <w:tcBorders>
              <w:tl2br w:val="nil"/>
              <w:tr2bl w:val="nil"/>
            </w:tcBorders>
            <w:vAlign w:val="center"/>
          </w:tcPr>
          <w:p>
            <w:pPr>
              <w:widowControl/>
              <w:spacing w:line="360" w:lineRule="exact"/>
              <w:jc w:val="center"/>
              <w:textAlignment w:val="center"/>
              <w:rPr>
                <w:rFonts w:ascii="Times New Roman" w:hAnsi="Times New Roman" w:cs="宋体"/>
                <w:szCs w:val="21"/>
              </w:rPr>
            </w:pPr>
            <w:r>
              <w:rPr>
                <w:rFonts w:hint="eastAsia" w:ascii="Times New Roman" w:hAnsi="Times New Roman" w:cs="宋体"/>
                <w:szCs w:val="21"/>
              </w:rPr>
              <w:t>5</w:t>
            </w:r>
          </w:p>
        </w:tc>
        <w:tc>
          <w:tcPr>
            <w:tcW w:w="6656" w:type="dxa"/>
            <w:tcBorders>
              <w:tl2br w:val="nil"/>
              <w:tr2bl w:val="nil"/>
            </w:tcBorders>
            <w:vAlign w:val="center"/>
          </w:tcPr>
          <w:p>
            <w:pPr>
              <w:spacing w:line="360" w:lineRule="exact"/>
              <w:rPr>
                <w:rFonts w:ascii="Times New Roman" w:hAnsi="Times New Roman"/>
                <w:szCs w:val="21"/>
              </w:rPr>
            </w:pPr>
            <w:r>
              <w:rPr>
                <w:rFonts w:hint="eastAsia" w:ascii="Times New Roman" w:hAnsi="Times New Roman"/>
                <w:szCs w:val="21"/>
              </w:rPr>
              <w:t>评标</w:t>
            </w:r>
            <w:r>
              <w:rPr>
                <w:rFonts w:ascii="Times New Roman" w:hAnsi="Times New Roman"/>
                <w:szCs w:val="21"/>
              </w:rPr>
              <w:t>委员会</w:t>
            </w:r>
            <w:r>
              <w:rPr>
                <w:rFonts w:hint="eastAsia" w:ascii="Times New Roman" w:hAnsi="Times New Roman"/>
                <w:szCs w:val="21"/>
              </w:rPr>
              <w:t>根据投标人向各子包北仑、象山分公司</w:t>
            </w:r>
            <w:r>
              <w:rPr>
                <w:rFonts w:hint="eastAsia"/>
                <w:szCs w:val="21"/>
              </w:rPr>
              <w:t>提供本项目服务的便捷程度（包括响应时效、配送点分布情况等）</w:t>
            </w:r>
            <w:r>
              <w:rPr>
                <w:rFonts w:hint="eastAsia" w:ascii="Times New Roman" w:hAnsi="Times New Roman"/>
                <w:szCs w:val="21"/>
              </w:rPr>
              <w:t>进行评议。</w:t>
            </w:r>
          </w:p>
        </w:tc>
      </w:tr>
      <w:tr>
        <w:trPr>
          <w:trHeight w:val="454" w:hRule="atLeast"/>
          <w:jc w:val="center"/>
        </w:trPr>
        <w:tc>
          <w:tcPr>
            <w:tcW w:w="757" w:type="dxa"/>
            <w:vMerge w:val="restart"/>
            <w:tcBorders>
              <w:tl2br w:val="nil"/>
              <w:tr2bl w:val="nil"/>
            </w:tcBorders>
            <w:vAlign w:val="center"/>
          </w:tcPr>
          <w:p>
            <w:pPr>
              <w:widowControl/>
              <w:spacing w:line="360" w:lineRule="exact"/>
              <w:jc w:val="center"/>
              <w:textAlignment w:val="center"/>
              <w:rPr>
                <w:rFonts w:ascii="Times New Roman" w:hAnsi="Times New Roman" w:cs="宋体"/>
                <w:szCs w:val="21"/>
              </w:rPr>
            </w:pPr>
            <w:r>
              <w:rPr>
                <w:rFonts w:hint="eastAsia" w:ascii="Times New Roman" w:hAnsi="Times New Roman" w:cs="宋体"/>
                <w:szCs w:val="21"/>
              </w:rPr>
              <w:t>4</w:t>
            </w:r>
          </w:p>
        </w:tc>
        <w:tc>
          <w:tcPr>
            <w:tcW w:w="1525" w:type="dxa"/>
            <w:vMerge w:val="restart"/>
            <w:tcBorders>
              <w:tl2br w:val="nil"/>
              <w:tr2bl w:val="nil"/>
            </w:tcBorders>
            <w:vAlign w:val="center"/>
          </w:tcPr>
          <w:p>
            <w:pPr>
              <w:widowControl/>
              <w:spacing w:line="360" w:lineRule="exact"/>
              <w:jc w:val="center"/>
              <w:textAlignment w:val="center"/>
              <w:rPr>
                <w:rFonts w:ascii="Times New Roman" w:hAnsi="Times New Roman"/>
                <w:szCs w:val="21"/>
              </w:rPr>
            </w:pPr>
            <w:r>
              <w:rPr>
                <w:rFonts w:hint="eastAsia" w:ascii="Times New Roman" w:hAnsi="Times New Roman"/>
                <w:szCs w:val="21"/>
              </w:rPr>
              <w:t>配送车辆</w:t>
            </w:r>
          </w:p>
        </w:tc>
        <w:tc>
          <w:tcPr>
            <w:tcW w:w="725" w:type="dxa"/>
            <w:tcBorders>
              <w:bottom w:val="single" w:color="000000" w:sz="4" w:space="0"/>
              <w:tl2br w:val="nil"/>
              <w:tr2bl w:val="nil"/>
            </w:tcBorders>
            <w:vAlign w:val="center"/>
          </w:tcPr>
          <w:p>
            <w:pPr>
              <w:widowControl/>
              <w:spacing w:line="360" w:lineRule="exact"/>
              <w:jc w:val="center"/>
              <w:textAlignment w:val="center"/>
              <w:rPr>
                <w:rFonts w:ascii="Times New Roman" w:hAnsi="Times New Roman" w:cs="宋体"/>
                <w:szCs w:val="21"/>
              </w:rPr>
            </w:pPr>
            <w:r>
              <w:rPr>
                <w:rFonts w:hint="eastAsia" w:ascii="Times New Roman" w:hAnsi="Times New Roman"/>
                <w:szCs w:val="21"/>
              </w:rPr>
              <w:t>1</w:t>
            </w:r>
          </w:p>
        </w:tc>
        <w:tc>
          <w:tcPr>
            <w:tcW w:w="6656" w:type="dxa"/>
            <w:tcBorders>
              <w:tl2br w:val="nil"/>
              <w:tr2bl w:val="nil"/>
            </w:tcBorders>
            <w:vAlign w:val="center"/>
          </w:tcPr>
          <w:p>
            <w:pPr>
              <w:spacing w:line="360" w:lineRule="exact"/>
              <w:rPr>
                <w:rFonts w:ascii="Times New Roman" w:hAnsi="Times New Roman"/>
                <w:szCs w:val="21"/>
              </w:rPr>
            </w:pPr>
            <w:r>
              <w:rPr>
                <w:rFonts w:hint="eastAsia" w:ascii="Times New Roman" w:hAnsi="Times New Roman"/>
                <w:szCs w:val="21"/>
              </w:rPr>
              <w:t>配送</w:t>
            </w:r>
            <w:r>
              <w:rPr>
                <w:rFonts w:ascii="Times New Roman" w:hAnsi="Times New Roman"/>
                <w:szCs w:val="21"/>
              </w:rPr>
              <w:t>车辆（</w:t>
            </w:r>
            <w:r>
              <w:rPr>
                <w:rFonts w:hint="eastAsia" w:ascii="Times New Roman" w:hAnsi="Times New Roman"/>
                <w:szCs w:val="21"/>
              </w:rPr>
              <w:t>1分</w:t>
            </w:r>
            <w:r>
              <w:rPr>
                <w:rFonts w:ascii="Times New Roman" w:hAnsi="Times New Roman"/>
                <w:szCs w:val="21"/>
              </w:rPr>
              <w:t>）</w:t>
            </w:r>
          </w:p>
          <w:p>
            <w:pPr>
              <w:spacing w:line="360" w:lineRule="exact"/>
              <w:rPr>
                <w:rFonts w:ascii="Times New Roman" w:hAnsi="Times New Roman"/>
                <w:szCs w:val="21"/>
              </w:rPr>
            </w:pPr>
            <w:r>
              <w:rPr>
                <w:rFonts w:hint="eastAsia" w:ascii="Times New Roman" w:hAnsi="Times New Roman"/>
                <w:szCs w:val="21"/>
              </w:rPr>
              <w:t>投标人自有配送车辆1辆（含）以上得1分。（行驶证复印件</w:t>
            </w:r>
            <w:r>
              <w:rPr>
                <w:rFonts w:ascii="Times New Roman" w:hAnsi="Times New Roman"/>
                <w:szCs w:val="21"/>
              </w:rPr>
              <w:t>编入投标文件</w:t>
            </w:r>
            <w:r>
              <w:rPr>
                <w:rFonts w:hint="eastAsia" w:ascii="Times New Roman" w:hAnsi="Times New Roman"/>
                <w:szCs w:val="21"/>
              </w:rPr>
              <w:t>，车辆类型须为厢式货车，以车辆行驶证上记载的车辆类型为准）</w:t>
            </w:r>
          </w:p>
        </w:tc>
      </w:tr>
      <w:tr>
        <w:trPr>
          <w:trHeight w:val="454" w:hRule="atLeast"/>
          <w:jc w:val="center"/>
        </w:trPr>
        <w:tc>
          <w:tcPr>
            <w:tcW w:w="757" w:type="dxa"/>
            <w:vMerge w:val="continue"/>
            <w:tcBorders>
              <w:tl2br w:val="nil"/>
              <w:tr2bl w:val="nil"/>
            </w:tcBorders>
            <w:vAlign w:val="center"/>
          </w:tcPr>
          <w:p>
            <w:pPr>
              <w:widowControl/>
              <w:spacing w:line="360" w:lineRule="exact"/>
              <w:jc w:val="center"/>
              <w:textAlignment w:val="center"/>
              <w:rPr>
                <w:rFonts w:ascii="Times New Roman" w:hAnsi="Times New Roman" w:cs="宋体"/>
                <w:szCs w:val="21"/>
              </w:rPr>
            </w:pPr>
          </w:p>
        </w:tc>
        <w:tc>
          <w:tcPr>
            <w:tcW w:w="1525" w:type="dxa"/>
            <w:vMerge w:val="continue"/>
            <w:tcBorders>
              <w:tl2br w:val="nil"/>
              <w:tr2bl w:val="nil"/>
            </w:tcBorders>
            <w:vAlign w:val="center"/>
          </w:tcPr>
          <w:p>
            <w:pPr>
              <w:widowControl/>
              <w:spacing w:line="360" w:lineRule="exact"/>
              <w:jc w:val="center"/>
              <w:textAlignment w:val="center"/>
              <w:rPr>
                <w:rFonts w:ascii="Times New Roman" w:hAnsi="Times New Roman" w:cs="宋体"/>
                <w:szCs w:val="21"/>
              </w:rPr>
            </w:pPr>
          </w:p>
        </w:tc>
        <w:tc>
          <w:tcPr>
            <w:tcW w:w="725" w:type="dxa"/>
            <w:tcBorders>
              <w:top w:val="single" w:color="000000" w:sz="4" w:space="0"/>
              <w:tl2br w:val="nil"/>
              <w:tr2bl w:val="nil"/>
            </w:tcBorders>
            <w:vAlign w:val="center"/>
          </w:tcPr>
          <w:p>
            <w:pPr>
              <w:widowControl/>
              <w:spacing w:line="360" w:lineRule="exact"/>
              <w:jc w:val="center"/>
              <w:textAlignment w:val="center"/>
              <w:rPr>
                <w:rFonts w:ascii="Times New Roman" w:hAnsi="Times New Roman" w:cs="宋体"/>
                <w:szCs w:val="21"/>
              </w:rPr>
            </w:pPr>
            <w:r>
              <w:rPr>
                <w:rFonts w:hint="eastAsia" w:ascii="Times New Roman" w:hAnsi="Times New Roman" w:cs="宋体"/>
                <w:szCs w:val="21"/>
              </w:rPr>
              <w:t>1</w:t>
            </w:r>
          </w:p>
        </w:tc>
        <w:tc>
          <w:tcPr>
            <w:tcW w:w="6656" w:type="dxa"/>
            <w:tcBorders>
              <w:tl2br w:val="nil"/>
              <w:tr2bl w:val="nil"/>
            </w:tcBorders>
            <w:vAlign w:val="center"/>
          </w:tcPr>
          <w:p>
            <w:pPr>
              <w:spacing w:line="360" w:lineRule="exact"/>
              <w:rPr>
                <w:rFonts w:ascii="Times New Roman" w:hAnsi="Times New Roman"/>
                <w:szCs w:val="21"/>
              </w:rPr>
            </w:pPr>
            <w:r>
              <w:rPr>
                <w:rFonts w:hint="eastAsia" w:ascii="Times New Roman" w:hAnsi="Times New Roman"/>
                <w:szCs w:val="21"/>
              </w:rPr>
              <w:t>冷链车辆</w:t>
            </w:r>
            <w:r>
              <w:rPr>
                <w:rFonts w:ascii="Times New Roman" w:hAnsi="Times New Roman"/>
                <w:szCs w:val="21"/>
              </w:rPr>
              <w:t>（</w:t>
            </w:r>
            <w:r>
              <w:rPr>
                <w:rFonts w:hint="eastAsia" w:ascii="Times New Roman" w:hAnsi="Times New Roman"/>
                <w:szCs w:val="21"/>
              </w:rPr>
              <w:t>1分</w:t>
            </w:r>
            <w:r>
              <w:rPr>
                <w:rFonts w:ascii="Times New Roman" w:hAnsi="Times New Roman"/>
                <w:szCs w:val="21"/>
              </w:rPr>
              <w:t>）</w:t>
            </w:r>
          </w:p>
          <w:p>
            <w:pPr>
              <w:spacing w:line="360" w:lineRule="exact"/>
              <w:rPr>
                <w:rFonts w:ascii="Times New Roman" w:hAnsi="Times New Roman"/>
                <w:szCs w:val="21"/>
              </w:rPr>
            </w:pPr>
            <w:r>
              <w:rPr>
                <w:rFonts w:hint="eastAsia" w:ascii="Times New Roman" w:hAnsi="Times New Roman"/>
                <w:szCs w:val="21"/>
              </w:rPr>
              <w:t>投标人自有冷链车辆的得1辆（含）以上得1分。（行驶证复印件</w:t>
            </w:r>
            <w:r>
              <w:rPr>
                <w:rFonts w:ascii="Times New Roman" w:hAnsi="Times New Roman"/>
                <w:szCs w:val="21"/>
              </w:rPr>
              <w:t>编入投标文件</w:t>
            </w:r>
            <w:r>
              <w:rPr>
                <w:rFonts w:hint="eastAsia" w:ascii="Times New Roman" w:hAnsi="Times New Roman"/>
                <w:szCs w:val="21"/>
              </w:rPr>
              <w:t>）</w:t>
            </w:r>
          </w:p>
        </w:tc>
      </w:tr>
      <w:tr>
        <w:trPr>
          <w:trHeight w:val="454" w:hRule="atLeast"/>
          <w:jc w:val="center"/>
        </w:trPr>
        <w:tc>
          <w:tcPr>
            <w:tcW w:w="757" w:type="dxa"/>
            <w:tcBorders>
              <w:tl2br w:val="nil"/>
              <w:tr2bl w:val="nil"/>
            </w:tcBorders>
            <w:vAlign w:val="center"/>
          </w:tcPr>
          <w:p>
            <w:pPr>
              <w:widowControl/>
              <w:spacing w:line="360" w:lineRule="exact"/>
              <w:jc w:val="center"/>
              <w:textAlignment w:val="center"/>
              <w:rPr>
                <w:rFonts w:ascii="Times New Roman" w:hAnsi="Times New Roman" w:cs="宋体"/>
                <w:szCs w:val="21"/>
              </w:rPr>
            </w:pPr>
            <w:r>
              <w:rPr>
                <w:rFonts w:hint="eastAsia" w:ascii="Times New Roman" w:hAnsi="Times New Roman" w:cs="宋体"/>
                <w:szCs w:val="21"/>
              </w:rPr>
              <w:t>5</w:t>
            </w:r>
          </w:p>
        </w:tc>
        <w:tc>
          <w:tcPr>
            <w:tcW w:w="1525" w:type="dxa"/>
            <w:tcBorders>
              <w:tl2br w:val="nil"/>
              <w:tr2bl w:val="nil"/>
            </w:tcBorders>
            <w:vAlign w:val="center"/>
          </w:tcPr>
          <w:p>
            <w:pPr>
              <w:spacing w:line="360" w:lineRule="exact"/>
              <w:jc w:val="center"/>
              <w:rPr>
                <w:rFonts w:ascii="Times New Roman" w:hAnsi="Times New Roman"/>
                <w:szCs w:val="21"/>
              </w:rPr>
            </w:pPr>
            <w:r>
              <w:rPr>
                <w:rFonts w:hint="eastAsia" w:ascii="Times New Roman" w:hAnsi="Times New Roman"/>
                <w:szCs w:val="21"/>
              </w:rPr>
              <w:t>配送方案</w:t>
            </w:r>
          </w:p>
        </w:tc>
        <w:tc>
          <w:tcPr>
            <w:tcW w:w="725" w:type="dxa"/>
            <w:tcBorders>
              <w:tl2br w:val="nil"/>
              <w:tr2bl w:val="nil"/>
            </w:tcBorders>
            <w:vAlign w:val="center"/>
          </w:tcPr>
          <w:p>
            <w:pPr>
              <w:spacing w:line="360" w:lineRule="exact"/>
              <w:jc w:val="center"/>
              <w:rPr>
                <w:rFonts w:ascii="Times New Roman" w:hAnsi="Times New Roman"/>
                <w:szCs w:val="21"/>
              </w:rPr>
            </w:pPr>
            <w:r>
              <w:rPr>
                <w:rFonts w:hint="eastAsia" w:ascii="Times New Roman" w:hAnsi="Times New Roman"/>
                <w:szCs w:val="21"/>
              </w:rPr>
              <w:t>4</w:t>
            </w:r>
          </w:p>
        </w:tc>
        <w:tc>
          <w:tcPr>
            <w:tcW w:w="6656" w:type="dxa"/>
            <w:tcBorders>
              <w:tl2br w:val="nil"/>
              <w:tr2bl w:val="nil"/>
            </w:tcBorders>
            <w:vAlign w:val="center"/>
          </w:tcPr>
          <w:p>
            <w:pPr>
              <w:spacing w:line="360" w:lineRule="exact"/>
              <w:rPr>
                <w:rFonts w:ascii="Times New Roman" w:hAnsi="Times New Roman"/>
                <w:szCs w:val="21"/>
              </w:rPr>
            </w:pPr>
            <w:r>
              <w:rPr>
                <w:rFonts w:hint="eastAsia" w:ascii="Times New Roman" w:hAnsi="Times New Roman"/>
                <w:szCs w:val="21"/>
              </w:rPr>
              <w:t>评标委员会根据投标人提供的针对本项目的配送方案，包括配送方式、配送路线及配送保证措施等进行评议。</w:t>
            </w:r>
          </w:p>
        </w:tc>
      </w:tr>
      <w:tr>
        <w:trPr>
          <w:trHeight w:val="454" w:hRule="atLeast"/>
          <w:jc w:val="center"/>
        </w:trPr>
        <w:tc>
          <w:tcPr>
            <w:tcW w:w="757" w:type="dxa"/>
            <w:tcBorders>
              <w:tl2br w:val="nil"/>
              <w:tr2bl w:val="nil"/>
            </w:tcBorders>
            <w:vAlign w:val="center"/>
          </w:tcPr>
          <w:p>
            <w:pPr>
              <w:widowControl/>
              <w:spacing w:line="360" w:lineRule="exact"/>
              <w:jc w:val="center"/>
              <w:textAlignment w:val="center"/>
              <w:rPr>
                <w:rFonts w:ascii="Times New Roman" w:hAnsi="Times New Roman" w:cs="宋体"/>
                <w:szCs w:val="21"/>
              </w:rPr>
            </w:pPr>
            <w:r>
              <w:rPr>
                <w:rFonts w:hint="eastAsia" w:ascii="Times New Roman" w:hAnsi="Times New Roman" w:cs="宋体"/>
                <w:szCs w:val="21"/>
              </w:rPr>
              <w:t>6</w:t>
            </w:r>
          </w:p>
        </w:tc>
        <w:tc>
          <w:tcPr>
            <w:tcW w:w="1525" w:type="dxa"/>
            <w:tcBorders>
              <w:tl2br w:val="nil"/>
              <w:tr2bl w:val="nil"/>
            </w:tcBorders>
            <w:vAlign w:val="center"/>
          </w:tcPr>
          <w:p>
            <w:pPr>
              <w:spacing w:line="360" w:lineRule="exact"/>
              <w:jc w:val="center"/>
              <w:rPr>
                <w:rFonts w:ascii="Times New Roman" w:hAnsi="Times New Roman"/>
                <w:szCs w:val="21"/>
              </w:rPr>
            </w:pPr>
            <w:r>
              <w:rPr>
                <w:rFonts w:hint="eastAsia" w:ascii="Times New Roman" w:hAnsi="Times New Roman"/>
                <w:szCs w:val="21"/>
              </w:rPr>
              <w:t>项目负责人</w:t>
            </w:r>
          </w:p>
        </w:tc>
        <w:tc>
          <w:tcPr>
            <w:tcW w:w="725" w:type="dxa"/>
            <w:tcBorders>
              <w:tl2br w:val="nil"/>
              <w:tr2bl w:val="nil"/>
            </w:tcBorders>
            <w:vAlign w:val="center"/>
          </w:tcPr>
          <w:p>
            <w:pPr>
              <w:spacing w:line="360" w:lineRule="exact"/>
              <w:jc w:val="center"/>
              <w:rPr>
                <w:rFonts w:ascii="Times New Roman" w:hAnsi="Times New Roman"/>
                <w:szCs w:val="21"/>
              </w:rPr>
            </w:pPr>
            <w:r>
              <w:rPr>
                <w:rFonts w:hint="eastAsia" w:ascii="Times New Roman" w:hAnsi="Times New Roman"/>
                <w:szCs w:val="21"/>
              </w:rPr>
              <w:t>2</w:t>
            </w:r>
          </w:p>
        </w:tc>
        <w:tc>
          <w:tcPr>
            <w:tcW w:w="6656" w:type="dxa"/>
            <w:tcBorders>
              <w:tl2br w:val="nil"/>
              <w:tr2bl w:val="nil"/>
            </w:tcBorders>
            <w:vAlign w:val="center"/>
          </w:tcPr>
          <w:p>
            <w:pPr>
              <w:spacing w:line="360" w:lineRule="exact"/>
              <w:rPr>
                <w:rFonts w:ascii="Times New Roman" w:hAnsi="Times New Roman"/>
                <w:szCs w:val="21"/>
              </w:rPr>
            </w:pPr>
            <w:r>
              <w:rPr>
                <w:rFonts w:hint="eastAsia" w:ascii="Times New Roman" w:hAnsi="Times New Roman"/>
                <w:szCs w:val="21"/>
              </w:rPr>
              <w:t>评标委员会根据投标人拟投入本项目各子包的项目负责人学历、经历、类似项目经验等进行评议。（拟投入本项目各子包的项目负责人学历、身份证、从业经历、类似项目经验及其2023年8月-10月中任一月份社保证明、健康证复印件编入投标文件）</w:t>
            </w:r>
          </w:p>
        </w:tc>
      </w:tr>
      <w:tr>
        <w:trPr>
          <w:trHeight w:val="454" w:hRule="atLeast"/>
          <w:jc w:val="center"/>
        </w:trPr>
        <w:tc>
          <w:tcPr>
            <w:tcW w:w="757" w:type="dxa"/>
            <w:tcBorders>
              <w:tl2br w:val="nil"/>
              <w:tr2bl w:val="nil"/>
            </w:tcBorders>
            <w:vAlign w:val="center"/>
          </w:tcPr>
          <w:p>
            <w:pPr>
              <w:widowControl/>
              <w:spacing w:line="360" w:lineRule="exact"/>
              <w:jc w:val="center"/>
              <w:textAlignment w:val="center"/>
              <w:rPr>
                <w:rFonts w:ascii="Times New Roman" w:hAnsi="Times New Roman" w:cs="宋体"/>
                <w:szCs w:val="21"/>
              </w:rPr>
            </w:pPr>
            <w:r>
              <w:rPr>
                <w:rFonts w:hint="eastAsia" w:ascii="Times New Roman" w:hAnsi="Times New Roman" w:cs="宋体"/>
                <w:szCs w:val="21"/>
              </w:rPr>
              <w:t>7</w:t>
            </w:r>
          </w:p>
        </w:tc>
        <w:tc>
          <w:tcPr>
            <w:tcW w:w="1525" w:type="dxa"/>
            <w:tcBorders>
              <w:tl2br w:val="nil"/>
              <w:tr2bl w:val="nil"/>
            </w:tcBorders>
            <w:vAlign w:val="center"/>
          </w:tcPr>
          <w:p>
            <w:pPr>
              <w:spacing w:line="360" w:lineRule="exact"/>
              <w:jc w:val="center"/>
              <w:rPr>
                <w:rFonts w:ascii="Times New Roman" w:hAnsi="Times New Roman"/>
                <w:szCs w:val="21"/>
              </w:rPr>
            </w:pPr>
            <w:r>
              <w:rPr>
                <w:rFonts w:hint="eastAsia" w:ascii="Times New Roman" w:hAnsi="Times New Roman"/>
                <w:szCs w:val="21"/>
              </w:rPr>
              <w:t>服务团队</w:t>
            </w:r>
          </w:p>
        </w:tc>
        <w:tc>
          <w:tcPr>
            <w:tcW w:w="725" w:type="dxa"/>
            <w:tcBorders>
              <w:tl2br w:val="nil"/>
              <w:tr2bl w:val="nil"/>
            </w:tcBorders>
            <w:vAlign w:val="center"/>
          </w:tcPr>
          <w:p>
            <w:pPr>
              <w:spacing w:line="360" w:lineRule="exact"/>
              <w:jc w:val="center"/>
              <w:rPr>
                <w:rFonts w:ascii="Times New Roman" w:hAnsi="Times New Roman"/>
                <w:szCs w:val="21"/>
              </w:rPr>
            </w:pPr>
            <w:r>
              <w:rPr>
                <w:rFonts w:hint="eastAsia" w:ascii="Times New Roman" w:hAnsi="Times New Roman"/>
                <w:szCs w:val="21"/>
              </w:rPr>
              <w:t>3</w:t>
            </w:r>
          </w:p>
        </w:tc>
        <w:tc>
          <w:tcPr>
            <w:tcW w:w="6656" w:type="dxa"/>
            <w:tcBorders>
              <w:tl2br w:val="nil"/>
              <w:tr2bl w:val="nil"/>
            </w:tcBorders>
            <w:vAlign w:val="center"/>
          </w:tcPr>
          <w:p>
            <w:pPr>
              <w:spacing w:line="360" w:lineRule="exact"/>
              <w:rPr>
                <w:rFonts w:ascii="Times New Roman" w:hAnsi="Times New Roman"/>
                <w:szCs w:val="21"/>
              </w:rPr>
            </w:pPr>
            <w:r>
              <w:rPr>
                <w:rFonts w:hint="eastAsia" w:ascii="Times New Roman" w:hAnsi="Times New Roman"/>
                <w:szCs w:val="21"/>
              </w:rPr>
              <w:t>评标委员会根据投标人拟投入本项目人员配备及管理方案进行评议。（拟投入本项目人员名单、从业经历及其2023年8月-10月中任一月份社保证明、健康证复印件编入投标文件）</w:t>
            </w:r>
          </w:p>
        </w:tc>
      </w:tr>
      <w:tr>
        <w:trPr>
          <w:trHeight w:val="454" w:hRule="atLeast"/>
          <w:jc w:val="center"/>
        </w:trPr>
        <w:tc>
          <w:tcPr>
            <w:tcW w:w="757" w:type="dxa"/>
            <w:vMerge w:val="restart"/>
            <w:tcBorders>
              <w:tl2br w:val="nil"/>
              <w:tr2bl w:val="nil"/>
            </w:tcBorders>
            <w:vAlign w:val="center"/>
          </w:tcPr>
          <w:p>
            <w:pPr>
              <w:widowControl/>
              <w:spacing w:line="360" w:lineRule="exact"/>
              <w:jc w:val="center"/>
              <w:textAlignment w:val="center"/>
              <w:rPr>
                <w:rFonts w:ascii="Times New Roman" w:hAnsi="Times New Roman" w:cs="宋体"/>
                <w:szCs w:val="21"/>
              </w:rPr>
            </w:pPr>
            <w:r>
              <w:rPr>
                <w:rFonts w:hint="eastAsia" w:ascii="Times New Roman" w:hAnsi="Times New Roman" w:cs="宋体"/>
                <w:szCs w:val="21"/>
              </w:rPr>
              <w:t>8</w:t>
            </w:r>
          </w:p>
        </w:tc>
        <w:tc>
          <w:tcPr>
            <w:tcW w:w="1525" w:type="dxa"/>
            <w:vMerge w:val="restart"/>
            <w:tcBorders>
              <w:tl2br w:val="nil"/>
              <w:tr2bl w:val="nil"/>
            </w:tcBorders>
            <w:vAlign w:val="center"/>
          </w:tcPr>
          <w:p>
            <w:pPr>
              <w:widowControl/>
              <w:spacing w:line="360" w:lineRule="exact"/>
              <w:jc w:val="center"/>
              <w:textAlignment w:val="center"/>
              <w:rPr>
                <w:rFonts w:ascii="Times New Roman" w:hAnsi="Times New Roman"/>
                <w:szCs w:val="21"/>
              </w:rPr>
            </w:pPr>
            <w:r>
              <w:rPr>
                <w:rFonts w:hint="eastAsia" w:ascii="Times New Roman" w:hAnsi="Times New Roman"/>
                <w:szCs w:val="21"/>
              </w:rPr>
              <w:t>售后服务</w:t>
            </w:r>
          </w:p>
        </w:tc>
        <w:tc>
          <w:tcPr>
            <w:tcW w:w="725" w:type="dxa"/>
            <w:tcBorders>
              <w:tl2br w:val="nil"/>
              <w:tr2bl w:val="nil"/>
            </w:tcBorders>
            <w:vAlign w:val="center"/>
          </w:tcPr>
          <w:p>
            <w:pPr>
              <w:widowControl/>
              <w:spacing w:line="360" w:lineRule="exact"/>
              <w:jc w:val="center"/>
              <w:textAlignment w:val="center"/>
              <w:rPr>
                <w:rFonts w:ascii="Times New Roman" w:hAnsi="Times New Roman" w:cs="宋体"/>
                <w:szCs w:val="21"/>
              </w:rPr>
            </w:pPr>
            <w:r>
              <w:rPr>
                <w:rFonts w:hint="eastAsia" w:ascii="Times New Roman" w:hAnsi="Times New Roman"/>
                <w:szCs w:val="21"/>
              </w:rPr>
              <w:t>2</w:t>
            </w:r>
          </w:p>
        </w:tc>
        <w:tc>
          <w:tcPr>
            <w:tcW w:w="6656" w:type="dxa"/>
            <w:tcBorders>
              <w:tl2br w:val="nil"/>
              <w:tr2bl w:val="nil"/>
            </w:tcBorders>
            <w:vAlign w:val="center"/>
          </w:tcPr>
          <w:p>
            <w:pPr>
              <w:spacing w:line="360" w:lineRule="exact"/>
              <w:rPr>
                <w:rFonts w:ascii="Times New Roman" w:hAnsi="Times New Roman"/>
                <w:szCs w:val="21"/>
              </w:rPr>
            </w:pPr>
            <w:r>
              <w:rPr>
                <w:rFonts w:hint="eastAsia" w:ascii="Times New Roman" w:hAnsi="Times New Roman"/>
                <w:szCs w:val="21"/>
              </w:rPr>
              <w:t>评标</w:t>
            </w:r>
            <w:r>
              <w:rPr>
                <w:rFonts w:ascii="Times New Roman" w:hAnsi="Times New Roman"/>
                <w:szCs w:val="21"/>
              </w:rPr>
              <w:t>委员会根据</w:t>
            </w:r>
            <w:r>
              <w:rPr>
                <w:rFonts w:hint="eastAsia" w:ascii="Times New Roman" w:hAnsi="Times New Roman"/>
                <w:szCs w:val="21"/>
              </w:rPr>
              <w:t>投标人提供的各项售后服务保障措施、响应时效、网点分布情况、临时性订单及及突发事件处理措施等进行评议。</w:t>
            </w:r>
          </w:p>
        </w:tc>
      </w:tr>
      <w:tr>
        <w:trPr>
          <w:trHeight w:val="454" w:hRule="atLeast"/>
          <w:jc w:val="center"/>
        </w:trPr>
        <w:tc>
          <w:tcPr>
            <w:tcW w:w="757" w:type="dxa"/>
            <w:vMerge w:val="continue"/>
            <w:tcBorders>
              <w:tl2br w:val="nil"/>
              <w:tr2bl w:val="nil"/>
            </w:tcBorders>
            <w:vAlign w:val="center"/>
          </w:tcPr>
          <w:p>
            <w:pPr>
              <w:widowControl/>
              <w:spacing w:line="360" w:lineRule="exact"/>
              <w:jc w:val="center"/>
              <w:textAlignment w:val="center"/>
              <w:rPr>
                <w:rFonts w:ascii="Times New Roman" w:hAnsi="Times New Roman" w:cs="宋体"/>
                <w:szCs w:val="21"/>
              </w:rPr>
            </w:pPr>
          </w:p>
        </w:tc>
        <w:tc>
          <w:tcPr>
            <w:tcW w:w="1525" w:type="dxa"/>
            <w:vMerge w:val="continue"/>
            <w:tcBorders>
              <w:tl2br w:val="nil"/>
              <w:tr2bl w:val="nil"/>
            </w:tcBorders>
            <w:vAlign w:val="center"/>
          </w:tcPr>
          <w:p>
            <w:pPr>
              <w:widowControl/>
              <w:spacing w:line="360" w:lineRule="exact"/>
              <w:jc w:val="center"/>
              <w:textAlignment w:val="center"/>
              <w:rPr>
                <w:rFonts w:ascii="Times New Roman" w:hAnsi="Times New Roman"/>
                <w:szCs w:val="21"/>
              </w:rPr>
            </w:pPr>
          </w:p>
        </w:tc>
        <w:tc>
          <w:tcPr>
            <w:tcW w:w="725" w:type="dxa"/>
            <w:tcBorders>
              <w:tl2br w:val="nil"/>
              <w:tr2bl w:val="nil"/>
            </w:tcBorders>
            <w:vAlign w:val="center"/>
          </w:tcPr>
          <w:p>
            <w:pPr>
              <w:widowControl/>
              <w:spacing w:line="360" w:lineRule="exact"/>
              <w:jc w:val="center"/>
              <w:textAlignment w:val="center"/>
              <w:rPr>
                <w:rFonts w:ascii="Times New Roman" w:hAnsi="Times New Roman"/>
                <w:szCs w:val="21"/>
              </w:rPr>
            </w:pPr>
            <w:r>
              <w:rPr>
                <w:rFonts w:hint="eastAsia" w:ascii="Times New Roman" w:hAnsi="Times New Roman"/>
                <w:szCs w:val="21"/>
              </w:rPr>
              <w:t>3</w:t>
            </w:r>
          </w:p>
        </w:tc>
        <w:tc>
          <w:tcPr>
            <w:tcW w:w="6656" w:type="dxa"/>
            <w:tcBorders>
              <w:tl2br w:val="nil"/>
              <w:tr2bl w:val="nil"/>
            </w:tcBorders>
            <w:vAlign w:val="center"/>
          </w:tcPr>
          <w:p>
            <w:pPr>
              <w:spacing w:line="360" w:lineRule="exact"/>
              <w:rPr>
                <w:rFonts w:ascii="Times New Roman" w:hAnsi="Times New Roman"/>
                <w:szCs w:val="21"/>
              </w:rPr>
            </w:pPr>
            <w:r>
              <w:rPr>
                <w:rFonts w:hint="eastAsia" w:ascii="Times New Roman" w:hAnsi="Times New Roman"/>
                <w:szCs w:val="21"/>
              </w:rPr>
              <w:t>评标委员会根据投标人离各子包北仑、象山分公司最近网点的远近程度进行评议。（高德地图驾车导航截图编入投标文件）</w:t>
            </w:r>
          </w:p>
        </w:tc>
      </w:tr>
      <w:tr>
        <w:trPr>
          <w:trHeight w:val="454" w:hRule="atLeast"/>
          <w:jc w:val="center"/>
        </w:trPr>
        <w:tc>
          <w:tcPr>
            <w:tcW w:w="757" w:type="dxa"/>
            <w:tcBorders>
              <w:tl2br w:val="nil"/>
              <w:tr2bl w:val="nil"/>
            </w:tcBorders>
            <w:vAlign w:val="center"/>
          </w:tcPr>
          <w:p>
            <w:pPr>
              <w:widowControl/>
              <w:spacing w:line="360" w:lineRule="exact"/>
              <w:jc w:val="center"/>
              <w:textAlignment w:val="center"/>
              <w:rPr>
                <w:rFonts w:ascii="Times New Roman" w:hAnsi="Times New Roman" w:cs="宋体"/>
                <w:szCs w:val="21"/>
              </w:rPr>
            </w:pPr>
            <w:r>
              <w:rPr>
                <w:rFonts w:hint="eastAsia" w:ascii="Times New Roman" w:hAnsi="Times New Roman" w:cs="宋体"/>
                <w:szCs w:val="21"/>
              </w:rPr>
              <w:t>9</w:t>
            </w:r>
          </w:p>
        </w:tc>
        <w:tc>
          <w:tcPr>
            <w:tcW w:w="1525" w:type="dxa"/>
            <w:tcBorders>
              <w:tl2br w:val="nil"/>
              <w:tr2bl w:val="nil"/>
            </w:tcBorders>
            <w:vAlign w:val="center"/>
          </w:tcPr>
          <w:p>
            <w:pPr>
              <w:widowControl/>
              <w:spacing w:line="360" w:lineRule="exact"/>
              <w:jc w:val="center"/>
              <w:textAlignment w:val="center"/>
              <w:rPr>
                <w:rFonts w:ascii="Times New Roman" w:hAnsi="Times New Roman"/>
                <w:szCs w:val="21"/>
              </w:rPr>
            </w:pPr>
            <w:r>
              <w:rPr>
                <w:rFonts w:hint="eastAsia" w:ascii="Times New Roman" w:hAnsi="Times New Roman"/>
                <w:szCs w:val="21"/>
              </w:rPr>
              <w:t>信息化服务水平</w:t>
            </w:r>
          </w:p>
        </w:tc>
        <w:tc>
          <w:tcPr>
            <w:tcW w:w="725" w:type="dxa"/>
            <w:tcBorders>
              <w:tl2br w:val="nil"/>
              <w:tr2bl w:val="nil"/>
            </w:tcBorders>
            <w:vAlign w:val="center"/>
          </w:tcPr>
          <w:p>
            <w:pPr>
              <w:widowControl/>
              <w:spacing w:line="360" w:lineRule="exact"/>
              <w:jc w:val="center"/>
              <w:textAlignment w:val="center"/>
              <w:rPr>
                <w:rFonts w:ascii="Times New Roman" w:hAnsi="Times New Roman"/>
                <w:szCs w:val="21"/>
              </w:rPr>
            </w:pPr>
            <w:r>
              <w:rPr>
                <w:rFonts w:hint="eastAsia" w:ascii="Times New Roman" w:hAnsi="Times New Roman"/>
                <w:szCs w:val="21"/>
              </w:rPr>
              <w:t>2</w:t>
            </w:r>
          </w:p>
        </w:tc>
        <w:tc>
          <w:tcPr>
            <w:tcW w:w="6656" w:type="dxa"/>
            <w:tcBorders>
              <w:tl2br w:val="nil"/>
              <w:tr2bl w:val="nil"/>
            </w:tcBorders>
            <w:vAlign w:val="center"/>
          </w:tcPr>
          <w:p>
            <w:pPr>
              <w:spacing w:line="360" w:lineRule="exact"/>
              <w:rPr>
                <w:rFonts w:ascii="Times New Roman" w:hAnsi="Times New Roman"/>
                <w:szCs w:val="21"/>
              </w:rPr>
            </w:pPr>
            <w:r>
              <w:rPr>
                <w:rFonts w:hint="eastAsia" w:ascii="Times New Roman" w:hAnsi="Times New Roman"/>
                <w:szCs w:val="21"/>
              </w:rPr>
              <w:t>评标委员会根据投标人的下单、配送定位、表单数据统计等信息化建设情况进行评议。（提供操作说明、界面等相关证明材料）</w:t>
            </w:r>
          </w:p>
        </w:tc>
      </w:tr>
      <w:tr>
        <w:trPr>
          <w:trHeight w:val="454" w:hRule="atLeast"/>
          <w:jc w:val="center"/>
        </w:trPr>
        <w:tc>
          <w:tcPr>
            <w:tcW w:w="757" w:type="dxa"/>
            <w:tcBorders>
              <w:tl2br w:val="nil"/>
              <w:tr2bl w:val="nil"/>
            </w:tcBorders>
            <w:vAlign w:val="center"/>
          </w:tcPr>
          <w:p>
            <w:pPr>
              <w:widowControl/>
              <w:spacing w:line="360" w:lineRule="exact"/>
              <w:jc w:val="center"/>
              <w:textAlignment w:val="center"/>
              <w:rPr>
                <w:rFonts w:ascii="Times New Roman" w:hAnsi="Times New Roman" w:cs="宋体"/>
                <w:szCs w:val="21"/>
              </w:rPr>
            </w:pPr>
            <w:r>
              <w:rPr>
                <w:rFonts w:hint="eastAsia" w:ascii="Times New Roman" w:hAnsi="Times New Roman" w:cs="宋体"/>
                <w:szCs w:val="21"/>
              </w:rPr>
              <w:t>10</w:t>
            </w:r>
          </w:p>
        </w:tc>
        <w:tc>
          <w:tcPr>
            <w:tcW w:w="1525" w:type="dxa"/>
            <w:tcBorders>
              <w:tl2br w:val="nil"/>
              <w:tr2bl w:val="nil"/>
            </w:tcBorders>
            <w:vAlign w:val="center"/>
          </w:tcPr>
          <w:p>
            <w:pPr>
              <w:spacing w:line="360" w:lineRule="exact"/>
              <w:jc w:val="center"/>
              <w:rPr>
                <w:rFonts w:ascii="Times New Roman" w:hAnsi="Times New Roman"/>
                <w:szCs w:val="21"/>
              </w:rPr>
            </w:pPr>
            <w:r>
              <w:rPr>
                <w:rFonts w:hint="eastAsia"/>
                <w:szCs w:val="21"/>
              </w:rPr>
              <w:t>财务状况</w:t>
            </w:r>
          </w:p>
        </w:tc>
        <w:tc>
          <w:tcPr>
            <w:tcW w:w="725" w:type="dxa"/>
            <w:tcBorders>
              <w:tl2br w:val="nil"/>
              <w:tr2bl w:val="nil"/>
            </w:tcBorders>
            <w:vAlign w:val="center"/>
          </w:tcPr>
          <w:p>
            <w:pPr>
              <w:widowControl/>
              <w:spacing w:line="360" w:lineRule="exact"/>
              <w:jc w:val="center"/>
              <w:textAlignment w:val="center"/>
              <w:rPr>
                <w:rFonts w:ascii="Times New Roman" w:hAnsi="Times New Roman"/>
                <w:szCs w:val="21"/>
              </w:rPr>
            </w:pPr>
            <w:r>
              <w:rPr>
                <w:rFonts w:hint="eastAsia" w:cs="宋体"/>
                <w:szCs w:val="21"/>
              </w:rPr>
              <w:t>2</w:t>
            </w:r>
          </w:p>
        </w:tc>
        <w:tc>
          <w:tcPr>
            <w:tcW w:w="6656" w:type="dxa"/>
            <w:tcBorders>
              <w:tl2br w:val="nil"/>
              <w:tr2bl w:val="nil"/>
            </w:tcBorders>
          </w:tcPr>
          <w:p>
            <w:pPr>
              <w:spacing w:line="360" w:lineRule="exact"/>
              <w:rPr>
                <w:rFonts w:ascii="Times New Roman" w:hAnsi="Times New Roman"/>
                <w:szCs w:val="21"/>
              </w:rPr>
            </w:pPr>
            <w:r>
              <w:rPr>
                <w:rFonts w:hint="eastAsia"/>
                <w:szCs w:val="21"/>
              </w:rPr>
              <w:t>评标</w:t>
            </w:r>
            <w:r>
              <w:rPr>
                <w:szCs w:val="21"/>
              </w:rPr>
              <w:t>委员会</w:t>
            </w:r>
            <w:r>
              <w:rPr>
                <w:rFonts w:hint="eastAsia"/>
                <w:szCs w:val="21"/>
              </w:rPr>
              <w:t>根据投标人提供的2022年度经第三方审计的财务审计</w:t>
            </w:r>
            <w:r>
              <w:rPr>
                <w:szCs w:val="21"/>
              </w:rPr>
              <w:t>报告</w:t>
            </w:r>
            <w:r>
              <w:rPr>
                <w:rFonts w:hint="eastAsia"/>
                <w:szCs w:val="21"/>
              </w:rPr>
              <w:t>（营业收入、利润等指标）进行评议。</w:t>
            </w:r>
          </w:p>
        </w:tc>
      </w:tr>
    </w:tbl>
    <w:p>
      <w:pPr>
        <w:pStyle w:val="32"/>
        <w:spacing w:line="360" w:lineRule="auto"/>
        <w:ind w:firstLine="480"/>
        <w:rPr>
          <w:rFonts w:ascii="宋体" w:hAnsi="宋体" w:cs="宋体"/>
          <w:sz w:val="24"/>
          <w:szCs w:val="24"/>
        </w:rPr>
      </w:pPr>
      <w:r>
        <w:rPr>
          <w:rFonts w:hint="eastAsia" w:ascii="宋体" w:hAnsi="宋体" w:cs="宋体"/>
          <w:sz w:val="24"/>
          <w:szCs w:val="24"/>
        </w:rPr>
        <w:t>注：1、以上证明材料按评分细则要求提供，未按要求提供的不得分。</w:t>
      </w:r>
    </w:p>
    <w:p>
      <w:pPr>
        <w:pStyle w:val="32"/>
        <w:spacing w:line="360" w:lineRule="auto"/>
        <w:ind w:firstLine="480"/>
        <w:rPr>
          <w:rFonts w:ascii="宋体" w:hAnsi="宋体" w:cs="宋体"/>
          <w:sz w:val="24"/>
          <w:szCs w:val="24"/>
        </w:rPr>
      </w:pPr>
      <w:r>
        <w:rPr>
          <w:rFonts w:hint="eastAsia" w:ascii="宋体" w:hAnsi="宋体" w:cs="宋体"/>
          <w:sz w:val="24"/>
          <w:szCs w:val="24"/>
        </w:rPr>
        <w:t xml:space="preserve">    2、评标委员会有权对以上证明材料进行认定，如评标委员会认为以上证明材料有涉嫌提供虚假材料或不足以证明达到评分细则要求的，有权作进一步认证或认定；投标人应无条件配合，否则将有可能作出最不利于投标人的认定。</w:t>
      </w:r>
    </w:p>
    <w:p>
      <w:pPr>
        <w:pStyle w:val="7"/>
      </w:pPr>
      <w:r>
        <w:rPr>
          <w:rFonts w:hint="eastAsia"/>
        </w:rPr>
        <w:t>6.2报价部分（0-40分）</w:t>
      </w:r>
    </w:p>
    <w:p>
      <w:pPr>
        <w:spacing w:line="360" w:lineRule="auto"/>
        <w:ind w:firstLine="470" w:firstLineChars="196"/>
        <w:rPr>
          <w:rFonts w:ascii="宋体" w:hAnsi="宋体" w:cs="宋体"/>
          <w:sz w:val="24"/>
          <w:u w:val="single"/>
        </w:rPr>
      </w:pPr>
      <w:r>
        <w:rPr>
          <w:rFonts w:ascii="宋体" w:hAnsi="宋体" w:cs="宋体"/>
          <w:sz w:val="24"/>
        </w:rPr>
        <w:t>1</w:t>
      </w:r>
      <w:r>
        <w:rPr>
          <w:rFonts w:hint="eastAsia" w:ascii="宋体" w:hAnsi="宋体" w:cs="宋体"/>
          <w:sz w:val="24"/>
        </w:rPr>
        <w:t>）最高限价：</w:t>
      </w:r>
      <w:r>
        <w:rPr>
          <w:rFonts w:hint="eastAsia" w:ascii="宋体" w:hAnsi="宋体" w:cs="宋体"/>
          <w:sz w:val="24"/>
          <w:u w:val="single"/>
        </w:rPr>
        <w:t xml:space="preserve">    无                                             </w:t>
      </w:r>
    </w:p>
    <w:p>
      <w:pPr>
        <w:spacing w:line="360" w:lineRule="auto"/>
        <w:ind w:firstLine="470" w:firstLineChars="196"/>
        <w:rPr>
          <w:rFonts w:ascii="宋体" w:hAnsi="宋体" w:cs="宋体"/>
          <w:sz w:val="24"/>
        </w:rPr>
      </w:pPr>
      <w:r>
        <w:rPr>
          <w:rFonts w:ascii="宋体" w:hAnsi="宋体" w:cs="宋体"/>
          <w:sz w:val="24"/>
        </w:rPr>
        <w:t>2</w:t>
      </w:r>
      <w:r>
        <w:rPr>
          <w:rFonts w:hint="eastAsia" w:ascii="宋体" w:hAnsi="宋体" w:cs="宋体"/>
          <w:sz w:val="24"/>
        </w:rPr>
        <w:t>）评审基准价</w:t>
      </w:r>
    </w:p>
    <w:p>
      <w:pPr>
        <w:widowControl/>
        <w:spacing w:line="360" w:lineRule="auto"/>
        <w:ind w:firstLine="420"/>
        <w:rPr>
          <w:rFonts w:ascii="宋体" w:hAnsi="宋体" w:cs="宋体"/>
          <w:sz w:val="24"/>
          <w:u w:val="single"/>
        </w:rPr>
      </w:pPr>
      <w:r>
        <w:rPr>
          <w:rFonts w:hint="eastAsia" w:ascii="宋体" w:hAnsi="宋体" w:cs="宋体"/>
          <w:sz w:val="24"/>
          <w:u w:val="single"/>
        </w:rPr>
        <w:t>（1）通过报价符合性审查的投标人少于等于5家的，以所有有效投标报价的算术平均价作为评审基准价；</w:t>
      </w:r>
    </w:p>
    <w:p>
      <w:pPr>
        <w:widowControl/>
        <w:spacing w:line="360" w:lineRule="auto"/>
        <w:ind w:firstLine="420"/>
        <w:rPr>
          <w:rFonts w:ascii="宋体" w:hAnsi="宋体" w:cs="宋体"/>
          <w:sz w:val="24"/>
          <w:highlight w:val="yellow"/>
          <w:u w:val="single"/>
        </w:rPr>
      </w:pPr>
      <w:r>
        <w:rPr>
          <w:rFonts w:hint="eastAsia" w:ascii="宋体" w:hAnsi="宋体" w:cs="宋体"/>
          <w:sz w:val="24"/>
          <w:u w:val="single"/>
        </w:rPr>
        <w:t>（2）通过报价符合性审查的投标人大于5家小于9家的，扣除所有有效投标报价中1个最高评标价和1个最低评标价后的算术平均值为评审基准价；</w:t>
      </w:r>
    </w:p>
    <w:p>
      <w:pPr>
        <w:widowControl/>
        <w:spacing w:line="360" w:lineRule="auto"/>
        <w:ind w:firstLine="420"/>
        <w:rPr>
          <w:rFonts w:ascii="宋体" w:hAnsi="宋体" w:cs="宋体"/>
          <w:sz w:val="24"/>
          <w:u w:val="single"/>
        </w:rPr>
      </w:pPr>
      <w:r>
        <w:rPr>
          <w:rFonts w:hint="eastAsia" w:ascii="宋体" w:hAnsi="宋体" w:cs="宋体"/>
          <w:sz w:val="24"/>
          <w:u w:val="single"/>
        </w:rPr>
        <w:t>（3）通过报价符合性审查的投标人大于等于9家的，则所有有效投标报价中扣除1个最高价、1个次高价和1个最低价、1个次低价后的算术平均值为评审基准价（有多个相同最高价或最低价时，扣除2个报价）。</w:t>
      </w:r>
    </w:p>
    <w:p>
      <w:pPr>
        <w:widowControl/>
        <w:spacing w:line="360" w:lineRule="auto"/>
        <w:ind w:firstLine="420"/>
        <w:rPr>
          <w:rFonts w:ascii="宋体" w:hAnsi="宋体" w:cs="宋体"/>
          <w:sz w:val="24"/>
        </w:rPr>
      </w:pPr>
      <w:r>
        <w:rPr>
          <w:rFonts w:ascii="宋体" w:hAnsi="宋体" w:cs="宋体"/>
          <w:sz w:val="24"/>
        </w:rPr>
        <w:t>3</w:t>
      </w:r>
      <w:r>
        <w:rPr>
          <w:rFonts w:hint="eastAsia" w:ascii="宋体" w:hAnsi="宋体" w:cs="宋体"/>
          <w:sz w:val="24"/>
        </w:rPr>
        <w:t>）报价计算方法</w:t>
      </w:r>
    </w:p>
    <w:p>
      <w:pPr>
        <w:widowControl/>
        <w:spacing w:line="360" w:lineRule="auto"/>
        <w:ind w:firstLine="420"/>
        <w:rPr>
          <w:rFonts w:ascii="宋体" w:hAnsi="宋体" w:cs="宋体"/>
          <w:sz w:val="24"/>
        </w:rPr>
      </w:pPr>
      <w:r>
        <w:rPr>
          <w:rFonts w:hint="eastAsia" w:ascii="宋体" w:hAnsi="宋体" w:cs="宋体"/>
          <w:sz w:val="24"/>
        </w:rPr>
        <w:t>投标人报价得分：投标报价等于评审基准价的，其价格分为满分。</w:t>
      </w:r>
      <w:r>
        <w:rPr>
          <w:rFonts w:hint="eastAsia" w:ascii="宋体" w:hAnsi="宋体" w:cs="宋体"/>
          <w:sz w:val="24"/>
          <w:u w:val="single"/>
        </w:rPr>
        <w:t>每高于评审基准价1％的，扣  0.6 分；每低于评审基准价1％的，扣  0.3 分。按直线插入法计算</w:t>
      </w:r>
      <w:r>
        <w:rPr>
          <w:rFonts w:hint="eastAsia" w:ascii="宋体" w:hAnsi="宋体" w:cs="宋体"/>
          <w:sz w:val="24"/>
        </w:rPr>
        <w:t>（保留小数2位）。（注：直线插入法、折扣率报价等须附上计算公式）</w:t>
      </w:r>
    </w:p>
    <w:p>
      <w:pPr>
        <w:spacing w:before="156" w:beforeLines="50" w:line="360" w:lineRule="auto"/>
        <w:ind w:firstLine="482"/>
        <w:rPr>
          <w:rFonts w:hint="eastAsia" w:cs="Arial"/>
          <w:b/>
          <w:sz w:val="24"/>
        </w:rPr>
      </w:pPr>
      <w:r>
        <w:rPr>
          <w:rFonts w:ascii="宋体" w:hAnsi="宋体" w:cs="宋体"/>
          <w:sz w:val="24"/>
        </w:rPr>
        <w:t>4</w:t>
      </w:r>
      <w:r>
        <w:rPr>
          <w:rFonts w:hint="eastAsia" w:ascii="宋体" w:hAnsi="宋体" w:cs="宋体"/>
          <w:sz w:val="24"/>
        </w:rPr>
        <w:t>）有效投标人最终得分=商务技术得分+报价得分，其中商务技术得分包含资信业绩得分和技术得分。</w:t>
      </w:r>
      <w:r>
        <w:rPr>
          <w:rFonts w:hint="eastAsia" w:ascii="宋体" w:hAnsi="宋体" w:cs="宋体"/>
          <w:iCs/>
          <w:sz w:val="24"/>
        </w:rPr>
        <w:t>评分最终得分保留小数2位，小数点采用四舍五入方法</w:t>
      </w:r>
      <w:r>
        <w:rPr>
          <w:rFonts w:hint="eastAsia" w:ascii="宋体" w:hAnsi="宋体" w:cs="宋体"/>
          <w:sz w:val="24"/>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汉仪中等线KW"/>
    <w:panose1 w:val="02010600030101010101"/>
    <w:charset w:val="86"/>
    <w:family w:val="auto"/>
    <w:pitch w:val="default"/>
    <w:sig w:usb0="00000000" w:usb1="00000000" w:usb2="00000016" w:usb3="00000000" w:csb0="0004000F" w:csb1="00000000"/>
  </w:font>
  <w:font w:name="仿宋_GB2312">
    <w:altName w:val="方正仿宋_GBK"/>
    <w:panose1 w:val="00000000000000000000"/>
    <w:charset w:val="86"/>
    <w:family w:val="modern"/>
    <w:pitch w:val="default"/>
    <w:sig w:usb0="00000000" w:usb1="00000000" w:usb2="00000010" w:usb3="00000000" w:csb0="00040000" w:csb1="00000000"/>
  </w:font>
  <w:font w:name="仿宋">
    <w:altName w:val="方正仿宋_GBK"/>
    <w:panose1 w:val="02010609060101010101"/>
    <w:charset w:val="86"/>
    <w:family w:val="modern"/>
    <w:pitch w:val="default"/>
    <w:sig w:usb0="00000000" w:usb1="00000000" w:usb2="00000016" w:usb3="00000000" w:csb0="00040001" w:csb1="00000000"/>
  </w:font>
  <w:font w:name="Segoe UI Symbol">
    <w:altName w:val="苹方-简"/>
    <w:panose1 w:val="020B0502040204020203"/>
    <w:charset w:val="00"/>
    <w:family w:val="swiss"/>
    <w:pitch w:val="default"/>
    <w:sig w:usb0="00000000" w:usb1="00000000" w:usb2="00040000" w:usb3="04000000" w:csb0="00000001" w:csb1="4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方正仿宋_GBK">
    <w:panose1 w:val="02000000000000000000"/>
    <w:charset w:val="86"/>
    <w:family w:val="auto"/>
    <w:pitch w:val="default"/>
    <w:sig w:usb0="A00002BF" w:usb1="38CF7CFA" w:usb2="00082016" w:usb3="00000000" w:csb0="00040001" w:csb1="00000000"/>
  </w:font>
  <w:font w:name="汉仪中黑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Arial Unicode MS">
    <w:panose1 w:val="020B0604020202020204"/>
    <w:charset w:val="86"/>
    <w:family w:val="auto"/>
    <w:pitch w:val="default"/>
    <w:sig w:usb0="FFFFFFFF" w:usb1="E9FFFFFF" w:usb2="0000003F" w:usb3="00000000" w:csb0="603F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8"/>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zczMWY0NGQ5MjU2MjRhNmJiNjBlNzE3MjEzZjkzOTUifQ=="/>
  </w:docVars>
  <w:rsids>
    <w:rsidRoot w:val="00FC5BBF"/>
    <w:rsid w:val="00022E4C"/>
    <w:rsid w:val="00025491"/>
    <w:rsid w:val="00034322"/>
    <w:rsid w:val="00041B23"/>
    <w:rsid w:val="00095158"/>
    <w:rsid w:val="000F554B"/>
    <w:rsid w:val="0010110D"/>
    <w:rsid w:val="00125B94"/>
    <w:rsid w:val="001713CA"/>
    <w:rsid w:val="001713F3"/>
    <w:rsid w:val="00194228"/>
    <w:rsid w:val="001B36BE"/>
    <w:rsid w:val="001B6007"/>
    <w:rsid w:val="00200F7E"/>
    <w:rsid w:val="0020150E"/>
    <w:rsid w:val="00210CE3"/>
    <w:rsid w:val="0026069A"/>
    <w:rsid w:val="00281919"/>
    <w:rsid w:val="002C1F53"/>
    <w:rsid w:val="0031158F"/>
    <w:rsid w:val="00342C49"/>
    <w:rsid w:val="003446FD"/>
    <w:rsid w:val="00351854"/>
    <w:rsid w:val="00363425"/>
    <w:rsid w:val="00367691"/>
    <w:rsid w:val="00383CE6"/>
    <w:rsid w:val="003A5F8A"/>
    <w:rsid w:val="003E43E1"/>
    <w:rsid w:val="003E7D63"/>
    <w:rsid w:val="003F10B6"/>
    <w:rsid w:val="003F7F9B"/>
    <w:rsid w:val="00416C27"/>
    <w:rsid w:val="00422788"/>
    <w:rsid w:val="00487BD9"/>
    <w:rsid w:val="004A776D"/>
    <w:rsid w:val="004C7368"/>
    <w:rsid w:val="005217F8"/>
    <w:rsid w:val="00530087"/>
    <w:rsid w:val="00540D8B"/>
    <w:rsid w:val="005510F9"/>
    <w:rsid w:val="00553C2B"/>
    <w:rsid w:val="00570DAE"/>
    <w:rsid w:val="005743A0"/>
    <w:rsid w:val="00593035"/>
    <w:rsid w:val="00593F32"/>
    <w:rsid w:val="00601B0D"/>
    <w:rsid w:val="00606624"/>
    <w:rsid w:val="006665A2"/>
    <w:rsid w:val="00671B57"/>
    <w:rsid w:val="006A2446"/>
    <w:rsid w:val="006A776B"/>
    <w:rsid w:val="006E05EB"/>
    <w:rsid w:val="006E2A15"/>
    <w:rsid w:val="0073084A"/>
    <w:rsid w:val="00751E16"/>
    <w:rsid w:val="007604BB"/>
    <w:rsid w:val="00786955"/>
    <w:rsid w:val="0079003B"/>
    <w:rsid w:val="00791171"/>
    <w:rsid w:val="007E0574"/>
    <w:rsid w:val="00801C1B"/>
    <w:rsid w:val="0081023F"/>
    <w:rsid w:val="00820B90"/>
    <w:rsid w:val="00865A1B"/>
    <w:rsid w:val="008804F4"/>
    <w:rsid w:val="00886AD3"/>
    <w:rsid w:val="008B0B2A"/>
    <w:rsid w:val="008E3644"/>
    <w:rsid w:val="008F1413"/>
    <w:rsid w:val="00944733"/>
    <w:rsid w:val="009447A0"/>
    <w:rsid w:val="009779AA"/>
    <w:rsid w:val="00981607"/>
    <w:rsid w:val="009B713A"/>
    <w:rsid w:val="00A14E8B"/>
    <w:rsid w:val="00A17DBF"/>
    <w:rsid w:val="00A608F8"/>
    <w:rsid w:val="00A82FFD"/>
    <w:rsid w:val="00AA1F20"/>
    <w:rsid w:val="00AA27C7"/>
    <w:rsid w:val="00AE2435"/>
    <w:rsid w:val="00AE5B26"/>
    <w:rsid w:val="00B126CD"/>
    <w:rsid w:val="00B160FF"/>
    <w:rsid w:val="00B51002"/>
    <w:rsid w:val="00B72BB1"/>
    <w:rsid w:val="00B74529"/>
    <w:rsid w:val="00B77223"/>
    <w:rsid w:val="00BE2C57"/>
    <w:rsid w:val="00C22339"/>
    <w:rsid w:val="00C830B8"/>
    <w:rsid w:val="00CC1B1F"/>
    <w:rsid w:val="00D17712"/>
    <w:rsid w:val="00D36C8F"/>
    <w:rsid w:val="00D51742"/>
    <w:rsid w:val="00D51C03"/>
    <w:rsid w:val="00D602CD"/>
    <w:rsid w:val="00D9672A"/>
    <w:rsid w:val="00E00852"/>
    <w:rsid w:val="00E03F76"/>
    <w:rsid w:val="00E302FD"/>
    <w:rsid w:val="00E3269D"/>
    <w:rsid w:val="00E403B2"/>
    <w:rsid w:val="00E666D8"/>
    <w:rsid w:val="00EB50A7"/>
    <w:rsid w:val="00EC2CB4"/>
    <w:rsid w:val="00EF0D36"/>
    <w:rsid w:val="00EF468B"/>
    <w:rsid w:val="00F2078E"/>
    <w:rsid w:val="00F5467A"/>
    <w:rsid w:val="00FB44C5"/>
    <w:rsid w:val="00FB5F61"/>
    <w:rsid w:val="00FC060E"/>
    <w:rsid w:val="00FC0735"/>
    <w:rsid w:val="00FC5BBF"/>
    <w:rsid w:val="00FD26C4"/>
    <w:rsid w:val="00FD6766"/>
    <w:rsid w:val="00FF1E09"/>
    <w:rsid w:val="00FF679C"/>
    <w:rsid w:val="0B0E5232"/>
    <w:rsid w:val="1FF57BCC"/>
    <w:rsid w:val="3477501C"/>
    <w:rsid w:val="46AB5D5E"/>
    <w:rsid w:val="51635B7B"/>
    <w:rsid w:val="54CE0D89"/>
    <w:rsid w:val="57234E5E"/>
    <w:rsid w:val="5ABF446F"/>
    <w:rsid w:val="5FC13558"/>
    <w:rsid w:val="F7FB62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qFormat="1" w:unhideWhenUsed="0" w:uiPriority="0" w:semiHidden="0" w:name="toc 6"/>
    <w:lsdException w:uiPriority="39" w:name="toc 7"/>
    <w:lsdException w:uiPriority="39" w:name="toc 8"/>
    <w:lsdException w:uiPriority="39" w:name="toc 9"/>
    <w:lsdException w:qFormat="1" w:unhideWhenUsed="0" w:uiPriority="0" w:semiHidden="0"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nhideWhenUsed="0" w:uiPriority="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name="Body Text"/>
    <w:lsdException w:qFormat="1"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qFormat="1" w:unhideWhenUsed="0" w:uiPriority="0" w:semiHidden="0" w:name="Body Text First Indent"/>
    <w:lsdException w:qFormat="1" w:unhideWhenUsed="0" w:uiPriority="99" w:semiHidden="0"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autoRedefine/>
    <w:qFormat/>
    <w:uiPriority w:val="0"/>
    <w:pPr>
      <w:widowControl w:val="0"/>
      <w:jc w:val="both"/>
    </w:pPr>
    <w:rPr>
      <w:rFonts w:ascii="Calibri" w:hAnsi="Calibri" w:eastAsia="宋体" w:cs="Times New Roman"/>
      <w:kern w:val="2"/>
      <w:sz w:val="21"/>
      <w:szCs w:val="22"/>
      <w:lang w:val="en-US" w:eastAsia="zh-CN" w:bidi="ar-SA"/>
    </w:rPr>
  </w:style>
  <w:style w:type="paragraph" w:styleId="5">
    <w:name w:val="heading 1"/>
    <w:basedOn w:val="1"/>
    <w:next w:val="1"/>
    <w:link w:val="34"/>
    <w:autoRedefine/>
    <w:qFormat/>
    <w:uiPriority w:val="9"/>
    <w:pPr>
      <w:keepNext/>
      <w:keepLines/>
      <w:spacing w:before="340" w:after="330" w:line="576" w:lineRule="auto"/>
      <w:outlineLvl w:val="0"/>
    </w:pPr>
    <w:rPr>
      <w:b/>
      <w:kern w:val="44"/>
      <w:sz w:val="44"/>
    </w:rPr>
  </w:style>
  <w:style w:type="paragraph" w:styleId="6">
    <w:name w:val="heading 2"/>
    <w:basedOn w:val="1"/>
    <w:next w:val="1"/>
    <w:autoRedefine/>
    <w:unhideWhenUsed/>
    <w:qFormat/>
    <w:uiPriority w:val="9"/>
    <w:pPr>
      <w:keepNext/>
      <w:keepLines/>
      <w:spacing w:before="260" w:after="260" w:line="413" w:lineRule="auto"/>
      <w:outlineLvl w:val="1"/>
    </w:pPr>
    <w:rPr>
      <w:rFonts w:ascii="Arial" w:hAnsi="Arial" w:eastAsia="黑体"/>
      <w:b/>
      <w:sz w:val="32"/>
    </w:rPr>
  </w:style>
  <w:style w:type="paragraph" w:styleId="7">
    <w:name w:val="heading 3"/>
    <w:basedOn w:val="1"/>
    <w:next w:val="1"/>
    <w:link w:val="33"/>
    <w:autoRedefine/>
    <w:unhideWhenUsed/>
    <w:qFormat/>
    <w:uiPriority w:val="9"/>
    <w:pPr>
      <w:keepNext/>
      <w:keepLines/>
      <w:spacing w:before="260" w:after="260" w:line="413" w:lineRule="auto"/>
      <w:outlineLvl w:val="2"/>
    </w:pPr>
    <w:rPr>
      <w:b/>
      <w:sz w:val="32"/>
    </w:rPr>
  </w:style>
  <w:style w:type="paragraph" w:styleId="8">
    <w:name w:val="heading 4"/>
    <w:basedOn w:val="1"/>
    <w:next w:val="1"/>
    <w:autoRedefine/>
    <w:unhideWhenUsed/>
    <w:qFormat/>
    <w:uiPriority w:val="9"/>
    <w:pPr>
      <w:keepNext/>
      <w:keepLines/>
      <w:spacing w:before="280" w:after="290" w:line="372" w:lineRule="auto"/>
      <w:outlineLvl w:val="3"/>
    </w:pPr>
    <w:rPr>
      <w:rFonts w:ascii="Arial" w:hAnsi="Arial" w:eastAsia="黑体"/>
      <w:b/>
      <w:sz w:val="28"/>
    </w:rPr>
  </w:style>
  <w:style w:type="character" w:default="1" w:styleId="17">
    <w:name w:val="Default Paragraph Font"/>
    <w:autoRedefine/>
    <w:semiHidden/>
    <w:unhideWhenUsed/>
    <w:qFormat/>
    <w:uiPriority w:val="1"/>
  </w:style>
  <w:style w:type="table" w:default="1" w:styleId="15">
    <w:name w:val="Normal Table"/>
    <w:autoRedefine/>
    <w:semiHidden/>
    <w:unhideWhenUsed/>
    <w:qFormat/>
    <w:uiPriority w:val="99"/>
    <w:tblPr>
      <w:tblCellMar>
        <w:top w:w="0" w:type="dxa"/>
        <w:left w:w="108" w:type="dxa"/>
        <w:bottom w:w="0" w:type="dxa"/>
        <w:right w:w="108" w:type="dxa"/>
      </w:tblCellMar>
    </w:tblPr>
  </w:style>
  <w:style w:type="paragraph" w:styleId="2">
    <w:name w:val="Body Text First Indent"/>
    <w:basedOn w:val="3"/>
    <w:next w:val="4"/>
    <w:autoRedefine/>
    <w:qFormat/>
    <w:uiPriority w:val="0"/>
    <w:pPr>
      <w:ind w:firstLine="420" w:firstLineChars="100"/>
    </w:pPr>
    <w:rPr>
      <w:szCs w:val="24"/>
    </w:rPr>
  </w:style>
  <w:style w:type="paragraph" w:styleId="3">
    <w:name w:val="Body Text"/>
    <w:basedOn w:val="1"/>
    <w:next w:val="2"/>
    <w:link w:val="28"/>
    <w:autoRedefine/>
    <w:semiHidden/>
    <w:unhideWhenUsed/>
    <w:qFormat/>
    <w:uiPriority w:val="99"/>
    <w:pPr>
      <w:spacing w:after="120"/>
    </w:pPr>
  </w:style>
  <w:style w:type="paragraph" w:styleId="4">
    <w:name w:val="toc 6"/>
    <w:basedOn w:val="1"/>
    <w:next w:val="1"/>
    <w:autoRedefine/>
    <w:qFormat/>
    <w:uiPriority w:val="0"/>
    <w:pPr>
      <w:ind w:left="2100" w:leftChars="1000"/>
    </w:pPr>
  </w:style>
  <w:style w:type="paragraph" w:styleId="9">
    <w:name w:val="Normal Indent"/>
    <w:basedOn w:val="1"/>
    <w:next w:val="1"/>
    <w:link w:val="29"/>
    <w:autoRedefine/>
    <w:qFormat/>
    <w:uiPriority w:val="0"/>
    <w:pPr>
      <w:ind w:firstLine="420"/>
    </w:pPr>
  </w:style>
  <w:style w:type="paragraph" w:styleId="10">
    <w:name w:val="Body Text Indent"/>
    <w:basedOn w:val="1"/>
    <w:link w:val="25"/>
    <w:autoRedefine/>
    <w:semiHidden/>
    <w:unhideWhenUsed/>
    <w:qFormat/>
    <w:uiPriority w:val="99"/>
    <w:pPr>
      <w:spacing w:after="120"/>
      <w:ind w:left="420" w:leftChars="200"/>
    </w:pPr>
  </w:style>
  <w:style w:type="paragraph" w:styleId="11">
    <w:name w:val="footer"/>
    <w:basedOn w:val="1"/>
    <w:link w:val="20"/>
    <w:autoRedefine/>
    <w:unhideWhenUsed/>
    <w:qFormat/>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12">
    <w:name w:val="header"/>
    <w:basedOn w:val="1"/>
    <w:link w:val="19"/>
    <w:autoRedefine/>
    <w:unhideWhenUsed/>
    <w:qFormat/>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paragraph" w:styleId="13">
    <w:name w:val="Normal (Web)"/>
    <w:basedOn w:val="1"/>
    <w:autoRedefine/>
    <w:qFormat/>
    <w:uiPriority w:val="0"/>
    <w:pPr>
      <w:widowControl/>
      <w:spacing w:before="100" w:beforeAutospacing="1" w:after="100" w:afterAutospacing="1"/>
      <w:jc w:val="left"/>
    </w:pPr>
    <w:rPr>
      <w:rFonts w:ascii="宋体" w:hAnsi="宋体" w:cs="宋体"/>
      <w:sz w:val="24"/>
      <w:szCs w:val="24"/>
    </w:rPr>
  </w:style>
  <w:style w:type="paragraph" w:styleId="14">
    <w:name w:val="Body Text First Indent 2"/>
    <w:basedOn w:val="10"/>
    <w:next w:val="1"/>
    <w:link w:val="26"/>
    <w:autoRedefine/>
    <w:qFormat/>
    <w:uiPriority w:val="99"/>
    <w:pPr>
      <w:spacing w:before="156" w:beforeLines="50" w:after="0" w:line="360" w:lineRule="auto"/>
      <w:ind w:left="0" w:leftChars="0" w:firstLine="420" w:firstLineChars="200"/>
    </w:pPr>
    <w:rPr>
      <w:rFonts w:eastAsia="仿宋_GB2312"/>
      <w:sz w:val="24"/>
    </w:rPr>
  </w:style>
  <w:style w:type="table" w:styleId="16">
    <w:name w:val="Table Grid"/>
    <w:basedOn w:val="15"/>
    <w:autoRedefine/>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8">
    <w:name w:val="annotation reference"/>
    <w:autoRedefine/>
    <w:semiHidden/>
    <w:qFormat/>
    <w:uiPriority w:val="0"/>
    <w:rPr>
      <w:sz w:val="21"/>
      <w:szCs w:val="21"/>
    </w:rPr>
  </w:style>
  <w:style w:type="character" w:customStyle="1" w:styleId="19">
    <w:name w:val="页眉 字符"/>
    <w:basedOn w:val="17"/>
    <w:link w:val="12"/>
    <w:autoRedefine/>
    <w:qFormat/>
    <w:uiPriority w:val="99"/>
    <w:rPr>
      <w:sz w:val="18"/>
      <w:szCs w:val="18"/>
    </w:rPr>
  </w:style>
  <w:style w:type="character" w:customStyle="1" w:styleId="20">
    <w:name w:val="页脚 字符"/>
    <w:basedOn w:val="17"/>
    <w:link w:val="11"/>
    <w:autoRedefine/>
    <w:qFormat/>
    <w:uiPriority w:val="99"/>
    <w:rPr>
      <w:sz w:val="18"/>
      <w:szCs w:val="18"/>
    </w:rPr>
  </w:style>
  <w:style w:type="paragraph" w:styleId="21">
    <w:name w:val="List Paragraph"/>
    <w:basedOn w:val="1"/>
    <w:autoRedefine/>
    <w:qFormat/>
    <w:uiPriority w:val="34"/>
    <w:pPr>
      <w:spacing w:line="1050" w:lineRule="atLeast"/>
      <w:ind w:firstLine="420" w:firstLineChars="200"/>
    </w:pPr>
    <w:rPr>
      <w:rFonts w:asciiTheme="minorHAnsi" w:hAnsiTheme="minorHAnsi" w:eastAsiaTheme="minorEastAsia" w:cstheme="minorBidi"/>
    </w:rPr>
  </w:style>
  <w:style w:type="character" w:customStyle="1" w:styleId="22">
    <w:name w:val="overview"/>
    <w:basedOn w:val="17"/>
    <w:autoRedefine/>
    <w:qFormat/>
    <w:uiPriority w:val="0"/>
  </w:style>
  <w:style w:type="character" w:customStyle="1" w:styleId="23">
    <w:name w:val="purchasecontent"/>
    <w:basedOn w:val="17"/>
    <w:autoRedefine/>
    <w:qFormat/>
    <w:uiPriority w:val="0"/>
  </w:style>
  <w:style w:type="character" w:customStyle="1" w:styleId="24">
    <w:name w:val="suppliercondition"/>
    <w:basedOn w:val="17"/>
    <w:autoRedefine/>
    <w:qFormat/>
    <w:uiPriority w:val="0"/>
  </w:style>
  <w:style w:type="character" w:customStyle="1" w:styleId="25">
    <w:name w:val="正文文本缩进 字符"/>
    <w:basedOn w:val="17"/>
    <w:link w:val="10"/>
    <w:autoRedefine/>
    <w:semiHidden/>
    <w:qFormat/>
    <w:uiPriority w:val="99"/>
    <w:rPr>
      <w:rFonts w:ascii="Calibri" w:hAnsi="Calibri" w:eastAsia="宋体" w:cs="Times New Roman"/>
    </w:rPr>
  </w:style>
  <w:style w:type="character" w:customStyle="1" w:styleId="26">
    <w:name w:val="正文文本首行缩进 2 字符"/>
    <w:basedOn w:val="25"/>
    <w:link w:val="14"/>
    <w:autoRedefine/>
    <w:qFormat/>
    <w:uiPriority w:val="99"/>
    <w:rPr>
      <w:rFonts w:ascii="Calibri" w:hAnsi="Calibri" w:eastAsia="仿宋_GB2312" w:cs="Times New Roman"/>
      <w:sz w:val="24"/>
    </w:rPr>
  </w:style>
  <w:style w:type="paragraph" w:customStyle="1" w:styleId="27">
    <w:name w:val="Body Text First Indent 21"/>
    <w:basedOn w:val="1"/>
    <w:autoRedefine/>
    <w:qFormat/>
    <w:uiPriority w:val="0"/>
    <w:pPr>
      <w:spacing w:after="120"/>
      <w:ind w:left="420" w:leftChars="200" w:firstLine="420"/>
    </w:pPr>
    <w:rPr>
      <w:rFonts w:ascii="Times New Roman" w:hAnsi="Times New Roman" w:cs="宋体"/>
      <w:szCs w:val="24"/>
    </w:rPr>
  </w:style>
  <w:style w:type="character" w:customStyle="1" w:styleId="28">
    <w:name w:val="正文文本 字符"/>
    <w:basedOn w:val="17"/>
    <w:link w:val="3"/>
    <w:autoRedefine/>
    <w:semiHidden/>
    <w:qFormat/>
    <w:uiPriority w:val="99"/>
    <w:rPr>
      <w:rFonts w:ascii="Calibri" w:hAnsi="Calibri" w:eastAsia="宋体" w:cs="Times New Roman"/>
    </w:rPr>
  </w:style>
  <w:style w:type="character" w:customStyle="1" w:styleId="29">
    <w:name w:val="正文缩进 字符"/>
    <w:link w:val="9"/>
    <w:autoRedefine/>
    <w:qFormat/>
    <w:uiPriority w:val="0"/>
    <w:rPr>
      <w:rFonts w:ascii="Calibri" w:hAnsi="Calibri" w:eastAsia="宋体" w:cs="Times New Roman"/>
    </w:rPr>
  </w:style>
  <w:style w:type="character" w:customStyle="1" w:styleId="30">
    <w:name w:val="font11"/>
    <w:autoRedefine/>
    <w:qFormat/>
    <w:uiPriority w:val="0"/>
    <w:rPr>
      <w:rFonts w:hint="eastAsia" w:ascii="宋体" w:hAnsi="宋体" w:eastAsia="宋体" w:cs="宋体"/>
      <w:color w:val="FF0000"/>
      <w:sz w:val="24"/>
      <w:szCs w:val="24"/>
      <w:u w:val="none"/>
    </w:rPr>
  </w:style>
  <w:style w:type="character" w:customStyle="1" w:styleId="31">
    <w:name w:val="font01"/>
    <w:autoRedefine/>
    <w:qFormat/>
    <w:uiPriority w:val="0"/>
    <w:rPr>
      <w:rFonts w:hint="eastAsia" w:ascii="宋体" w:hAnsi="宋体" w:eastAsia="宋体" w:cs="宋体"/>
      <w:color w:val="000000"/>
      <w:sz w:val="24"/>
      <w:szCs w:val="24"/>
      <w:u w:val="none"/>
    </w:rPr>
  </w:style>
  <w:style w:type="paragraph" w:customStyle="1" w:styleId="32">
    <w:name w:val="列出段落3"/>
    <w:basedOn w:val="1"/>
    <w:autoRedefine/>
    <w:qFormat/>
    <w:uiPriority w:val="0"/>
    <w:pPr>
      <w:ind w:firstLine="420" w:firstLineChars="200"/>
    </w:pPr>
  </w:style>
  <w:style w:type="character" w:customStyle="1" w:styleId="33">
    <w:name w:val="标题 3 字符"/>
    <w:link w:val="7"/>
    <w:autoRedefine/>
    <w:qFormat/>
    <w:uiPriority w:val="0"/>
    <w:rPr>
      <w:b/>
      <w:sz w:val="32"/>
    </w:rPr>
  </w:style>
  <w:style w:type="character" w:customStyle="1" w:styleId="34">
    <w:name w:val="标题 1 字符"/>
    <w:basedOn w:val="17"/>
    <w:link w:val="5"/>
    <w:autoRedefine/>
    <w:qFormat/>
    <w:uiPriority w:val="9"/>
    <w:rPr>
      <w:rFonts w:ascii="Calibri" w:hAnsi="Calibri" w:eastAsia="宋体" w:cs="Times New Roman"/>
      <w:b/>
      <w:kern w:val="44"/>
      <w:sz w:val="44"/>
      <w:szCs w:val="22"/>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Microsoft</Company>
  <Pages>9</Pages>
  <Words>1013</Words>
  <Characters>5775</Characters>
  <Lines>48</Lines>
  <Paragraphs>13</Paragraphs>
  <TotalTime>0</TotalTime>
  <ScaleCrop>false</ScaleCrop>
  <LinksUpToDate>false</LinksUpToDate>
  <CharactersWithSpaces>6775</CharactersWithSpaces>
  <Application>WPS Office_6.6.1.8808_F1E327BC-269C-435d-A152-05C5408002CA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2024-04-03T10:35:00Z</dcterms:created>
  <dc:creator>HULL</dc:creator>
  <cp:lastModifiedBy>ADOLF</cp:lastModifiedBy>
  <dcterms:modified xsi:type="dcterms:W3CDTF">2024-05-08T20:51:09Z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2052-6.6.1.8808</vt:lpwstr>
  </property>
  <property fmtid="{D5CDD505-2E9C-101B-9397-08002B2CF9AE}" pid="3" name="ICV">
    <vt:lpwstr>5C5BE0BB0EAE2FFD3D753B6693B11041_43</vt:lpwstr>
  </property>
</Properties>
</file>