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316681A5" w14:textId="77777777" w:rsidTr="00356FE5">
        <w:trPr>
          <w:trHeight w:val="4104"/>
        </w:trPr>
        <w:tc>
          <w:tcPr>
            <w:tcW w:w="10080" w:type="dxa"/>
            <w:vAlign w:val="bottom"/>
          </w:tcPr>
          <w:p w14:paraId="69EFD90C" w14:textId="29C99C9F" w:rsidR="003A2F68" w:rsidRDefault="00031423" w:rsidP="009213CD">
            <w:pPr>
              <w:pStyle w:val="CoverPageTitle"/>
              <w:spacing w:after="0"/>
            </w:pPr>
            <w:bookmarkStart w:id="0" w:name="_Hlk76494289"/>
            <w:r>
              <w:t>User Industry Classification</w:t>
            </w:r>
            <w:bookmarkEnd w:id="0"/>
          </w:p>
        </w:tc>
      </w:tr>
      <w:tr w:rsidR="007B0A29" w14:paraId="3DF48184" w14:textId="77777777" w:rsidTr="007C770C">
        <w:tc>
          <w:tcPr>
            <w:tcW w:w="10080" w:type="dxa"/>
          </w:tcPr>
          <w:p w14:paraId="44885A14" w14:textId="77777777" w:rsidR="007B0A29" w:rsidRDefault="007B0A29" w:rsidP="007C770C">
            <w:pPr>
              <w:pStyle w:val="CoverPageTitle"/>
              <w:spacing w:after="0"/>
            </w:pPr>
            <w:r>
              <w:rPr>
                <w:noProof/>
              </w:rPr>
              <w:drawing>
                <wp:inline distT="0" distB="0" distL="0" distR="0" wp14:anchorId="5285501E" wp14:editId="5F5F68BC">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68196D08"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41660D82" w14:textId="77777777" w:rsidTr="00803A31">
        <w:trPr>
          <w:trHeight w:val="864"/>
        </w:trPr>
        <w:tc>
          <w:tcPr>
            <w:tcW w:w="2294" w:type="dxa"/>
            <w:tcBorders>
              <w:top w:val="nil"/>
              <w:left w:val="nil"/>
              <w:bottom w:val="nil"/>
            </w:tcBorders>
            <w:shd w:val="clear" w:color="auto" w:fill="B85A22" w:themeFill="accent2" w:themeFillShade="BF"/>
            <w:vAlign w:val="center"/>
          </w:tcPr>
          <w:p w14:paraId="3278C212" w14:textId="086C2143" w:rsidR="00D4773D" w:rsidRPr="00783448" w:rsidRDefault="00A02936" w:rsidP="00783448">
            <w:pPr>
              <w:pStyle w:val="Date"/>
            </w:pPr>
            <w:r>
              <w:t>7/</w:t>
            </w:r>
            <w:r w:rsidR="006068FA">
              <w:t>6</w:t>
            </w:r>
            <w:r>
              <w:t>/2021</w:t>
            </w:r>
          </w:p>
        </w:tc>
        <w:tc>
          <w:tcPr>
            <w:tcW w:w="7786" w:type="dxa"/>
            <w:tcBorders>
              <w:top w:val="nil"/>
              <w:bottom w:val="nil"/>
              <w:right w:val="nil"/>
            </w:tcBorders>
            <w:shd w:val="clear" w:color="auto" w:fill="355D7E" w:themeFill="accent1" w:themeFillShade="80"/>
            <w:tcMar>
              <w:left w:w="216" w:type="dxa"/>
            </w:tcMar>
            <w:vAlign w:val="center"/>
          </w:tcPr>
          <w:p w14:paraId="5DB9F12C" w14:textId="57C4A846" w:rsidR="00D4773D" w:rsidRPr="006068FA" w:rsidRDefault="006068FA" w:rsidP="00A5429D">
            <w:pPr>
              <w:pStyle w:val="CoverPageSubtitle"/>
            </w:pPr>
            <w:sdt>
              <w:sdtPr>
                <w:rPr>
                  <w:rFonts w:asciiTheme="majorHAnsi" w:eastAsiaTheme="majorEastAsia" w:hAnsiTheme="majorHAnsi" w:cstheme="majorBidi"/>
                  <w:caps/>
                  <w:kern w:val="28"/>
                  <w:sz w:val="38"/>
                  <w:szCs w:val="18"/>
                  <w:lang w:eastAsia="ja-JP"/>
                  <w14:ligatures w14:val="none"/>
                </w:rPr>
                <w:alias w:val="Enter subtitle:"/>
                <w:tag w:val="Enter subtitle:"/>
                <w:id w:val="541102329"/>
                <w:placeholder>
                  <w:docPart w:val="344A6287412544DBA87202D57757081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Pr="006068FA">
                  <w:rPr>
                    <w:rFonts w:asciiTheme="majorHAnsi" w:eastAsiaTheme="majorEastAsia" w:hAnsiTheme="majorHAnsi" w:cstheme="majorBidi"/>
                    <w:caps/>
                    <w:kern w:val="28"/>
                    <w:sz w:val="38"/>
                    <w:szCs w:val="18"/>
                    <w:lang w:eastAsia="ja-JP"/>
                    <w14:ligatures w14:val="none"/>
                  </w:rPr>
                  <w:t>PROJECTING ANALYTICAL VIEWS FOR ENERGY TRANSITION PRODUCTS TO DETERMINE PROPER CLASSIFICATION OF COMPANY INDUSTRY TO CORRECT ‘OTHER’ CATEGORY</w:t>
                </w:r>
              </w:sdtContent>
            </w:sdt>
          </w:p>
        </w:tc>
      </w:tr>
    </w:tbl>
    <w:p w14:paraId="03211CFB" w14:textId="77777777" w:rsidR="00356FE5" w:rsidRDefault="00356FE5" w:rsidP="00356FE5">
      <w:pPr>
        <w:spacing w:after="120"/>
        <w:ind w:left="2520"/>
        <w:rPr>
          <w:sz w:val="26"/>
          <w:szCs w:val="26"/>
        </w:rPr>
      </w:pPr>
    </w:p>
    <w:p w14:paraId="28617A1D" w14:textId="4CAE7EF2" w:rsidR="00D4773D" w:rsidRPr="007C770C" w:rsidRDefault="00D4773D" w:rsidP="00356FE5">
      <w:pPr>
        <w:spacing w:line="432" w:lineRule="auto"/>
        <w:ind w:left="2520"/>
        <w:rPr>
          <w:sz w:val="26"/>
          <w:szCs w:val="26"/>
        </w:rPr>
      </w:pPr>
      <w:r w:rsidRPr="007C770C">
        <w:rPr>
          <w:sz w:val="26"/>
          <w:szCs w:val="26"/>
        </w:rPr>
        <w:br w:type="page"/>
      </w:r>
    </w:p>
    <w:p w14:paraId="3E967577" w14:textId="79390BC6" w:rsidR="00106B79" w:rsidRDefault="00031423">
      <w:pPr>
        <w:pStyle w:val="Title"/>
      </w:pPr>
      <w:sdt>
        <w:sdtPr>
          <w:rPr>
            <w:kern w:val="0"/>
            <w14:ligatures w14:val="none"/>
          </w:rPr>
          <w:alias w:val="Title:"/>
          <w:tag w:val="Title:"/>
          <w:id w:val="-1055697181"/>
          <w:placeholder>
            <w:docPart w:val="B057DEF86410480795D5A021BA4656E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Pr="00031423">
            <w:rPr>
              <w:kern w:val="0"/>
              <w14:ligatures w14:val="none"/>
            </w:rPr>
            <w:t xml:space="preserve">USER INDUSTRY CLASSIFICATION </w:t>
          </w:r>
        </w:sdtContent>
      </w:sdt>
    </w:p>
    <w:sdt>
      <w:sdtPr>
        <w:alias w:val="Subtitle:"/>
        <w:tag w:val="Subtitle:"/>
        <w:id w:val="219697527"/>
        <w:placeholder>
          <w:docPart w:val="821D960AD9094A4887B49FE0CC5F6C8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2D25394A" w14:textId="1A88EBA9" w:rsidR="00106B79" w:rsidRDefault="006068FA">
          <w:pPr>
            <w:pStyle w:val="Subtitle"/>
          </w:pPr>
          <w:r>
            <w:t>PROJECTING ANALYTICAL VIEWS FOR ENERGY TRANSITION PRODUCTS TO DETERMINE PROPER CLASSIFICATION OF COMPANY INDUSTRY TO CORRECT ‘OTHER’ CATEGORY</w:t>
          </w:r>
        </w:p>
      </w:sdtContent>
    </w:sdt>
    <w:p w14:paraId="0813844F" w14:textId="19FA6C11" w:rsidR="00DC305C" w:rsidRDefault="00A02936" w:rsidP="00DC305C">
      <w:pPr>
        <w:pStyle w:val="Heading1"/>
        <w:rPr>
          <w:rFonts w:eastAsia="Times New Roman"/>
        </w:rPr>
      </w:pPr>
      <w:r>
        <w:t>Purpose</w:t>
      </w:r>
    </w:p>
    <w:p w14:paraId="3B2A5623" w14:textId="6C8977EB" w:rsidR="003407A9" w:rsidRDefault="003407A9" w:rsidP="003407A9">
      <w:pPr>
        <w:pStyle w:val="TipText"/>
        <w:rPr>
          <w:rFonts w:cs="Times New Roman"/>
          <w:i w:val="0"/>
          <w:iCs w:val="0"/>
          <w:color w:val="auto"/>
          <w:kern w:val="24"/>
          <w:sz w:val="23"/>
          <w:szCs w:val="23"/>
          <w:lang w:eastAsia="en-US"/>
          <w14:ligatures w14:val="standardContextual"/>
        </w:rPr>
      </w:pPr>
      <w:r w:rsidRPr="003407A9">
        <w:rPr>
          <w:rFonts w:cs="Times New Roman"/>
          <w:i w:val="0"/>
          <w:iCs w:val="0"/>
          <w:color w:val="auto"/>
          <w:kern w:val="24"/>
          <w:sz w:val="23"/>
          <w:szCs w:val="23"/>
          <w:lang w:eastAsia="en-US"/>
          <w14:ligatures w14:val="standardContextual"/>
        </w:rPr>
        <w:t xml:space="preserve">Energy Transition has been a central topic in the news for the last 6 months and many companies are beginning to see the change in culture and policies and preparing for the position themselves properly. A certain energy data company would like to know how they can improve their data collection process and retroactively correct thousands of data points for companies. These data points classify a company’s industry as “other” rather than their actual industry. The goal of this project will be to use the company views to cluster the company in the proper industry type. This will allow for improved analytics and future targeting of company to solution products.  </w:t>
      </w:r>
    </w:p>
    <w:p w14:paraId="70CA52A7" w14:textId="671849E7" w:rsidR="00064540" w:rsidRDefault="00064540" w:rsidP="003407A9">
      <w:pPr>
        <w:pStyle w:val="TipText"/>
        <w:rPr>
          <w:rFonts w:cs="Times New Roman"/>
          <w:i w:val="0"/>
          <w:iCs w:val="0"/>
          <w:color w:val="auto"/>
          <w:kern w:val="24"/>
          <w:sz w:val="23"/>
          <w:szCs w:val="23"/>
          <w:lang w:eastAsia="en-US"/>
          <w14:ligatures w14:val="standardContextual"/>
        </w:rPr>
      </w:pPr>
      <w:r>
        <w:rPr>
          <w:rFonts w:cs="Times New Roman"/>
          <w:i w:val="0"/>
          <w:iCs w:val="0"/>
          <w:color w:val="auto"/>
          <w:kern w:val="24"/>
          <w:sz w:val="23"/>
          <w:szCs w:val="23"/>
          <w:lang w:eastAsia="en-US"/>
          <w14:ligatures w14:val="standardContextual"/>
        </w:rPr>
        <w:t xml:space="preserve">For better reference, please see Figure 1 that shows what percentage of the </w:t>
      </w:r>
      <w:r w:rsidR="00FA7773">
        <w:rPr>
          <w:rFonts w:cs="Times New Roman"/>
          <w:i w:val="0"/>
          <w:iCs w:val="0"/>
          <w:color w:val="auto"/>
          <w:kern w:val="24"/>
          <w:sz w:val="23"/>
          <w:szCs w:val="23"/>
          <w:lang w:eastAsia="en-US"/>
          <w14:ligatures w14:val="standardContextual"/>
        </w:rPr>
        <w:t xml:space="preserve">collected data is mislabeled as ‘other’ for industry. </w:t>
      </w:r>
    </w:p>
    <w:p w14:paraId="4890D041" w14:textId="77777777" w:rsidR="00FA7773" w:rsidRDefault="00FA7773" w:rsidP="00FA7773">
      <w:pPr>
        <w:pStyle w:val="TipText"/>
        <w:keepNext/>
        <w:jc w:val="center"/>
      </w:pPr>
      <w:r>
        <w:rPr>
          <w:noProof/>
        </w:rPr>
        <w:drawing>
          <wp:inline distT="0" distB="0" distL="0" distR="0" wp14:anchorId="642265CE" wp14:editId="0198D12E">
            <wp:extent cx="3595003" cy="258747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378" cy="2592783"/>
                    </a:xfrm>
                    <a:prstGeom prst="rect">
                      <a:avLst/>
                    </a:prstGeom>
                  </pic:spPr>
                </pic:pic>
              </a:graphicData>
            </a:graphic>
          </wp:inline>
        </w:drawing>
      </w:r>
    </w:p>
    <w:p w14:paraId="46531903" w14:textId="0C792786" w:rsidR="00FA7773" w:rsidRPr="003407A9" w:rsidRDefault="00FA7773" w:rsidP="00FA7773">
      <w:pPr>
        <w:pStyle w:val="Caption"/>
        <w:jc w:val="center"/>
        <w:rPr>
          <w:i w:val="0"/>
          <w:iCs w:val="0"/>
          <w:color w:val="auto"/>
          <w:sz w:val="23"/>
          <w:szCs w:val="23"/>
        </w:rPr>
      </w:pPr>
      <w:r>
        <w:t xml:space="preserve">Figure </w:t>
      </w:r>
      <w:fldSimple w:instr=" SEQ Figure \* ARABIC ">
        <w:r w:rsidR="006970E0">
          <w:rPr>
            <w:noProof/>
          </w:rPr>
          <w:t>1</w:t>
        </w:r>
      </w:fldSimple>
      <w:r>
        <w:t xml:space="preserve"> Analytical Views by Industry (Data created in Tableau)</w:t>
      </w:r>
    </w:p>
    <w:p w14:paraId="51F5C4E4" w14:textId="043E1F4E" w:rsidR="00DC305C" w:rsidRDefault="00A02936" w:rsidP="00DC305C">
      <w:pPr>
        <w:pStyle w:val="Heading2"/>
      </w:pPr>
      <w:r>
        <w:t>Data Wrangling</w:t>
      </w:r>
    </w:p>
    <w:p w14:paraId="03EBF185" w14:textId="71CA5AF3" w:rsidR="00A02936" w:rsidRPr="00A02936" w:rsidRDefault="00235801" w:rsidP="00A02936">
      <w:r>
        <w:t xml:space="preserve">The user usage data was queried from a user utility database and </w:t>
      </w:r>
      <w:r w:rsidR="005D5D61">
        <w:t xml:space="preserve">exported into a CSV file. </w:t>
      </w:r>
      <w:r w:rsidR="003024DD">
        <w:t xml:space="preserve">It encompasses the last 3 years. </w:t>
      </w:r>
      <w:r w:rsidR="00D33BBC">
        <w:t xml:space="preserve">Analytical views were utilized to both show the need for the determination of these industries (such as in Figure 1) as well as for the predictive model itself. </w:t>
      </w:r>
      <w:r w:rsidR="00685BCB">
        <w:t xml:space="preserve">The data itself was </w:t>
      </w:r>
      <w:r w:rsidR="006A46DF">
        <w:t>clean</w:t>
      </w:r>
      <w:r w:rsidR="00685BCB">
        <w:t xml:space="preserve"> but needed a bit of massaging. The </w:t>
      </w:r>
      <w:r w:rsidR="006A46DF">
        <w:t xml:space="preserve">render time column was converted to seconds from milliseconds. </w:t>
      </w:r>
      <w:r w:rsidR="00D33BBC">
        <w:t xml:space="preserve"> </w:t>
      </w:r>
      <w:r w:rsidR="006A46DF">
        <w:t xml:space="preserve">The standard time column was converted to a python friendly timestamp. The </w:t>
      </w:r>
      <w:r w:rsidR="005C449E">
        <w:t xml:space="preserve">document names column also contained erroneous names for documents that had “??” characters populating it. These were removed and allowed the data to be ready for analysis. </w:t>
      </w:r>
    </w:p>
    <w:p w14:paraId="341B2C15" w14:textId="77777777" w:rsidR="003B5E03" w:rsidRDefault="003B5E03" w:rsidP="003B5E03">
      <w:pPr>
        <w:keepNext/>
        <w:jc w:val="center"/>
      </w:pPr>
      <w:r>
        <w:rPr>
          <w:noProof/>
        </w:rPr>
        <w:lastRenderedPageBreak/>
        <w:drawing>
          <wp:inline distT="0" distB="0" distL="0" distR="0" wp14:anchorId="6E9695D7" wp14:editId="52D2152C">
            <wp:extent cx="5362136" cy="1569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818" cy="1578791"/>
                    </a:xfrm>
                    <a:prstGeom prst="rect">
                      <a:avLst/>
                    </a:prstGeom>
                  </pic:spPr>
                </pic:pic>
              </a:graphicData>
            </a:graphic>
          </wp:inline>
        </w:drawing>
      </w:r>
    </w:p>
    <w:p w14:paraId="5FAE037A" w14:textId="5652AF32" w:rsidR="005D0ADA" w:rsidRDefault="003B5E03" w:rsidP="003B5E03">
      <w:pPr>
        <w:pStyle w:val="Caption"/>
        <w:jc w:val="center"/>
      </w:pPr>
      <w:r>
        <w:t xml:space="preserve">Figure </w:t>
      </w:r>
      <w:fldSimple w:instr=" SEQ Figure \* ARABIC ">
        <w:r w:rsidR="006970E0">
          <w:rPr>
            <w:noProof/>
          </w:rPr>
          <w:t>2</w:t>
        </w:r>
      </w:fldSimple>
      <w:r>
        <w:t xml:space="preserve"> Top 5 rows of cleaned data set</w:t>
      </w:r>
    </w:p>
    <w:p w14:paraId="52F011C1" w14:textId="62367DD0" w:rsidR="005D0ADA" w:rsidRDefault="009E5E74" w:rsidP="00B4574C">
      <w:pPr>
        <w:pStyle w:val="Heading2"/>
      </w:pPr>
      <w:r>
        <w:t>EDA</w:t>
      </w:r>
    </w:p>
    <w:p w14:paraId="3B906FD1" w14:textId="15A40A30" w:rsidR="00B05A28" w:rsidRDefault="009E5E74" w:rsidP="00B05A28">
      <w:r>
        <w:t xml:space="preserve">A deeper dive into the data was performed to </w:t>
      </w:r>
      <w:r w:rsidR="0005789D">
        <w:t xml:space="preserve">get a better understanding of the data. </w:t>
      </w:r>
      <w:r w:rsidR="0051407F">
        <w:t xml:space="preserve">The distribution of analytical views showed something interesting that needed further investigation. The data looks </w:t>
      </w:r>
      <w:r w:rsidR="00135C66">
        <w:t>uniform</w:t>
      </w:r>
      <w:r w:rsidR="0051407F">
        <w:t xml:space="preserve"> with almost all view totals being under 5 views. </w:t>
      </w:r>
      <w:r w:rsidR="00135C66">
        <w:t>However,</w:t>
      </w:r>
      <w:r w:rsidR="0051407F">
        <w:t xml:space="preserve"> the data is </w:t>
      </w:r>
      <w:r w:rsidR="003F3195">
        <w:t>extremely</w:t>
      </w:r>
      <w:r w:rsidR="00135C66">
        <w:t xml:space="preserve"> right skewed. </w:t>
      </w:r>
      <w:r w:rsidR="00F556A1">
        <w:t xml:space="preserve">Figure 3 represents the </w:t>
      </w:r>
      <w:r w:rsidR="00C55734">
        <w:t xml:space="preserve">distribution of the analytical views. </w:t>
      </w:r>
    </w:p>
    <w:p w14:paraId="0A08CA1C" w14:textId="77777777" w:rsidR="00135C66" w:rsidRDefault="00135C66" w:rsidP="00135C66">
      <w:pPr>
        <w:keepNext/>
        <w:jc w:val="center"/>
      </w:pPr>
      <w:r>
        <w:rPr>
          <w:noProof/>
        </w:rPr>
        <w:drawing>
          <wp:inline distT="0" distB="0" distL="0" distR="0" wp14:anchorId="7F3F6888" wp14:editId="469B40F7">
            <wp:extent cx="3557175" cy="214099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9781" cy="2148583"/>
                    </a:xfrm>
                    <a:prstGeom prst="rect">
                      <a:avLst/>
                    </a:prstGeom>
                  </pic:spPr>
                </pic:pic>
              </a:graphicData>
            </a:graphic>
          </wp:inline>
        </w:drawing>
      </w:r>
    </w:p>
    <w:p w14:paraId="5D933A83" w14:textId="0BFB9361" w:rsidR="00135C66" w:rsidRDefault="00135C66" w:rsidP="00135C66">
      <w:pPr>
        <w:pStyle w:val="Caption"/>
        <w:jc w:val="center"/>
      </w:pPr>
      <w:r>
        <w:t xml:space="preserve">Figure </w:t>
      </w:r>
      <w:fldSimple w:instr=" SEQ Figure \* ARABIC ">
        <w:r w:rsidR="006970E0">
          <w:rPr>
            <w:noProof/>
          </w:rPr>
          <w:t>3</w:t>
        </w:r>
      </w:fldSimple>
      <w:r>
        <w:t xml:space="preserve"> Distribution of analytical views</w:t>
      </w:r>
    </w:p>
    <w:p w14:paraId="0ABB5A21" w14:textId="77777777" w:rsidR="00C43655" w:rsidRDefault="00C43655" w:rsidP="00C43655">
      <w:pPr>
        <w:keepNext/>
        <w:jc w:val="center"/>
      </w:pPr>
      <w:r>
        <w:rPr>
          <w:noProof/>
        </w:rPr>
        <w:drawing>
          <wp:inline distT="0" distB="0" distL="0" distR="0" wp14:anchorId="2C5AD7FC" wp14:editId="7D77A46F">
            <wp:extent cx="3388037" cy="205450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7034" cy="2059962"/>
                    </a:xfrm>
                    <a:prstGeom prst="rect">
                      <a:avLst/>
                    </a:prstGeom>
                  </pic:spPr>
                </pic:pic>
              </a:graphicData>
            </a:graphic>
          </wp:inline>
        </w:drawing>
      </w:r>
    </w:p>
    <w:p w14:paraId="2C66B71A" w14:textId="573A8908" w:rsidR="00C43655" w:rsidRDefault="00C43655" w:rsidP="00C43655">
      <w:pPr>
        <w:pStyle w:val="Caption"/>
        <w:jc w:val="center"/>
      </w:pPr>
      <w:r>
        <w:t xml:space="preserve">Figure </w:t>
      </w:r>
      <w:fldSimple w:instr=" SEQ Figure \* ARABIC ">
        <w:r w:rsidR="006970E0">
          <w:rPr>
            <w:noProof/>
          </w:rPr>
          <w:t>4</w:t>
        </w:r>
      </w:fldSimple>
      <w:r>
        <w:t xml:space="preserve"> Boxplot of analytical views</w:t>
      </w:r>
    </w:p>
    <w:p w14:paraId="3526649E" w14:textId="2BB5204E" w:rsidR="00C43655" w:rsidRDefault="00C43655" w:rsidP="00C43655"/>
    <w:p w14:paraId="5EA51BCA" w14:textId="01239196" w:rsidR="00C43655" w:rsidRPr="00C43655" w:rsidRDefault="00C43655" w:rsidP="00C43655">
      <w:r>
        <w:t xml:space="preserve">A closer look at the </w:t>
      </w:r>
      <w:r w:rsidR="00F556A1">
        <w:t xml:space="preserve">boxplot in </w:t>
      </w:r>
      <w:r w:rsidR="00C55734">
        <w:t xml:space="preserve">Figure 4, confirms the right tail nature of the distribution. There are some </w:t>
      </w:r>
      <w:r w:rsidR="00DF5CAB">
        <w:t xml:space="preserve">extremely high outliers. These outliers proved to be actual values and were not errors so they could not be removed. </w:t>
      </w:r>
    </w:p>
    <w:p w14:paraId="46FC0889" w14:textId="76F94E6C" w:rsidR="009E5E74" w:rsidRDefault="005F7C2E" w:rsidP="009E5E74">
      <w:pPr>
        <w:pStyle w:val="Heading2"/>
      </w:pPr>
      <w:r>
        <w:t>Preprocessing, Training, Modelling</w:t>
      </w:r>
    </w:p>
    <w:p w14:paraId="49DAA412" w14:textId="734E1882" w:rsidR="009E5E74" w:rsidRDefault="009E5E74" w:rsidP="009E5E74">
      <w:r>
        <w:t xml:space="preserve">Preprocessing of the data was done by first utilizing the </w:t>
      </w:r>
      <w:r w:rsidR="005F7C2E">
        <w:t xml:space="preserve">encoding the data for the categorical </w:t>
      </w:r>
      <w:r w:rsidR="003A519F">
        <w:t>columns. The only column not encoded is the analytical views</w:t>
      </w:r>
      <w:r w:rsidR="00B05A28">
        <w:t xml:space="preserve">. </w:t>
      </w:r>
      <w:r w:rsidR="003A519F">
        <w:t xml:space="preserve">The data was then removed of the ‘other’ </w:t>
      </w:r>
      <w:r w:rsidR="002E64B5">
        <w:t xml:space="preserve">selections from the industry column. This would then be reused to </w:t>
      </w:r>
      <w:r w:rsidR="0095449E">
        <w:t xml:space="preserve">predict later if needed. The rest of the data was split into a train/test set with the test being 30% of the data set. </w:t>
      </w:r>
      <w:r w:rsidR="005D55E9">
        <w:t xml:space="preserve">Random Forest and KNN were then used to cluster the data </w:t>
      </w:r>
      <w:r w:rsidR="004970D2">
        <w:t>to determine if the industry could be separated by the document name, company name, and view count. The accuracy was then determined for eac</w:t>
      </w:r>
      <w:r w:rsidR="00BD0C03">
        <w:t xml:space="preserve">h model. With an 82% accuracy score, the Random Forest model was chosen </w:t>
      </w:r>
      <w:r w:rsidR="004D3CCA">
        <w:t xml:space="preserve">to move forward with in order to determine the actual industry of the ‘other’ or ‘unknown’ industry. </w:t>
      </w:r>
    </w:p>
    <w:tbl>
      <w:tblPr>
        <w:tblStyle w:val="TableGrid"/>
        <w:tblW w:w="0" w:type="auto"/>
        <w:jc w:val="center"/>
        <w:tblLook w:val="04A0" w:firstRow="1" w:lastRow="0" w:firstColumn="1" w:lastColumn="0" w:noHBand="0" w:noVBand="1"/>
      </w:tblPr>
      <w:tblGrid>
        <w:gridCol w:w="3356"/>
        <w:gridCol w:w="3357"/>
      </w:tblGrid>
      <w:tr w:rsidR="009B2039" w14:paraId="3C4CC29A" w14:textId="77777777" w:rsidTr="009B2039">
        <w:trPr>
          <w:jc w:val="center"/>
        </w:trPr>
        <w:tc>
          <w:tcPr>
            <w:tcW w:w="3356" w:type="dxa"/>
          </w:tcPr>
          <w:p w14:paraId="6100FC3F" w14:textId="26340B5A" w:rsidR="009B2039" w:rsidRDefault="009B2039" w:rsidP="009E5E74">
            <w:r>
              <w:t>Model</w:t>
            </w:r>
          </w:p>
        </w:tc>
        <w:tc>
          <w:tcPr>
            <w:tcW w:w="3357" w:type="dxa"/>
          </w:tcPr>
          <w:p w14:paraId="7DD9DDD7" w14:textId="1DDB3584" w:rsidR="009B2039" w:rsidRDefault="009B2039" w:rsidP="009E5E74">
            <w:r>
              <w:t>ACC</w:t>
            </w:r>
          </w:p>
        </w:tc>
      </w:tr>
      <w:tr w:rsidR="009B2039" w14:paraId="5AA9D881" w14:textId="77777777" w:rsidTr="009B2039">
        <w:trPr>
          <w:jc w:val="center"/>
        </w:trPr>
        <w:tc>
          <w:tcPr>
            <w:tcW w:w="3356" w:type="dxa"/>
          </w:tcPr>
          <w:p w14:paraId="30499F44" w14:textId="6B7251D6" w:rsidR="009B2039" w:rsidRDefault="009B2039" w:rsidP="009E5E74">
            <w:r>
              <w:t>Random Forest</w:t>
            </w:r>
          </w:p>
        </w:tc>
        <w:tc>
          <w:tcPr>
            <w:tcW w:w="3357" w:type="dxa"/>
          </w:tcPr>
          <w:p w14:paraId="136FC65A" w14:textId="04A6CEBD" w:rsidR="009B2039" w:rsidRDefault="00BD0C03" w:rsidP="009E5E74">
            <w:r>
              <w:t>0.82</w:t>
            </w:r>
          </w:p>
        </w:tc>
      </w:tr>
      <w:tr w:rsidR="009B2039" w14:paraId="12252C51" w14:textId="77777777" w:rsidTr="009B2039">
        <w:trPr>
          <w:jc w:val="center"/>
        </w:trPr>
        <w:tc>
          <w:tcPr>
            <w:tcW w:w="3356" w:type="dxa"/>
          </w:tcPr>
          <w:p w14:paraId="4E2DFC24" w14:textId="09E47F06" w:rsidR="009B2039" w:rsidRDefault="009B2039" w:rsidP="009E5E74">
            <w:r>
              <w:t>KNN</w:t>
            </w:r>
          </w:p>
        </w:tc>
        <w:tc>
          <w:tcPr>
            <w:tcW w:w="3357" w:type="dxa"/>
          </w:tcPr>
          <w:p w14:paraId="552ED5EE" w14:textId="1B46BED3" w:rsidR="009B2039" w:rsidRDefault="00BD0C03" w:rsidP="009E5E74">
            <w:r>
              <w:t>0.57</w:t>
            </w:r>
          </w:p>
        </w:tc>
      </w:tr>
    </w:tbl>
    <w:p w14:paraId="06A712B5" w14:textId="5CC1D1D5" w:rsidR="00052A4A" w:rsidRDefault="00052A4A" w:rsidP="00B05A28">
      <w:pPr>
        <w:rPr>
          <w:rFonts w:eastAsia="Times New Roman"/>
        </w:rPr>
      </w:pPr>
    </w:p>
    <w:sectPr w:rsidR="00052A4A" w:rsidSect="00052A4A">
      <w:headerReference w:type="even" r:id="rId16"/>
      <w:footerReference w:type="even" r:id="rId17"/>
      <w:footerReference w:type="default" r:id="rId18"/>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B294" w14:textId="77777777" w:rsidR="00DD135E" w:rsidRDefault="00DD135E">
      <w:pPr>
        <w:spacing w:after="0" w:line="240" w:lineRule="auto"/>
      </w:pPr>
      <w:r>
        <w:separator/>
      </w:r>
    </w:p>
  </w:endnote>
  <w:endnote w:type="continuationSeparator" w:id="0">
    <w:p w14:paraId="396C6B7E" w14:textId="77777777" w:rsidR="00DD135E" w:rsidRDefault="00DD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7731"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B62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5244" w14:textId="77777777" w:rsidR="00DD135E" w:rsidRDefault="00DD135E">
      <w:pPr>
        <w:spacing w:after="0" w:line="240" w:lineRule="auto"/>
      </w:pPr>
      <w:r>
        <w:separator/>
      </w:r>
    </w:p>
  </w:footnote>
  <w:footnote w:type="continuationSeparator" w:id="0">
    <w:p w14:paraId="0E7CDC01" w14:textId="77777777" w:rsidR="00DD135E" w:rsidRDefault="00DD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EA44" w14:textId="0E8D334B" w:rsidR="005225B2" w:rsidRPr="005225B2" w:rsidRDefault="006970E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031423">
          <w:rPr>
            <w:rFonts w:eastAsiaTheme="majorEastAsia"/>
          </w:rPr>
          <w:t xml:space="preserve">USER INDUSTRY CLASSIFICATION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5E"/>
    <w:rsid w:val="00031423"/>
    <w:rsid w:val="00052A4A"/>
    <w:rsid w:val="0005789D"/>
    <w:rsid w:val="00064540"/>
    <w:rsid w:val="00067337"/>
    <w:rsid w:val="00106B79"/>
    <w:rsid w:val="00132205"/>
    <w:rsid w:val="00135C66"/>
    <w:rsid w:val="00177883"/>
    <w:rsid w:val="0019783B"/>
    <w:rsid w:val="001D4AE0"/>
    <w:rsid w:val="001E51BD"/>
    <w:rsid w:val="00235801"/>
    <w:rsid w:val="002B2685"/>
    <w:rsid w:val="002D3102"/>
    <w:rsid w:val="002E64B5"/>
    <w:rsid w:val="003024DD"/>
    <w:rsid w:val="003407A9"/>
    <w:rsid w:val="00356B91"/>
    <w:rsid w:val="00356FE5"/>
    <w:rsid w:val="003A2F68"/>
    <w:rsid w:val="003A519F"/>
    <w:rsid w:val="003B5E03"/>
    <w:rsid w:val="003E38BF"/>
    <w:rsid w:val="003F3195"/>
    <w:rsid w:val="00402606"/>
    <w:rsid w:val="00431B47"/>
    <w:rsid w:val="00431C36"/>
    <w:rsid w:val="004509CA"/>
    <w:rsid w:val="004970D2"/>
    <w:rsid w:val="0049775F"/>
    <w:rsid w:val="004D3CCA"/>
    <w:rsid w:val="0051407F"/>
    <w:rsid w:val="005225B2"/>
    <w:rsid w:val="005473E9"/>
    <w:rsid w:val="005B18C0"/>
    <w:rsid w:val="005C449E"/>
    <w:rsid w:val="005D0ADA"/>
    <w:rsid w:val="005D55E9"/>
    <w:rsid w:val="005D5D61"/>
    <w:rsid w:val="005F7C2E"/>
    <w:rsid w:val="006068FA"/>
    <w:rsid w:val="006114B5"/>
    <w:rsid w:val="0064466C"/>
    <w:rsid w:val="00653C00"/>
    <w:rsid w:val="00685BCB"/>
    <w:rsid w:val="006970E0"/>
    <w:rsid w:val="006A46DF"/>
    <w:rsid w:val="006D4291"/>
    <w:rsid w:val="006E212B"/>
    <w:rsid w:val="006E5894"/>
    <w:rsid w:val="00716FDD"/>
    <w:rsid w:val="007212B2"/>
    <w:rsid w:val="00730696"/>
    <w:rsid w:val="00736763"/>
    <w:rsid w:val="00783448"/>
    <w:rsid w:val="007B0A29"/>
    <w:rsid w:val="007C770C"/>
    <w:rsid w:val="007D052D"/>
    <w:rsid w:val="007D5DA8"/>
    <w:rsid w:val="00803A31"/>
    <w:rsid w:val="008662AD"/>
    <w:rsid w:val="008F56CC"/>
    <w:rsid w:val="009213CD"/>
    <w:rsid w:val="0095449E"/>
    <w:rsid w:val="00997ACB"/>
    <w:rsid w:val="009B2039"/>
    <w:rsid w:val="009D314A"/>
    <w:rsid w:val="009E5E74"/>
    <w:rsid w:val="00A02936"/>
    <w:rsid w:val="00A329B9"/>
    <w:rsid w:val="00A5429D"/>
    <w:rsid w:val="00B05A28"/>
    <w:rsid w:val="00B426FC"/>
    <w:rsid w:val="00B4574C"/>
    <w:rsid w:val="00BC0A22"/>
    <w:rsid w:val="00BD0C03"/>
    <w:rsid w:val="00C43655"/>
    <w:rsid w:val="00C55734"/>
    <w:rsid w:val="00C85AA2"/>
    <w:rsid w:val="00CD12DE"/>
    <w:rsid w:val="00D07941"/>
    <w:rsid w:val="00D33BBC"/>
    <w:rsid w:val="00D4032E"/>
    <w:rsid w:val="00D4773D"/>
    <w:rsid w:val="00D62024"/>
    <w:rsid w:val="00DC305C"/>
    <w:rsid w:val="00DD135E"/>
    <w:rsid w:val="00DF5CAB"/>
    <w:rsid w:val="00E04568"/>
    <w:rsid w:val="00E44E60"/>
    <w:rsid w:val="00E90D9F"/>
    <w:rsid w:val="00E959BE"/>
    <w:rsid w:val="00ED1452"/>
    <w:rsid w:val="00EF4DCC"/>
    <w:rsid w:val="00F556A1"/>
    <w:rsid w:val="00F56675"/>
    <w:rsid w:val="00FA7773"/>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ED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table" w:customStyle="1" w:styleId="TipTable">
    <w:name w:val="Tip Table"/>
    <w:basedOn w:val="TableNormal"/>
    <w:uiPriority w:val="99"/>
    <w:rsid w:val="003407A9"/>
    <w:pPr>
      <w:spacing w:after="0" w:line="240" w:lineRule="auto"/>
    </w:pPr>
    <w:rPr>
      <w:rFonts w:cstheme="minorBidi"/>
      <w:color w:val="404040" w:themeColor="text1" w:themeTint="BF"/>
      <w:kern w:val="0"/>
      <w:sz w:val="18"/>
      <w:szCs w:val="18"/>
      <w:lang w:eastAsia="ja-JP"/>
      <w14:ligatures w14:val="none"/>
    </w:rPr>
    <w:tblPr>
      <w:tblCellMar>
        <w:top w:w="144" w:type="dxa"/>
        <w:left w:w="0" w:type="dxa"/>
        <w:right w:w="0" w:type="dxa"/>
      </w:tblCellMar>
    </w:tblPr>
    <w:tcPr>
      <w:shd w:val="clear" w:color="auto" w:fill="E9F0F6" w:themeFill="accent1" w:themeFillTint="33"/>
    </w:tcPr>
    <w:tblStylePr w:type="firstCol">
      <w:pPr>
        <w:wordWrap/>
        <w:jc w:val="center"/>
      </w:pPr>
    </w:tblStylePr>
  </w:style>
  <w:style w:type="paragraph" w:customStyle="1" w:styleId="TipText">
    <w:name w:val="Tip Text"/>
    <w:basedOn w:val="Normal"/>
    <w:uiPriority w:val="19"/>
    <w:rsid w:val="003407A9"/>
    <w:pPr>
      <w:spacing w:after="160" w:line="264" w:lineRule="auto"/>
      <w:ind w:right="576"/>
    </w:pPr>
    <w:rPr>
      <w:rFonts w:cstheme="minorBidi"/>
      <w:i/>
      <w:iCs/>
      <w:color w:val="595959" w:themeColor="text1" w:themeTint="A6"/>
      <w:kern w:val="0"/>
      <w:sz w:val="16"/>
      <w:szCs w:val="18"/>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4A6287412544DBA87202D577570817"/>
        <w:category>
          <w:name w:val="General"/>
          <w:gallery w:val="placeholder"/>
        </w:category>
        <w:types>
          <w:type w:val="bbPlcHdr"/>
        </w:types>
        <w:behaviors>
          <w:behavior w:val="content"/>
        </w:behaviors>
        <w:guid w:val="{73F4E44E-CB04-4E94-80F8-869A77832278}"/>
      </w:docPartPr>
      <w:docPartBody>
        <w:p w:rsidR="00BD6037" w:rsidRDefault="00BD6037">
          <w:pPr>
            <w:pStyle w:val="344A6287412544DBA87202D577570817"/>
          </w:pPr>
          <w:r w:rsidRPr="00A5429D">
            <w:t>Subtitle</w:t>
          </w:r>
        </w:p>
      </w:docPartBody>
    </w:docPart>
    <w:docPart>
      <w:docPartPr>
        <w:name w:val="B057DEF86410480795D5A021BA4656EC"/>
        <w:category>
          <w:name w:val="General"/>
          <w:gallery w:val="placeholder"/>
        </w:category>
        <w:types>
          <w:type w:val="bbPlcHdr"/>
        </w:types>
        <w:behaviors>
          <w:behavior w:val="content"/>
        </w:behaviors>
        <w:guid w:val="{C0C814C2-A586-4051-AA8C-60198E302624}"/>
      </w:docPartPr>
      <w:docPartBody>
        <w:p w:rsidR="00BD6037" w:rsidRDefault="00BD6037">
          <w:pPr>
            <w:pStyle w:val="B057DEF86410480795D5A021BA4656EC"/>
          </w:pPr>
          <w:r>
            <w:t>Title</w:t>
          </w:r>
        </w:p>
      </w:docPartBody>
    </w:docPart>
    <w:docPart>
      <w:docPartPr>
        <w:name w:val="821D960AD9094A4887B49FE0CC5F6C8D"/>
        <w:category>
          <w:name w:val="General"/>
          <w:gallery w:val="placeholder"/>
        </w:category>
        <w:types>
          <w:type w:val="bbPlcHdr"/>
        </w:types>
        <w:behaviors>
          <w:behavior w:val="content"/>
        </w:behaviors>
        <w:guid w:val="{F219175E-807A-4A36-9725-A3579B394F7D}"/>
      </w:docPartPr>
      <w:docPartBody>
        <w:p w:rsidR="00BD6037" w:rsidRDefault="00BD6037">
          <w:pPr>
            <w:pStyle w:val="821D960AD9094A4887B49FE0CC5F6C8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37"/>
    <w:rsid w:val="00BD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47BC1EB494C9580D5D176FA70DEBE">
    <w:name w:val="6A247BC1EB494C9580D5D176FA70DEBE"/>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344A6287412544DBA87202D577570817">
    <w:name w:val="344A6287412544DBA87202D577570817"/>
  </w:style>
  <w:style w:type="paragraph" w:customStyle="1" w:styleId="B057DEF86410480795D5A021BA4656EC">
    <w:name w:val="B057DEF86410480795D5A021BA4656EC"/>
  </w:style>
  <w:style w:type="paragraph" w:customStyle="1" w:styleId="821D960AD9094A4887B49FE0CC5F6C8D">
    <w:name w:val="821D960AD9094A4887B49FE0CC5F6C8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71af3243-3dd4-4a8d-8c0d-dd76da1f02a5"/>
    <ds:schemaRef ds:uri="http://purl.org/dc/dcmitype/"/>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16c05727-aa75-4e4a-9b5f-8a80a1165891"/>
    <ds:schemaRef ds:uri="http://schemas.microsoft.com/office/2006/metadata/properties"/>
  </ds:schemaRefs>
</ds:datastoreItem>
</file>

<file path=customXml/itemProps4.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INDUSTRY CLASSIFICATION</dc:title>
  <dc:subject>PROJECTING ANALYTICAL VIEWS FOR ENERGY TRANSITION PRODUCTS TO DETERMINE PROPER CLASSIFICATION OF COMPANY INDUSTRY TO CORRECT ‘OTHER’ CATEGORY</dc:subject>
  <dc:creator/>
  <cp:lastModifiedBy/>
  <cp:revision>1</cp:revision>
  <dcterms:created xsi:type="dcterms:W3CDTF">2021-07-04T17:49:00Z</dcterms:created>
  <dcterms:modified xsi:type="dcterms:W3CDTF">2021-07-07T02:05:00Z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