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80"/>
      </w:pPr>
      <w:r>
        <w:rPr>
          <w:rFonts w:ascii="Calibri" w:hAnsi="Calibri" w:eastAsia="Calibri" w:cs="Calibri"/>
          <w:b/>
          <w:color w:val="000000"/>
          <w:sz w:val="46"/>
        </w:rPr>
        <w:t>MODEL VALIDATION BRIEF</w:t>
      </w:r>
    </w:p>
    <w:p>
      <w:pPr>
        <w:spacing w:after="320"/>
      </w:pPr>
      <w:r>
        <w:rPr>
          <w:rFonts w:ascii="Nanum Gothic" w:hAnsi="Nanum Gothic" w:eastAsia="Nanum Gothic" w:cs="Nanum Gothic" w:hint="eastAsia"/>
          <w:color w:val="374151"/>
          <w:sz w:val="28"/>
          <w:lang w:val="ko-KR" w:eastAsia="ko-KR"/>
        </w:rPr>
        <w:t>한·일 철강 Capital Allocation Pathway — 기준데이터·결과 타당성 검토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440"/>
        <w:gridCol w:w="7920"/>
      </w:tblGrid>
      <w:tr>
        <w:trPr>
          <w:tblHeader w:val="true"/>
        </w:trPr>
        <w:tc>
          <w:tcPr>
            <w:tcW w:type="dxa" w:w="1440"/>
            <w:shd w:fill="0B1F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FFFFFF"/>
              </w:rPr>
            </w:r>
            <w:r>
              <w:rPr>
                <w:rFonts w:ascii="Nanum Gothic" w:hAnsi="Nanum Gothic" w:eastAsia="Nanum Gothic" w:cs="Nanum Gothic" w:hint="eastAsia"/>
                <w:b/>
                <w:color w:val="FFFFFF"/>
                <w:sz w:val="19"/>
                <w:lang w:val="ko-KR" w:eastAsia="ko-KR"/>
              </w:rPr>
              <w:t>항목</w:t>
            </w:r>
          </w:p>
        </w:tc>
        <w:tc>
          <w:tcPr>
            <w:tcW w:type="dxa" w:w="7920"/>
            <w:shd w:fill="0B1F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FFFFFF"/>
              </w:rPr>
            </w:r>
            <w:r>
              <w:rPr>
                <w:rFonts w:ascii="Nanum Gothic" w:hAnsi="Nanum Gothic" w:eastAsia="Nanum Gothic" w:cs="Nanum Gothic" w:hint="eastAsia"/>
                <w:b/>
                <w:color w:val="FFFFFF"/>
                <w:sz w:val="19"/>
                <w:lang w:val="ko-KR" w:eastAsia="ko-KR"/>
              </w:rPr>
              <w:t>내용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수신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프로젝트 오너 / 투자·전략 검토자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기준일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9"/>
              </w:rPr>
              <w:t>2026-08-08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대상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9"/>
              </w:rPr>
              <w:t>POSCO, Nippon Steel, JFE Steel, Kobe Steel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검증 범위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공식 총량·프로젝트·자원 맥락, Excel↔CSV, 모델 동일성, 강건 의사결정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상태</w:t>
            </w:r>
          </w:p>
        </w:tc>
        <w:tc>
          <w:tcPr>
            <w:tcW w:type="dxa" w:w="7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조건부 적합 — 구조 검증용 / 투자 의사결정용 부적합</w:t>
            </w:r>
          </w:p>
        </w:tc>
      </w:tr>
    </w:tbl>
    <w:p>
      <w:pPr>
        <w:spacing w:before="160" w:after="40"/>
        <w:pBdr>
          <w:bottom w:val="single" w:sz="18" w:color="2E74B5"/>
        </w:pBdr>
      </w:pPr>
    </w:p>
    <w:p>
      <w:pPr>
        <w:pStyle w:val="Heading1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1. 결론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</w:tcPr>
          <w:p>
            <w:pPr>
              <w:spacing w:after="60"/>
            </w:pPr>
            <w:r>
              <w:rPr>
                <w:rFonts w:ascii="Nanum Gothic" w:hAnsi="Nanum Gothic" w:eastAsia="Nanum Gothic" w:cs="Nanum Gothic" w:hint="eastAsia"/>
                <w:b/>
                <w:color w:val="92400E"/>
                <w:sz w:val="24"/>
                <w:lang w:val="ko-KR" w:eastAsia="ko-KR"/>
              </w:rPr>
              <w:t>조건부 적합 — 실행 가능한 의사결정 스크리닝</w:t>
            </w:r>
          </w:p>
          <w:p>
            <w:pPr>
              <w:spacing w:after="0"/>
            </w:pPr>
            <w:r>
              <w:rPr>
                <w:rFonts w:ascii="Nanum Gothic" w:hAnsi="Nanum Gothic" w:eastAsia="Nanum Gothic" w:cs="Nanum Gothic" w:hint="eastAsia"/>
                <w:color w:val="92400E"/>
                <w:sz w:val="21"/>
                <w:lang w:val="ko-KR" w:eastAsia="ko-KR"/>
              </w:rPr>
              <w:t>v0.8.0은 같은 고정 설비 포트폴리오를 두 활성 시나리오에서 비교하고, 현금비용·탄소회피가치·정책지원을 분리하며, 현실 제약을 통과한 후보만 추천한다. 데이터 계보와 재현성은 통과했지만 공식 GCAM 1.5°C·2.0°C가 비활성이므로 투자 승인 모델은 아니다.</w:t>
            </w:r>
          </w:p>
        </w:tc>
      </w:tr>
    </w:tbl>
    <w:p>
      <w:r>
        <w:rPr>
          <w:rFonts w:ascii="Nanum Gothic" w:hAnsi="Nanum Gothic" w:eastAsia="Nanum Gothic" w:cs="Nanum Gothic" w:hint="eastAsia"/>
          <w:color w:val="1F2937"/>
          <w:sz w:val="22"/>
          <w:lang w:val="ko-KR" w:eastAsia="ko-KR"/>
        </w:rPr>
        <w:t>현재 결과는 어떤 시설 조합이 두 내부 경로 모두에서 실행 가능하고, 가격 위험과 후회를 얼마나 남기는지 판단하는 데 의미가 있다. 기업 간 우열이나 실제 예산 승인에는 회사별 공급계약·계통접속·프로젝트 범위 CAPEX의 추가 증빙이 필요하다.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800"/>
        <w:gridCol w:w="1800"/>
        <w:gridCol w:w="4760"/>
      </w:tblGrid>
      <w:tr>
        <w:trPr>
          <w:tblHeader w:val="true"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9"/>
                <w:lang w:val="ko-KR" w:eastAsia="ko-KR"/>
              </w:rPr>
              <w:t>사용 목적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9"/>
                <w:lang w:val="ko-KR" w:eastAsia="ko-KR"/>
              </w:rPr>
              <w:t>판정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9"/>
                <w:lang w:val="ko-KR" w:eastAsia="ko-KR"/>
              </w:rPr>
              <w:t>근거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데이터·모델 재현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사용 가능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20/20 왕복, 14/14 결과 동일, 7/7 테스트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회사 내부 후보·시설 비교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조건부 사용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탄소·자원·공사·실패 제약과 강건성 반영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기업 간 순위·투자 승인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사용 금지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9"/>
                <w:lang w:val="ko-KR" w:eastAsia="ko-KR"/>
              </w:rPr>
              <w:t>경계·시설·CAPEX와 공식 GCAM 미완료</w:t>
            </w:r>
          </w:p>
        </w:tc>
      </w:tr>
    </w:tbl>
    <w:p>
      <w:pPr>
        <w:spacing w:before="80" w:after="80"/>
      </w:pPr>
      <w:r>
        <w:rPr>
          <w:rFonts w:ascii="Nanum Gothic" w:hAnsi="Nanum Gothic" w:eastAsia="Nanum Gothic" w:cs="Nanum Gothic" w:hint="eastAsia"/>
          <w:i/>
          <w:color w:val="64748B"/>
          <w:sz w:val="17"/>
          <w:lang w:val="ko-KR" w:eastAsia="ko-KR"/>
        </w:rPr>
        <w:t>판정 기준: 공식값 추적성, 입력 왕복, 고정 포트폴리오, 공통 분모, 확률 재실행, 현실 제약, 공식 시나리오 활성화 상태.</w:t>
      </w:r>
    </w:p>
    <w:p>
      <w:r>
        <w:br w:type="page"/>
      </w:r>
    </w:p>
    <w:p>
      <w:pPr>
        <w:pStyle w:val="Heading1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2. 감사 추적성과 모델 동일성</w:t>
      </w:r>
    </w:p>
    <w:p>
      <w:r>
        <w:rPr>
          <w:rFonts w:ascii="Nanum Gothic" w:hAnsi="Nanum Gothic" w:eastAsia="Nanum Gothic" w:cs="Nanum Gothic" w:hint="eastAsia"/>
          <w:color w:val="1F2937"/>
          <w:sz w:val="22"/>
          <w:lang w:val="ko-KR" w:eastAsia="ko-KR"/>
        </w:rPr>
        <w:t>Excel 감사본은 원천 CSV 열을 그대로 보존하고 검증식만 오른쪽에 추가한다. Excel에서 다시 내보낸 입력을 독립 폴더에서 실행해 기준 결과와 비교했으므로, 사람이 확인하는 감사본과 코드가 읽는 기준데이터 사이의 단절을 탐지할 수 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1. 원천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2. 감사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3. 재생성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4. 실행 검증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20 CSV/JSON/XML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34-sheet Excel + SHA256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csv_export/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1,000 paths·seed 42 parity</w:t>
            </w:r>
          </w:p>
        </w:tc>
      </w:tr>
    </w:tbl>
    <w:p>
      <w:pPr>
        <w:pStyle w:val="Heading2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검증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000"/>
        <w:gridCol w:w="1900"/>
        <w:gridCol w:w="4460"/>
      </w:tblGrid>
      <w:tr>
        <w:trPr>
          <w:tblHeader w:val="true"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검증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결과</w:t>
            </w:r>
          </w:p>
        </w:tc>
        <w:tc>
          <w:tcPr>
            <w:tcW w:type="dxa" w:w="4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증거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Excel→CSV 의미상 동일성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PASS (20/20)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roundtrip_audit.json; 헤더·행·열·값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모델 산출물 바이트 동일성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PASS (14/14)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model_parity_audit.json; 기준↔왕복 실행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회귀테스트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PASS (7/7)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로더·제약·비용분리·후회·Shapley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정밀 반복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3 seeds × 1,000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37개 고정 shortlist; 후보·시나리오당 3,000 경로</w:t>
            </w:r>
          </w:p>
        </w:tc>
      </w:tr>
    </w:tbl>
    <w:p>
      <w:pPr>
        <w:pStyle w:val="Heading2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모델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00"/>
        <w:gridCol w:w="1800"/>
        <w:gridCol w:w="53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항목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규모</w:t>
            </w:r>
          </w:p>
        </w:tc>
        <w:tc>
          <w:tcPr>
            <w:tcW w:type="dxa" w:w="5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현재 상태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기업·시설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4개 / 17개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공식 기업 총량 + 총량에 맞춘 모델 시설 블록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생성·정밀 후보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910 / 37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중앙가격 screening 후 shortlist 고정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활성 경로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2개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공시경로 + 내부 1.5°C 스트레스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공식 GCAM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2개 정의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1.5°C·2.0°C 모두 비활성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공식 프로젝트·비용증거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9개 / 7개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8"/>
                <w:lang w:val="ko-KR" w:eastAsia="ko-KR"/>
              </w:rPr>
              <w:t>범위·시설 매핑 검증 전 모델입력과 분리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60"/>
            </w:pPr>
            <w:r>
              <w:rPr>
                <w:rFonts w:ascii="Nanum Gothic" w:hAnsi="Nanum Gothic" w:eastAsia="Nanum Gothic" w:cs="Nanum Gothic" w:hint="eastAsia"/>
                <w:b/>
                <w:color w:val="991B1B"/>
                <w:sz w:val="24"/>
                <w:lang w:val="ko-KR" w:eastAsia="ko-KR"/>
              </w:rPr>
              <w:t>시나리오 명칭 주의</w:t>
            </w:r>
          </w:p>
          <w:p>
            <w:pPr>
              <w:spacing w:after="0"/>
            </w:pPr>
            <w:r>
              <w:rPr>
                <w:rFonts w:ascii="Nanum Gothic" w:hAnsi="Nanum Gothic" w:eastAsia="Nanum Gothic" w:cs="Nanum Gothic" w:hint="eastAsia"/>
                <w:color w:val="991B1B"/>
                <w:sz w:val="21"/>
                <w:lang w:val="ko-KR" w:eastAsia="ko-KR"/>
              </w:rPr>
              <w:t>ACCELERATED_15C는 공식 GCAM 결과가 아니라 내부 스트레스 경로다. 공식 GCAM은 release hash, JVM 실행, 경로별 10개 query export를 검증한 뒤에만 활성화된다.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3. 강건 추천과 효율경계 해석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24560"/>
            <wp:docPr id="1" name="Picture 1" title="정밀 λ=1 강건 추천" descr="회사별 최대후회와 최악 TCaR를 비교한 막대그래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245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50"/>
        <w:gridCol w:w="2450"/>
        <w:gridCol w:w="800"/>
        <w:gridCol w:w="1450"/>
        <w:gridCol w:w="1450"/>
        <w:gridCol w:w="1460"/>
      </w:tblGrid>
      <w:tr>
        <w:trPr>
          <w:tblHeader w:val="true"/>
        </w:trPr>
        <w:tc>
          <w:tcPr>
            <w:tcW w:type="dxa" w:w="1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7"/>
                <w:lang w:val="ko-KR" w:eastAsia="ko-KR"/>
              </w:rPr>
              <w:t>회사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7"/>
                <w:lang w:val="ko-KR" w:eastAsia="ko-KR"/>
              </w:rPr>
              <w:t>λ=1 후보</w:t>
            </w:r>
          </w:p>
        </w:tc>
        <w:tc>
          <w:tcPr>
            <w:tcW w:type="dxa" w:w="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7"/>
                <w:lang w:val="ko-KR" w:eastAsia="ko-KR"/>
              </w:rPr>
              <w:t>계획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7"/>
                <w:lang w:val="ko-KR" w:eastAsia="ko-KR"/>
              </w:rPr>
              <w:t>최대후회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7"/>
                <w:lang w:val="ko-KR" w:eastAsia="ko-KR"/>
              </w:rPr>
              <w:t>최악 TCaR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7"/>
                <w:lang w:val="ko-KR" w:eastAsia="ko-KR"/>
              </w:rPr>
              <w:t>선택빈도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POSCO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CAND-6339…8408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P3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54.2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15.3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100%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Nippon Steel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CAND-7400…5D98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P3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59.0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18.7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100%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JFE Steel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CAND-E8FA…34A5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P3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27.2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27.5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100%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Kobe Steel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CAND-4D15…3521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P3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94.1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27.2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100%</w:t>
            </w:r>
          </w:p>
        </w:tc>
      </w:tr>
    </w:tbl>
    <w:p>
      <w:pPr>
        <w:spacing w:before="80" w:after="80"/>
      </w:pPr>
      <w:r>
        <w:rPr>
          <w:rFonts w:ascii="Nanum Gothic" w:hAnsi="Nanum Gothic" w:eastAsia="Nanum Gothic" w:cs="Nanum Gothic" w:hint="eastAsia"/>
          <w:i/>
          <w:color w:val="64748B"/>
          <w:sz w:val="17"/>
          <w:lang w:val="ko-KR" w:eastAsia="ko-KR"/>
        </w:rPr>
        <w:t>단위: kKRW/tCO₂. 3개 seed 평균. 선택빈도는 반복 실행에서 같은 λ=1 후보가 선택된 비율.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Nanum Gothic" w:hAnsi="Nanum Gothic" w:eastAsia="Nanum Gothic" w:cs="Nanum Gothic" w:hint="eastAsia"/>
                <w:b/>
                <w:color w:val="1F4D78"/>
                <w:sz w:val="24"/>
                <w:lang w:val="ko-KR" w:eastAsia="ko-KR"/>
              </w:rPr>
              <w:t>빨간 점을 읽는 법</w:t>
            </w:r>
          </w:p>
          <w:p>
            <w:pPr>
              <w:spacing w:after="0"/>
            </w:pPr>
            <w:r>
              <w:rPr>
                <w:rFonts w:ascii="Nanum Gothic" w:hAnsi="Nanum Gothic" w:eastAsia="Nanum Gothic" w:cs="Nanum Gothic" w:hint="eastAsia"/>
                <w:color w:val="1F4D78"/>
                <w:sz w:val="21"/>
                <w:lang w:val="ko-KR" w:eastAsia="ko-KR"/>
              </w:rPr>
              <w:t>효율경계 위의 빨간 점은 현재 공시계획 또는 선택 후보다. 경계보다 오른쪽·위에 있으면 같은 비교집합 안에서 더 낮은 기대비용과 더 낮은 위험을 동시에 주는 지배안이 있다는 뜻이다. ‘나쁜 회사’가 아니라 개선 여지가 있는 계획이라는 진단이다.</w:t>
            </w:r>
          </w:p>
        </w:tc>
      </w:tr>
    </w:tbl>
    <w:p>
      <w:r>
        <w:rPr>
          <w:rFonts w:ascii="Nanum Gothic" w:hAnsi="Nanum Gothic" w:eastAsia="Nanum Gothic" w:cs="Nanum Gothic" w:hint="eastAsia"/>
          <w:color w:val="1F2937"/>
          <w:sz w:val="22"/>
          <w:lang w:val="ko-KR" w:eastAsia="ko-KR"/>
        </w:rPr>
        <w:t>최대후회는 각 활성 시나리오의 최저 적격 후보와 비교한 P50 비용 차이의 최댓값이다. λ=1은 최대후회 + 최악 TCaR을 최소화한다. 기준점은 전체 910개가 아니라 고정된 37개 정밀 shortlist 안에 한정된다.</w:t>
      </w:r>
    </w:p>
    <w:p>
      <w:r>
        <w:br w:type="page"/>
      </w:r>
    </w:p>
    <w:p>
      <w:pPr>
        <w:pStyle w:val="Heading1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4. 시설별 실행 계획</w:t>
      </w:r>
    </w:p>
    <w:p>
      <w:r>
        <w:rPr>
          <w:rFonts w:ascii="Nanum Gothic" w:hAnsi="Nanum Gothic" w:eastAsia="Nanum Gothic" w:cs="Nanum Gothic" w:hint="eastAsia"/>
          <w:color w:val="1F2937"/>
          <w:sz w:val="22"/>
          <w:lang w:val="ko-KR" w:eastAsia="ko-KR"/>
        </w:rPr>
        <w:t>추천안은 회사 총량만 제시하지 않고 시설별 기술·전환연도·CAPEX·연간 감축을 보존한다. 아래 시설은 공식 총량에 맞춘 모델 블록이며 실제 프로젝트 승인 단위는 아니다.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350"/>
        <w:gridCol w:w="1650"/>
        <w:gridCol w:w="2200"/>
        <w:gridCol w:w="800"/>
        <w:gridCol w:w="1600"/>
        <w:gridCol w:w="1760"/>
      </w:tblGrid>
      <w:tr>
        <w:trPr>
          <w:tblHeader w:val="true"/>
        </w:trPr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5"/>
                <w:lang w:val="ko-KR" w:eastAsia="ko-KR"/>
              </w:rPr>
              <w:t>회사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5"/>
                <w:lang w:val="ko-KR" w:eastAsia="ko-KR"/>
              </w:rPr>
              <w:t>시설 블록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5"/>
                <w:lang w:val="ko-KR" w:eastAsia="ko-KR"/>
              </w:rPr>
              <w:t>전환 기술</w:t>
            </w:r>
          </w:p>
        </w:tc>
        <w:tc>
          <w:tcPr>
            <w:tcW w:type="dxa" w:w="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5"/>
                <w:lang w:val="ko-KR" w:eastAsia="ko-KR"/>
              </w:rPr>
              <w:t>연도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b/>
                <w:color w:val="1F2937"/>
                <w:sz w:val="15"/>
              </w:rPr>
              <w:t>CAPEX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5"/>
                <w:lang w:val="ko-KR" w:eastAsia="ko-KR"/>
              </w:rPr>
              <w:t>연간 감축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POSCO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POS-POH-N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SCRAP_EAF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2029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4,592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12.36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POSCO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POS-POH-S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SCRAP_EAF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2032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4,144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11.05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POSCO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POS-GWY-EAF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EAF_RENEWABLE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2033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312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0.40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POSCO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POS-GWY-W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H2_DRI_EAF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2035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9,270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17.82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POSCO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POS-GWY-E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H2_DRI_EAF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2037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9,270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17.83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Nippon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NS-KYUSHU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SCRAP_EAF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2029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6,160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15.00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Nippon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NS-NAGOYA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SCRAP_EAF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2032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4,312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10.33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Nippon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NS-EAST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H2_DRI_EAF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2034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8,019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13.80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Nippon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NS-KANSAI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H2_DRI_EAF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2036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6,237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10.73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Nippon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NS-SETOUCHI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SCRAP_EAF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2038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4,620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10.50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JFE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JFE-KURA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SCRAP_EAF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2029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4,558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11.32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JFE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JFE-FUKU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H2_DRI_EAF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2033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9,702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17.24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JFE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JFE-SENDAI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EAF_RENEWABLE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2033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229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0.28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JFE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JFE-CHIBA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H2_DRI_EAF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2036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5,940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10.44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Kobe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KOB-BF1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H2_DRI_EAF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2029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3,118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6.58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Kobe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KOB-TAKA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EAF_RENEWABLE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2033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40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0.04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Kobe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KOB-BF3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SCRAP_EAF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2037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1,879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5"/>
              </w:rPr>
              <w:t>5.77</w:t>
            </w:r>
          </w:p>
        </w:tc>
      </w:tr>
    </w:tbl>
    <w:p>
      <w:pPr>
        <w:spacing w:before="80" w:after="80"/>
      </w:pPr>
      <w:r>
        <w:rPr>
          <w:rFonts w:ascii="Nanum Gothic" w:hAnsi="Nanum Gothic" w:eastAsia="Nanum Gothic" w:cs="Nanum Gothic" w:hint="eastAsia"/>
          <w:i/>
          <w:color w:val="64748B"/>
          <w:sz w:val="17"/>
          <w:lang w:val="ko-KR" w:eastAsia="ko-KR"/>
        </w:rPr>
        <w:t>CAPEX: bn KRW, 연간 감축: MtCO₂/년. DISCLOSED_PATH의 고정 물리 포트폴리오를 내부 스트레스에도 그대로 평가.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Nanum Gothic" w:hAnsi="Nanum Gothic" w:eastAsia="Nanum Gothic" w:cs="Nanum Gothic" w:hint="eastAsia"/>
                <w:b/>
                <w:color w:val="1F4D78"/>
                <w:sz w:val="24"/>
                <w:lang w:val="ko-KR" w:eastAsia="ko-KR"/>
              </w:rPr>
              <w:t>실행 순서의 의미</w:t>
            </w:r>
          </w:p>
          <w:p>
            <w:pPr>
              <w:spacing w:after="0"/>
            </w:pPr>
            <w:r>
              <w:rPr>
                <w:rFonts w:ascii="Nanum Gothic" w:hAnsi="Nanum Gothic" w:eastAsia="Nanum Gothic" w:cs="Nanum Gothic" w:hint="eastAsia"/>
                <w:color w:val="1F4D78"/>
                <w:sz w:val="21"/>
                <w:lang w:val="ko-KR" w:eastAsia="ko-KR"/>
              </w:rPr>
              <w:t>기술·연도 조합은 스크랩, 수소, 증분계통, 동시공사, 기술실패 제약을 모두 통과해야 추천에 남는다. 실제 FEED·접속승인·공급계약이 들어오면 해당 시설 행을 교체하고 후보를 다시 생성해야 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5. 전체 비용·배출·자원 여력</w:t>
      </w:r>
    </w:p>
    <w:p>
      <w:pPr>
        <w:pStyle w:val="Heading2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실제 현금과 경제적 가치의 분리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650"/>
        <w:gridCol w:w="1300"/>
        <w:gridCol w:w="1900"/>
        <w:gridCol w:w="1700"/>
        <w:gridCol w:w="1400"/>
        <w:gridCol w:w="1410"/>
      </w:tblGrid>
      <w:tr>
        <w:trPr>
          <w:tblHeader w:val="true"/>
        </w:trPr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6"/>
                <w:lang w:val="ko-KR" w:eastAsia="ko-KR"/>
              </w:rPr>
              <w:t>회사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b/>
                <w:color w:val="1F2937"/>
                <w:sz w:val="16"/>
              </w:rPr>
              <w:t>CAPEX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6"/>
                <w:lang w:val="ko-KR" w:eastAsia="ko-KR"/>
              </w:rPr>
              <w:t>지원후 현금 P50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6"/>
                <w:lang w:val="ko-KR" w:eastAsia="ko-KR"/>
              </w:rPr>
              <w:t>탄소회피가치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6"/>
                <w:lang w:val="ko-KR" w:eastAsia="ko-KR"/>
              </w:rPr>
              <w:t>정책지원</w:t>
            </w:r>
          </w:p>
        </w:tc>
        <w:tc>
          <w:tcPr>
            <w:tcW w:type="dxa" w:w="14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6"/>
                <w:lang w:val="ko-KR" w:eastAsia="ko-KR"/>
              </w:rPr>
              <w:t>경제 NPV P50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POSCO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27,588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42,741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15,556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3,877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27,185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Nippon Steel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29,348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53,072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15,921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5,718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37,151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JFE Steel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20,429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52,723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11,501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5,467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41,222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Kobe Steel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5,037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18,629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3,576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1,800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15,053</w:t>
            </w:r>
          </w:p>
        </w:tc>
      </w:tr>
    </w:tbl>
    <w:p>
      <w:pPr>
        <w:spacing w:before="80" w:after="80"/>
      </w:pPr>
      <w:r>
        <w:rPr>
          <w:rFonts w:ascii="Nanum Gothic" w:hAnsi="Nanum Gothic" w:eastAsia="Nanum Gothic" w:cs="Nanum Gothic" w:hint="eastAsia"/>
          <w:i/>
          <w:color w:val="64748B"/>
          <w:sz w:val="17"/>
          <w:lang w:val="ko-KR" w:eastAsia="ko-KR"/>
        </w:rPr>
        <w:t>bn KRW, DISCLOSED_PATH, 3-seed 평균. 정책지원은 현금 P50에 이미 반영; 경제 NPV = 지원후 현금비용 − 탄소회피가치.</w:t>
      </w:r>
    </w:p>
    <w:p>
      <w:pPr>
        <w:pStyle w:val="Heading2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배출 성과와 자원 최대 이용률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00"/>
        <w:gridCol w:w="1350"/>
        <w:gridCol w:w="1750"/>
        <w:gridCol w:w="1450"/>
        <w:gridCol w:w="1450"/>
        <w:gridCol w:w="16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7"/>
                <w:lang w:val="ko-KR" w:eastAsia="ko-KR"/>
              </w:rPr>
              <w:t>회사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7"/>
                <w:lang w:val="ko-KR" w:eastAsia="ko-KR"/>
              </w:rPr>
              <w:t>연간 감축</w:t>
            </w:r>
          </w:p>
        </w:tc>
        <w:tc>
          <w:tcPr>
            <w:tcW w:type="dxa" w:w="1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7"/>
                <w:lang w:val="ko-KR" w:eastAsia="ko-KR"/>
              </w:rPr>
              <w:t>공통 누적분모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7"/>
                <w:lang w:val="ko-KR" w:eastAsia="ko-KR"/>
              </w:rPr>
              <w:t>스크랩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7"/>
                <w:lang w:val="ko-KR" w:eastAsia="ko-KR"/>
              </w:rPr>
              <w:t>수소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7"/>
                <w:lang w:val="ko-KR" w:eastAsia="ko-KR"/>
              </w:rPr>
              <w:t>증분계통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POSCO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59.5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429.2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90.0%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49.8%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89.8%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Nippon Steel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60.4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454.8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95.8%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33.8%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88.2%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JFE Steel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39.3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328.2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84.4%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56.8%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99.5%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Kobe Steel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12.4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102.4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71.6%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72.1%</w:t>
            </w:r>
          </w:p>
        </w:tc>
        <w:tc>
          <w:tcPr>
            <w:tcW w:type="dxa" w:w="1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7"/>
              </w:rPr>
              <w:t>78.6%</w:t>
            </w:r>
          </w:p>
        </w:tc>
      </w:tr>
    </w:tbl>
    <w:p>
      <w:pPr>
        <w:spacing w:before="80" w:after="80"/>
      </w:pPr>
      <w:r>
        <w:rPr>
          <w:rFonts w:ascii="Nanum Gothic" w:hAnsi="Nanum Gothic" w:eastAsia="Nanum Gothic" w:cs="Nanum Gothic" w:hint="eastAsia"/>
          <w:i/>
          <w:color w:val="64748B"/>
          <w:sz w:val="17"/>
          <w:lang w:val="ko-KR" w:eastAsia="ko-KR"/>
        </w:rPr>
        <w:t>배출: MtCO₂, 이용률: 모델 공급한도 대비 두 활성 시나리오·전 기간 최댓값. 회사 공급한도는 model_estimate이며 국가 벤치마크로 대체하지 않는다.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</w:tcPr>
          <w:p>
            <w:pPr>
              <w:spacing w:after="60"/>
            </w:pPr>
            <w:r>
              <w:rPr>
                <w:rFonts w:ascii="Nanum Gothic" w:hAnsi="Nanum Gothic" w:eastAsia="Nanum Gothic" w:cs="Nanum Gothic" w:hint="eastAsia"/>
                <w:b/>
                <w:color w:val="92400E"/>
                <w:sz w:val="24"/>
                <w:lang w:val="ko-KR" w:eastAsia="ko-KR"/>
              </w:rPr>
              <w:t>현재 가장 가까운 병목</w:t>
            </w:r>
          </w:p>
          <w:p>
            <w:pPr>
              <w:spacing w:after="0"/>
            </w:pPr>
            <w:r>
              <w:rPr>
                <w:rFonts w:ascii="Nanum Gothic" w:hAnsi="Nanum Gothic" w:eastAsia="Nanum Gothic" w:cs="Nanum Gothic" w:hint="eastAsia"/>
                <w:color w:val="92400E"/>
                <w:sz w:val="21"/>
                <w:lang w:val="ko-KR" w:eastAsia="ko-KR"/>
              </w:rPr>
              <w:t>JFE 증분계통 99.5%, Nippon Steel 스크랩 95.8%, POSCO 스크랩 90.0%가 모델 한도에 가장 가깝다. 추천 순위보다 먼저 접속 가능용량·고급 스크랩 계약·수소 인도조건을 확인해야 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6. 왜 위험이 움직이는가 — 정확한 Shapley 분해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545901"/>
            <wp:docPr id="2" name="Picture 2" title="전환비용 분산의 정확한 Shapley 배분" descr="전력, 수소입력, CAPEX가 비용 분산에 기여하는 비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ley_ri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590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00"/>
        <w:gridCol w:w="1600"/>
        <w:gridCol w:w="1600"/>
        <w:gridCol w:w="1600"/>
        <w:gridCol w:w="2560"/>
      </w:tblGrid>
      <w:tr>
        <w:trPr>
          <w:tblHeader w:val="true"/>
        </w:trPr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회사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전력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수소입력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b/>
                <w:color w:val="1F2937"/>
                <w:sz w:val="18"/>
              </w:rPr>
              <w:t>CAPEX</w:t>
            </w:r>
          </w:p>
        </w:tc>
        <w:tc>
          <w:tcPr>
            <w:tcW w:type="dxa" w:w="2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재조정 오차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POSCO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85.3%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4.7%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10.1%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0.0e+00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Nippon Steel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91.1%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2.9%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6.0%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0.0e+00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JFE Steel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92.5%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3.6%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4.0%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0.0e+00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Kobe Steel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92.6%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4.3%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3.1%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0.0e+00</w:t>
            </w:r>
          </w:p>
        </w:tc>
      </w:tr>
    </w:tbl>
    <w:p>
      <w:pPr>
        <w:spacing w:before="80" w:after="80"/>
      </w:pPr>
      <w:r>
        <w:rPr>
          <w:rFonts w:ascii="Nanum Gothic" w:hAnsi="Nanum Gothic" w:eastAsia="Nanum Gothic" w:cs="Nanum Gothic" w:hint="eastAsia"/>
          <w:i/>
          <w:color w:val="64748B"/>
          <w:sz w:val="17"/>
          <w:lang w:val="ko-KR" w:eastAsia="ko-KR"/>
        </w:rPr>
        <w:t>DISCLOSED_PATH. 세 요인의 8개 부분집합을 공통난수로 모두 재평가한 variance-game Shapley.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Nanum Gothic" w:hAnsi="Nanum Gothic" w:eastAsia="Nanum Gothic" w:cs="Nanum Gothic" w:hint="eastAsia"/>
                <w:b/>
                <w:color w:val="1F4D78"/>
                <w:sz w:val="24"/>
                <w:lang w:val="ko-KR" w:eastAsia="ko-KR"/>
              </w:rPr>
              <w:t>비용 구성비가 아니다</w:t>
            </w:r>
          </w:p>
          <w:p>
            <w:pPr>
              <w:spacing w:after="0"/>
            </w:pPr>
            <w:r>
              <w:rPr>
                <w:rFonts w:ascii="Nanum Gothic" w:hAnsi="Nanum Gothic" w:eastAsia="Nanum Gothic" w:cs="Nanum Gothic" w:hint="eastAsia"/>
                <w:color w:val="1F4D78"/>
                <w:sz w:val="21"/>
                <w:lang w:val="ko-KR" w:eastAsia="ko-KR"/>
              </w:rPr>
              <w:t>전력 85~93%는 총비용의 85~93%가 전력이라는 뜻이 아니라 비용 ‘분산’의 배분이다. 수소 제조의 전력가격 노출은 전력 요인에 포함되고, 수소입력은 비전력 전해조 성분만 변동한다. 재조정 오차는 표시 정밀도에서 0이다.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7. 공식 국가 자원 벤치마크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</w:tcPr>
          <w:p>
            <w:pPr>
              <w:spacing w:after="60"/>
            </w:pPr>
            <w:r>
              <w:rPr>
                <w:rFonts w:ascii="Nanum Gothic" w:hAnsi="Nanum Gothic" w:eastAsia="Nanum Gothic" w:cs="Nanum Gothic" w:hint="eastAsia"/>
                <w:b/>
                <w:color w:val="92400E"/>
                <w:sz w:val="24"/>
                <w:lang w:val="ko-KR" w:eastAsia="ko-KR"/>
              </w:rPr>
              <w:t>국가 맥락 ≠ 회사 공급한도</w:t>
            </w:r>
          </w:p>
          <w:p>
            <w:pPr>
              <w:spacing w:after="0"/>
            </w:pPr>
            <w:r>
              <w:rPr>
                <w:rFonts w:ascii="Nanum Gothic" w:hAnsi="Nanum Gothic" w:eastAsia="Nanum Gothic" w:cs="Nanum Gothic" w:hint="eastAsia"/>
                <w:color w:val="92400E"/>
                <w:sz w:val="21"/>
                <w:lang w:val="ko-KR" w:eastAsia="ko-KR"/>
              </w:rPr>
              <w:t>아래 공식값은 단위와 범위가 서로 다르며 회사에 배정된 물량이 아니다. 모델 제약을 덮어쓰지 않고, 수소·계통·스크랩 가정이 국가 규모와 모순되지 않는지 보는 별도 감사층이다.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00"/>
        <w:gridCol w:w="1100"/>
        <w:gridCol w:w="850"/>
        <w:gridCol w:w="1250"/>
        <w:gridCol w:w="1600"/>
        <w:gridCol w:w="3860"/>
      </w:tblGrid>
      <w:tr>
        <w:trPr>
          <w:tblHeader w:val="true"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4"/>
                <w:lang w:val="ko-KR" w:eastAsia="ko-KR"/>
              </w:rPr>
              <w:t>국가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4"/>
                <w:lang w:val="ko-KR" w:eastAsia="ko-KR"/>
              </w:rPr>
              <w:t>자원</w:t>
            </w:r>
          </w:p>
        </w:tc>
        <w:tc>
          <w:tcPr>
            <w:tcW w:type="dxa" w:w="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4"/>
                <w:lang w:val="ko-KR" w:eastAsia="ko-KR"/>
              </w:rPr>
              <w:t>연도</w:t>
            </w:r>
          </w:p>
        </w:tc>
        <w:tc>
          <w:tcPr>
            <w:tcW w:type="dxa" w:w="12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4"/>
                <w:lang w:val="ko-KR" w:eastAsia="ko-KR"/>
              </w:rPr>
              <w:t>공식 값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4"/>
                <w:lang w:val="ko-KR" w:eastAsia="ko-KR"/>
              </w:rPr>
              <w:t>단위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4"/>
                <w:lang w:val="ko-KR" w:eastAsia="ko-KR"/>
              </w:rPr>
              <w:t>1차 출처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KR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hydrogen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2030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1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MtH2/year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Presidential Commission on Carbon Neutrality and Green Growth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KR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grid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2038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129.3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GW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MOTIR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KR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grid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2038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10.3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GW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MOTIR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KR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scrap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2023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4"/>
                <w:lang w:val="ko-KR" w:eastAsia="ko-KR"/>
              </w:rPr>
              <w:t>정성 정책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qualitative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2050 Carbon Neutrality and Green Growth Commission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JP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hydrogen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2030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3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MtH2-eq/year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METI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JP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hydrogen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2040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12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MtH2-eq/year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METI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JP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hydrogen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2050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20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MtH2-eq/year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METI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JP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grid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2032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30,163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MVA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OCCTO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JP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grid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2032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1,200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MW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OCCTO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JP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scrap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2022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43.16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Mt/year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Ministry of the Environment Japan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JP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scrap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2030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2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Mt/year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Ministry of the Environment Japan</w:t>
            </w:r>
          </w:p>
        </w:tc>
      </w:tr>
    </w:tbl>
    <w:p>
      <w:pPr>
        <w:spacing w:before="80" w:after="80"/>
      </w:pPr>
      <w:r>
        <w:rPr>
          <w:rFonts w:ascii="Nanum Gothic" w:hAnsi="Nanum Gothic" w:eastAsia="Nanum Gothic" w:cs="Nanum Gothic" w:hint="eastAsia"/>
          <w:i/>
          <w:color w:val="64748B"/>
          <w:sz w:val="17"/>
          <w:lang w:val="ko-KR" w:eastAsia="ko-KR"/>
        </w:rPr>
        <w:t>11개 레코드, 추출일 2026-08-07. 범위·버전·직접 URL·비교가능성은 data/resource_benchmarks.csv와 Excel에 보존.</w:t>
      </w:r>
    </w:p>
    <w:p>
      <w:pPr>
        <w:pStyle w:val="Heading2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판단에 쓰는 방식</w:t>
      </w:r>
    </w:p>
    <w:p>
      <w:pPr>
        <w:pStyle w:val="ListBullet"/>
      </w:pPr>
      <w:r>
        <w:rPr>
          <w:rFonts w:ascii="Nanum Gothic" w:hAnsi="Nanum Gothic" w:eastAsia="Nanum Gothic" w:cs="Nanum Gothic" w:hint="eastAsia"/>
          <w:color w:val="1F2937"/>
          <w:sz w:val="22"/>
          <w:lang w:val="ko-KR" w:eastAsia="ko-KR"/>
        </w:rPr>
        <w:t>수소: KR 2030 국내 청정수소 1 Mt/년, JP 2030·2040·2050 수소환산 3·12·20 Mt/년은 국가 전체 목표다.</w:t>
      </w:r>
    </w:p>
    <w:p>
      <w:pPr>
        <w:pStyle w:val="ListBullet"/>
      </w:pPr>
      <w:r>
        <w:rPr>
          <w:rFonts w:ascii="Nanum Gothic" w:hAnsi="Nanum Gothic" w:eastAsia="Nanum Gothic" w:cs="Nanum Gothic" w:hint="eastAsia"/>
          <w:color w:val="1F2937"/>
          <w:sz w:val="22"/>
          <w:lang w:val="ko-KR" w:eastAsia="ko-KR"/>
        </w:rPr>
        <w:t>계통: GW·MW·MVA는 전력량 TWh와 직접 비교하지 않는다. 사이트 접속용량과 계통보강 공기를 별도로 확보한다.</w:t>
      </w:r>
    </w:p>
    <w:p>
      <w:pPr>
        <w:pStyle w:val="ListBullet"/>
      </w:pPr>
      <w:r>
        <w:rPr>
          <w:rFonts w:ascii="Nanum Gothic" w:hAnsi="Nanum Gothic" w:eastAsia="Nanum Gothic" w:cs="Nanum Gothic" w:hint="eastAsia"/>
          <w:color w:val="1F2937"/>
          <w:sz w:val="22"/>
          <w:lang w:val="ko-KR" w:eastAsia="ko-KR"/>
        </w:rPr>
        <w:t>스크랩: JP 2022 발생량 43.16 Mt/년과 2030 고급화 2 Mt/년은 품질·지역·계약 가용성을 보장하지 않는다.</w:t>
      </w:r>
    </w:p>
    <w:p>
      <w:r>
        <w:br w:type="page"/>
      </w:r>
    </w:p>
    <w:p>
      <w:pPr>
        <w:pStyle w:val="Heading1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8. 공식 전환 프로젝트 증거층</w:t>
      </w:r>
    </w:p>
    <w:p>
      <w:r>
        <w:rPr>
          <w:rFonts w:ascii="Nanum Gothic" w:hAnsi="Nanum Gothic" w:eastAsia="Nanum Gothic" w:cs="Nanum Gothic" w:hint="eastAsia"/>
          <w:color w:val="1F2937"/>
          <w:sz w:val="22"/>
          <w:lang w:val="ko-KR" w:eastAsia="ko-KR"/>
        </w:rPr>
        <w:t>공식 발표에 있는 프로젝트 상태·용량·CAPEX·정부지원·가동시점과 모델 시설 매핑을 별도 원장으로 보존했다. 공시 프로젝트가 기존 설비를 대체하는지, 증설인지, 실증인지 확인되기 전에는 최적화 입력을 자동 변경하지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00"/>
        <w:gridCol w:w="2300"/>
        <w:gridCol w:w="1100"/>
        <w:gridCol w:w="650"/>
        <w:gridCol w:w="1350"/>
        <w:gridCol w:w="850"/>
        <w:gridCol w:w="1150"/>
        <w:gridCol w:w="1060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3"/>
                <w:lang w:val="ko-KR" w:eastAsia="ko-KR"/>
              </w:rPr>
              <w:t>회사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3"/>
                <w:lang w:val="ko-KR" w:eastAsia="ko-KR"/>
              </w:rPr>
              <w:t>공식 프로젝트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3"/>
                <w:lang w:val="ko-KR" w:eastAsia="ko-KR"/>
              </w:rPr>
              <w:t>상태</w:t>
            </w:r>
          </w:p>
        </w:tc>
        <w:tc>
          <w:tcPr>
            <w:tcW w:type="dxa" w:w="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b/>
                <w:color w:val="1F2937"/>
                <w:sz w:val="13"/>
              </w:rPr>
              <w:t>Mtpa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3"/>
                <w:lang w:val="ko-KR" w:eastAsia="ko-KR"/>
              </w:rPr>
              <w:t>공시 CAPEX</w:t>
            </w:r>
          </w:p>
        </w:tc>
        <w:tc>
          <w:tcPr>
            <w:tcW w:type="dxa" w:w="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3"/>
                <w:lang w:val="ko-KR" w:eastAsia="ko-KR"/>
              </w:rPr>
              <w:t>지원</w:t>
            </w:r>
          </w:p>
        </w:tc>
        <w:tc>
          <w:tcPr>
            <w:tcW w:type="dxa" w:w="11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3"/>
                <w:lang w:val="ko-KR" w:eastAsia="ko-KR"/>
              </w:rPr>
              <w:t>가동</w:t>
            </w:r>
          </w:p>
        </w:tc>
        <w:tc>
          <w:tcPr>
            <w:tcW w:type="dxa" w:w="1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3"/>
                <w:lang w:val="ko-KR" w:eastAsia="ko-KR"/>
              </w:rPr>
              <w:t>모델 매핑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POSCO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Gwangyang 2.5 Mt large-scale EAF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Operating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2.5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KRW 600.0bn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—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Production commenced June 2026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Unmapped new asset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POSCO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Pohang HyREX demonstration plant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Demo announced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0.3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—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Technology development targeted for completion by 2030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Unmapped demo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NIPPON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Yawata new large-scale EAF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FID approved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2.0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JPY 630.2bn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JPY 179.9bn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FY2029 second half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Site/timing anchor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NIPPON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Hirohata EAF expansion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FID approved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0.5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JPY 140.0bn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JPY 42.8bn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FY2029 second half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Site/timing anchor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NIPPON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Shunan EAF modification and restart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FID approved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0.4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JPY 98.5bn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JPY 28.7bn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FY2028 second half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Unmapped group asset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JFE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Kurashiki advanced high-efficiency large-scale EAF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FID approved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2.0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JPY 329.4bn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JPY 104.5bn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FY2028 first quarter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Site/timing anchor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KOBE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Kakogawa scrap melting furnace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Feasibility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0.7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JPY 100.0bn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—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Early 2030s indicative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Hybrid evidence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KOBE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Kakogawa No.3 BF refurbishment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Completed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3.9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JPY 20.0bn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—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Restarted December 2016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Historical anchor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KOBE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Kakogawa high-HBI BF demonstration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Demo completed</w:t>
            </w:r>
          </w:p>
        </w:tc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—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—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One-month demonstration in October 2020</w:t>
            </w:r>
          </w:p>
        </w:tc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3"/>
              </w:rPr>
              <w:t>Technology anchor</w:t>
            </w:r>
          </w:p>
        </w:tc>
      </w:tr>
    </w:tbl>
    <w:p>
      <w:pPr>
        <w:spacing w:before="80" w:after="80"/>
      </w:pPr>
      <w:r>
        <w:rPr>
          <w:rFonts w:ascii="Nanum Gothic" w:hAnsi="Nanum Gothic" w:eastAsia="Nanum Gothic" w:cs="Nanum Gothic" w:hint="eastAsia"/>
          <w:i/>
          <w:color w:val="64748B"/>
          <w:sz w:val="17"/>
          <w:lang w:val="ko-KR" w:eastAsia="ko-KR"/>
        </w:rPr>
        <w:t>9개 프로젝트, 7개 비용증거. 공란은 공시되지 않은 값이다. 원문 URL·버전·추출일·범위 메모는 transition_projects.csv와 Excel 감사본에 보존.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Nanum Gothic" w:hAnsi="Nanum Gothic" w:eastAsia="Nanum Gothic" w:cs="Nanum Gothic" w:hint="eastAsia"/>
                <w:b/>
                <w:color w:val="1F4D78"/>
                <w:sz w:val="24"/>
                <w:lang w:val="ko-KR" w:eastAsia="ko-KR"/>
              </w:rPr>
              <w:t>증거성숙도 40.6% — 정확도 점수가 아니다</w:t>
            </w:r>
          </w:p>
          <w:p>
            <w:pPr>
              <w:spacing w:after="0"/>
            </w:pPr>
            <w:r>
              <w:rPr>
                <w:rFonts w:ascii="Nanum Gothic" w:hAnsi="Nanum Gothic" w:eastAsia="Nanum Gothic" w:cs="Nanum Gothic" w:hint="eastAsia"/>
                <w:color w:val="1F4D78"/>
                <w:sz w:val="21"/>
                <w:lang w:val="ko-KR" w:eastAsia="ko-KR"/>
              </w:rPr>
              <w:t>공식 프로젝트 원장은 95%, 비용증거는 90% 수준이지만 시설·기술·회사 자원제약은 각각 20%다. 미해결 P0 8건을 닫기 전 절대 NPV와 시설 투자순서를 승인하지 않는다.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9. 일본 대형 전기로 CAPEX 공시 벤치마크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411906"/>
            <wp:docPr id="3" name="Picture 3" title="일본 대형 전기로 CAPEX 공시 벤치마크" descr="모델과 일본 공시 프로젝트 CAPEX 원단위 비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f_capex_bench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119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00"/>
        <w:gridCol w:w="3000"/>
        <w:gridCol w:w="1500"/>
        <w:gridCol w:w="1960"/>
      </w:tblGrid>
      <w:tr>
        <w:trPr>
          <w:tblHeader w:val="true"/>
        </w:trPr>
        <w:tc>
          <w:tcPr>
            <w:tcW w:type="dxa" w:w="2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비교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모델/공시 원단위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모델 비율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8"/>
                <w:lang w:val="ko-KR" w:eastAsia="ko-KR"/>
              </w:rPr>
              <w:t>필요 배수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JFE Kurashiki 2025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616 / 1,515 bn KRW/Mtpa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40.7%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2.46x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Nippon Steel 3 EAFs 2025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616 / 2,756 bn KRW/Mtpa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22.4%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8"/>
              </w:rPr>
              <w:t>4.47x</w:t>
            </w:r>
          </w:p>
        </w:tc>
      </w:tr>
    </w:tbl>
    <w:p>
      <w:pPr>
        <w:spacing w:before="80" w:after="80"/>
      </w:pPr>
      <w:r>
        <w:rPr>
          <w:rFonts w:ascii="Nanum Gothic" w:hAnsi="Nanum Gothic" w:eastAsia="Nanum Gothic" w:cs="Nanum Gothic" w:hint="eastAsia"/>
          <w:i/>
          <w:color w:val="64748B"/>
          <w:sz w:val="17"/>
          <w:lang w:val="ko-KR" w:eastAsia="ko-KR"/>
        </w:rPr>
        <w:t>JFE: 329.4bn JPY / 약 2.0Mtpa. Nippon Steel: 868.7bn JPY / 약 2.9Mtpa. 환율 9.2 KRW/JPY.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F3C7"/>
          </w:tcPr>
          <w:p>
            <w:pPr>
              <w:spacing w:after="60"/>
            </w:pPr>
            <w:r>
              <w:rPr>
                <w:rFonts w:ascii="Nanum Gothic" w:hAnsi="Nanum Gothic" w:eastAsia="Nanum Gothic" w:cs="Nanum Gothic" w:hint="eastAsia"/>
                <w:b/>
                <w:color w:val="92400E"/>
                <w:sz w:val="24"/>
                <w:lang w:val="ko-KR" w:eastAsia="ko-KR"/>
              </w:rPr>
              <w:t>CAPEX scope bridge가 필요하다</w:t>
            </w:r>
          </w:p>
          <w:p>
            <w:pPr>
              <w:spacing w:after="0"/>
            </w:pPr>
            <w:r>
              <w:rPr>
                <w:rFonts w:ascii="Nanum Gothic" w:hAnsi="Nanum Gothic" w:eastAsia="Nanum Gothic" w:cs="Nanum Gothic" w:hint="eastAsia"/>
                <w:color w:val="92400E"/>
                <w:sz w:val="21"/>
                <w:lang w:val="ko-KR" w:eastAsia="ko-KR"/>
              </w:rPr>
              <w:t>공시 프로젝트는 전기로 본체 외 계통·물류·부대설비를 포함할 수 있어 완전한 동등 비교는 아니다. 그러나 모델 원단위가 full-scope 공시의 22~41%인 차이는 추천 후보의 현금비용을 낮게 만들 수 있으므로 low/base/high와 범위 조정표가 필요하다.</w:t>
            </w:r>
          </w:p>
        </w:tc>
      </w:tr>
    </w:tbl>
    <w:p>
      <w:r>
        <w:rPr>
          <w:rFonts w:ascii="Nanum Gothic" w:hAnsi="Nanum Gothic" w:eastAsia="Nanum Gothic" w:cs="Nanum Gothic" w:hint="eastAsia"/>
          <w:color w:val="1F2937"/>
          <w:sz w:val="22"/>
          <w:lang w:val="ko-KR" w:eastAsia="ko-KR"/>
        </w:rPr>
        <w:t>추천안의 절대 NPV는 구조적으로 보존되지만 입력 CAPEX의 공정범위가 틀리면 절대값도 틀린다. 효율경계의 상대 위치와 투자 예산 승인을 분리해야 하는 이유다.</w:t>
      </w:r>
    </w:p>
    <w:p>
      <w:r>
        <w:br w:type="page"/>
      </w:r>
    </w:p>
    <w:p>
      <w:pPr>
        <w:pStyle w:val="Heading1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10. 남은 한계와 승인 게이트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100"/>
        <w:gridCol w:w="3050"/>
        <w:gridCol w:w="5210"/>
      </w:tblGrid>
      <w:tr>
        <w:trPr>
          <w:tblHeader w:val="true"/>
        </w:trPr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6"/>
                <w:lang w:val="ko-KR" w:eastAsia="ko-KR"/>
              </w:rPr>
              <w:t>등급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6"/>
                <w:lang w:val="ko-KR" w:eastAsia="ko-KR"/>
              </w:rPr>
              <w:t>남은 한계</w:t>
            </w:r>
          </w:p>
        </w:tc>
        <w:tc>
          <w:tcPr>
            <w:tcW w:type="dxa" w:w="52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6"/>
                <w:lang w:val="ko-KR" w:eastAsia="ko-KR"/>
              </w:rPr>
              <w:t>완료 기준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P0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공식 GCAM 1.5°C·2.0°C 비활성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공식 9.1 DB/JVM 실행, 경로별 10 query export, hash·단위·지역 검증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P0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회사 공급한도는 모델 추정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스크랩 계약, 수소 인도량, 사이트 계통접속 증빙으로 교체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P0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대형 EAF/H₂-DRI CAPEX 범위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공시 프로젝트 low/base/high 및 공정범위 bridge 승인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P1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17개 시설은 총량 배분 블록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실제 용량·기술·개수/폐쇄·정비연도와 신뢰등급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P1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환경·생산·재무 경계 차이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같은 법인·지역 경계의 EBITDA/CAPEX 또는 배부표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P1</w:t>
            </w:r>
          </w:p>
        </w:tc>
        <w:tc>
          <w:tcPr>
            <w:tcW w:type="dxa" w:w="3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위험분해가 3개 가격요인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공기지연·기술실패·생산량·FX까지 가치게임 확장</w:t>
            </w:r>
          </w:p>
        </w:tc>
      </w:tr>
    </w:tbl>
    <w:p>
      <w:pPr>
        <w:pStyle w:val="Heading2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승인 규칙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EE2E2"/>
          </w:tcPr>
          <w:p>
            <w:pPr>
              <w:spacing w:after="60"/>
            </w:pPr>
            <w:r>
              <w:rPr>
                <w:rFonts w:ascii="Nanum Gothic" w:hAnsi="Nanum Gothic" w:eastAsia="Nanum Gothic" w:cs="Nanum Gothic" w:hint="eastAsia"/>
                <w:b/>
                <w:color w:val="991B1B"/>
                <w:sz w:val="24"/>
                <w:lang w:val="ko-KR" w:eastAsia="ko-KR"/>
              </w:rPr>
              <w:t>현재 운영 상태: Exploratory / screening</w:t>
            </w:r>
          </w:p>
          <w:p>
            <w:pPr>
              <w:spacing w:after="0"/>
            </w:pPr>
            <w:r>
              <w:rPr>
                <w:rFonts w:ascii="Nanum Gothic" w:hAnsi="Nanum Gothic" w:eastAsia="Nanum Gothic" w:cs="Nanum Gothic" w:hint="eastAsia"/>
                <w:color w:val="991B1B"/>
                <w:sz w:val="21"/>
                <w:lang w:val="ko-KR" w:eastAsia="ko-KR"/>
              </w:rPr>
              <w:t>내부 데이터 갭 식별, 같은 회사 안의 후보·시설·계약 민감도, 추가 실사 우선순위에는 사용한다. 기업가치 평가, 회사 간 성과 순위, 투자위원회 승인에는 사용하지 않는다.</w:t>
            </w:r>
          </w:p>
        </w:tc>
      </w:tr>
    </w:tbl>
    <w:p>
      <w:pPr>
        <w:pStyle w:val="ListBullet"/>
      </w:pPr>
      <w:r>
        <w:rPr>
          <w:rFonts w:ascii="Nanum Gothic" w:hAnsi="Nanum Gothic" w:eastAsia="Nanum Gothic" w:cs="Nanum Gothic" w:hint="eastAsia"/>
          <w:color w:val="1F2937"/>
          <w:sz w:val="22"/>
          <w:lang w:val="ko-KR" w:eastAsia="ko-KR"/>
        </w:rPr>
        <w:t>G1 — 20/20 Excel↔CSV, 14/14 parity, 회귀테스트를 모든 입력 변경 때 유지</w:t>
      </w:r>
    </w:p>
    <w:p>
      <w:pPr>
        <w:pStyle w:val="ListBullet"/>
      </w:pPr>
      <w:r>
        <w:rPr>
          <w:rFonts w:ascii="Nanum Gothic" w:hAnsi="Nanum Gothic" w:eastAsia="Nanum Gothic" w:cs="Nanum Gothic" w:hint="eastAsia"/>
          <w:color w:val="1F2937"/>
          <w:sz w:val="22"/>
          <w:lang w:val="ko-KR" w:eastAsia="ko-KR"/>
        </w:rPr>
        <w:t>G2 — 공식 GCAM 이중 경계와 동일계획 연결선이 활성 상태로 표시</w:t>
      </w:r>
    </w:p>
    <w:p>
      <w:pPr>
        <w:pStyle w:val="ListBullet"/>
      </w:pPr>
      <w:r>
        <w:rPr>
          <w:rFonts w:ascii="Nanum Gothic" w:hAnsi="Nanum Gothic" w:eastAsia="Nanum Gothic" w:cs="Nanum Gothic" w:hint="eastAsia"/>
          <w:color w:val="1F2937"/>
          <w:sz w:val="22"/>
          <w:lang w:val="ko-KR" w:eastAsia="ko-KR"/>
        </w:rPr>
        <w:t>G3 — 회사별 자원 계약·계통접속·동시공사 증빙이 후보 제약에 반영</w:t>
      </w:r>
    </w:p>
    <w:p>
      <w:pPr>
        <w:pStyle w:val="ListBullet"/>
      </w:pPr>
      <w:r>
        <w:rPr>
          <w:rFonts w:ascii="Nanum Gothic" w:hAnsi="Nanum Gothic" w:eastAsia="Nanum Gothic" w:cs="Nanum Gothic" w:hint="eastAsia"/>
          <w:color w:val="1F2937"/>
          <w:sz w:val="22"/>
          <w:lang w:val="ko-KR" w:eastAsia="ko-KR"/>
        </w:rPr>
        <w:t>G4 — CAPEX scope bridge와 기업경계 배부표가 절대 NPV까지 승인</w:t>
      </w:r>
    </w:p>
    <w:p>
      <w:r>
        <w:br w:type="page"/>
      </w:r>
    </w:p>
    <w:p>
      <w:pPr>
        <w:pStyle w:val="Heading1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부록 A. 핵심 공식 출처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4"/>
                <w:lang w:val="ko-KR" w:eastAsia="ko-KR"/>
              </w:rPr>
              <w:t>출처</w:t>
            </w:r>
          </w:p>
        </w:tc>
        <w:tc>
          <w:tcPr>
            <w:tcW w:type="dxa" w:w="65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4"/>
                <w:lang w:val="ko-KR" w:eastAsia="ko-KR"/>
              </w:rPr>
              <w:t>직접 URL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4"/>
                <w:lang w:val="ko-KR" w:eastAsia="ko-KR"/>
              </w:rPr>
              <w:t>POSCO 환경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https://sustainability.posco.com/S91/S91F10/eng/cmspage.do?mmcd=2682093497003371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4"/>
                <w:lang w:val="ko-KR" w:eastAsia="ko-KR"/>
              </w:rPr>
              <w:t>POSCO 광양 EAF·HyREX 2026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https://newsroom.posco.com/en/posco-accelerates-transition-to-decarbonized-production-system-with-completion-of-koreas-largest-electric-arc-furnace/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Nippon Steel IR 2025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https://www.nipponsteel.com/en/ir/library/pdf/nsc_en_ir_2025_all.pdf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Nippon Steel EAF 2025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https://www.nipponsteel.com/en/newsroom/news/2025/__icsFiles/afieldfile/2025/09/26/20250530_200.pdf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JFE Group Report 2025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https://www.jfe-holdings.co.jp/en/common/pdf/investor/library/group-report/2025/all.pdf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JFE Kurashiki EAF 2025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https://www.jfe-steel.co.jp/en/release/2025/04/250410.html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Kobelco IR 2025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https://www.kobelco.co.jp/english/ir/integrated-reports/pdf/integrated-reports2025_e.pdf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Kobelco Kakogawa melter 2026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https://www.kobelco.co.jp/releases/2026/1218906_18738.html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KR Hydrogen Policy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https://www.pcccr.go.kr/base/board/read?boardManagementNo=10&amp;boardNo=124&amp;menuLevel=2&amp;menuNo=18&amp;page=2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KR Electricity Plan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https://www.motir.go.kr/kor/article/ATCL3f49a5a8c/170183/view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Japan Hydrogen Strategy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https://www.meti.go.jp/policy/energy_environment/global_warming/transition/jcr_climate_transition_bond_framework_spo_eng.pdf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Japan OCCTO 2023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https://www.occto.or.jp/assets/en/information_disclosure/annual_report/files/2023_annualreport_240131.pdf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Japan scrap study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https://www.env.go.jp/content/000315009.pdf</w:t>
            </w:r>
          </w:p>
        </w:tc>
      </w:tr>
    </w:tbl>
    <w:p>
      <w:pPr>
        <w:spacing w:before="80" w:after="80"/>
      </w:pPr>
      <w:r>
        <w:rPr>
          <w:rFonts w:ascii="Nanum Gothic" w:hAnsi="Nanum Gothic" w:eastAsia="Nanum Gothic" w:cs="Nanum Gothic" w:hint="eastAsia"/>
          <w:i/>
          <w:color w:val="64748B"/>
          <w:sz w:val="17"/>
          <w:lang w:val="ko-KR" w:eastAsia="ko-KR"/>
        </w:rPr>
        <w:t>확인·추출일: 2026-08-08. 값·단위·지역경계·버전·비교가능성은 원천 CSV와 Excel Sources/ResourceBenchmarks/TransitionProjects 시트를 참조.</w:t>
      </w:r>
    </w:p>
    <w:p>
      <w:pPr>
        <w:pStyle w:val="Heading1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부록 B. 재현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6"/>
                <w:lang w:val="ko-KR" w:eastAsia="ko-KR"/>
              </w:rPr>
              <w:t>산출물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6"/>
                <w:lang w:val="ko-KR" w:eastAsia="ko-KR"/>
              </w:rPr>
              <w:t>경로 / 역할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Excel 감사본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outputs/data_audit/Capital_Allocation_Baseline_Audit.xlsx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재생성 CSV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outputs/data_audit/csv_export/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왕복·모델 감사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outputs/data_audit/roundtrip_audit.json / model_parity_audit.json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정밀 결과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outputs/repeat_refined_candidate_*.csv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시설·자원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outputs/refined_candidate_facility_schedule.csv / resource_profile.csv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의사결정 화면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outputs/dashboard.html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데이터 심도 감사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outputs/data_depth_assessment.csv / 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6"/>
                <w:lang w:val="ko-KR" w:eastAsia="ko-KR"/>
              </w:rPr>
              <w:t>자동 실행 기록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6"/>
              </w:rPr>
              <w:t>outputs/automation_progress.md</w:t>
            </w:r>
          </w:p>
        </w:tc>
      </w:tr>
    </w:tbl>
    <w:p>
      <w:pPr>
        <w:pStyle w:val="Heading1"/>
      </w:pPr>
      <w:r>
        <w:rPr>
          <w:rFonts w:ascii="Nanum Gothic" w:hAnsi="Nanum Gothic" w:eastAsia="Nanum Gothic" w:cs="Nanum Gothic" w:hint="eastAsia"/>
          <w:b/>
          <w:color w:val="2E74B5"/>
          <w:lang w:val="ko-KR" w:eastAsia="ko-KR"/>
        </w:rPr>
        <w:t>부록 C. 데이터 상태를 읽는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4"/>
                <w:lang w:val="ko-KR" w:eastAsia="ko-KR"/>
              </w:rPr>
              <w:t>상태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b/>
                <w:color w:val="1F2937"/>
                <w:sz w:val="14"/>
                <w:lang w:val="ko-KR" w:eastAsia="ko-KR"/>
              </w:rPr>
              <w:t>의미 / 모델 사용 규칙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official_project_disclosure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4"/>
                <w:lang w:val="ko-KR" w:eastAsia="ko-KR"/>
              </w:rPr>
              <w:t>기업·정부 1차 발표에서 직접 확인한 프로젝트 사실; 범위·시설 매핑 검증 전 최적화 입력을 자동 변경하지 않음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official_derived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4"/>
                <w:lang w:val="ko-KR" w:eastAsia="ko-KR"/>
              </w:rPr>
              <w:t>공식 수치에 명시 환율·용량 분모를 적용한 계산값; 원식과 원문 URL을 함께 보존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model_estimate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4"/>
                <w:lang w:val="ko-KR" w:eastAsia="ko-KR"/>
              </w:rPr>
              <w:t>공식값이 아닌 모델 가정; 민감도·스크리닝에는 사용하되 투자승인 근거로 사용 금지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pending_official_extract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4"/>
                <w:lang w:val="ko-KR" w:eastAsia="ko-KR"/>
              </w:rPr>
              <w:t>공식 실행·query export가 완료되지 않은 빈 슬롯; 시나리오 활성화 차단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 w:eastAsia="Calibri" w:cs="Calibri"/>
                <w:color w:val="1F2937"/>
                <w:sz w:val="14"/>
              </w:rPr>
              <w:t>open_gap / partially_evidenced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Nanum Gothic" w:hAnsi="Nanum Gothic" w:eastAsia="Nanum Gothic" w:cs="Nanum Gothic" w:hint="eastAsia"/>
                <w:color w:val="1F2937"/>
                <w:sz w:val="14"/>
                <w:lang w:val="ko-KR" w:eastAsia="ko-KR"/>
              </w:rPr>
              <w:t>필수 증거 미확보 또는 일부 증거만 확보; data_gap_registry.csv의 다음 출처와 model_action을 따름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60"/>
            </w:pPr>
            <w:r>
              <w:rPr>
                <w:rFonts w:ascii="Nanum Gothic" w:hAnsi="Nanum Gothic" w:eastAsia="Nanum Gothic" w:cs="Nanum Gothic" w:hint="eastAsia"/>
                <w:b/>
                <w:color w:val="1F4D78"/>
                <w:sz w:val="24"/>
                <w:lang w:val="ko-KR" w:eastAsia="ko-KR"/>
              </w:rPr>
              <w:t>프로젝트 공시와 모델 입력을 분리한 이유</w:t>
            </w:r>
          </w:p>
          <w:p>
            <w:pPr>
              <w:spacing w:after="0"/>
            </w:pPr>
            <w:r>
              <w:rPr>
                <w:rFonts w:ascii="Nanum Gothic" w:hAnsi="Nanum Gothic" w:eastAsia="Nanum Gothic" w:cs="Nanum Gothic" w:hint="eastAsia"/>
                <w:color w:val="1F4D78"/>
                <w:sz w:val="21"/>
                <w:lang w:val="ko-KR" w:eastAsia="ko-KR"/>
              </w:rPr>
              <w:t>공식 프로젝트가 기존 설비 대체·증설·실증 중 무엇인지 확정되지 않으면 CAPEX와 감축량을 현재 시설블록에 더하는 순간 이중계상될 수 있다. 그래서 먼저 증거원장을 만들고, scope bridge와 asset mapping을 통과한 행만 다음 버전에서 입력으로 승격한다.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ns1="http://schemas.openxmlformats.org/markup-compatibility/2006" xmlns:r="http://schemas.openxmlformats.org/officeDocument/2006/relationships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anum Gothic">
    <w:embedRegular r:id="rIdNanumGothic" w:fontKey="{D4824B74-171B-461E-A742-9F32E3665711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color w:val="64748B"/>
        <w:sz w:val="17"/>
      </w:rPr>
      <w:t xml:space="preserve">Internal working model  |  </w:t>
    </w:r>
    <w:r>
      <w:rPr>
        <w:rFonts w:ascii="Calibri" w:hAnsi="Calibri" w:eastAsia="Calibri" w:cs="Calibri"/>
        <w:color w:val="64748B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 w:cs="Calibri"/>
        <w:b/>
        <w:color w:val="64748B"/>
        <w:sz w:val="17"/>
      </w:rPr>
      <w:t>CAPITAL ALLOCATION MODEL VALIDATION</w:t>
    </w:r>
    <w:r>
      <w:rPr>
        <w:rFonts w:ascii="Calibri" w:hAnsi="Calibri" w:eastAsia="Calibri" w:cs="Calibri"/>
        <w:color w:val="64748B"/>
        <w:sz w:val="17"/>
      </w:rPr>
      <w:tab/>
      <w:t>POSCO + JAPAN STEEL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Apple SD Gothic Neo" w:cs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pple SD Gothic Neo" w:cs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pple SD Gothic Neo" w:cs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pple SD Gothic Neo" w:cs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fontTable.xml.rels><?xml version='1.0' encoding='utf-8'?>
<Relationships xmlns="http://schemas.openxmlformats.org/package/2006/relationships"><Relationship Id="rIdNanumGothic" Type="http://schemas.openxmlformats.org/officeDocument/2006/relationships/font" Target="fonts/NanumGothic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Capital Allocation Reasonableness Report v0.8.0</dc:title>
  <dc:subject>POSCO and Japanese steelmakers robust capital-allocation validation</dc:subject>
  <dc:creator>Codex</dc:creator>
  <cp:keywords>POSCO, Nippon Steel, JFE, Kobe Steel, GCAM, robust frontier, Shapley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