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Aptos" w:hAnsi="Aptos" w:eastAsia="Apple SD Gothic Neo"/>
          <w:b/>
          <w:color w:val="2F6B9A"/>
          <w:sz w:val="36"/>
        </w:rPr>
        <w:t>CAP-KJ</w:t>
      </w:r>
    </w:p>
    <w:p>
      <w:pPr>
        <w:pStyle w:val="Title"/>
        <w:jc w:val="center"/>
      </w:pPr>
      <w:r>
        <w:rPr>
          <w:rFonts w:ascii="Aptos" w:hAnsi="Aptos" w:eastAsia="Apple SD Gothic Neo"/>
          <w:b/>
          <w:color w:val="17324D"/>
          <w:sz w:val="56"/>
        </w:rPr>
        <w:t>에너지 가격 불확실성과</w:t>
        <w:br/>
        <w:t>자본배분 경로</w:t>
      </w:r>
    </w:p>
    <w:p>
      <w:pPr>
        <w:pStyle w:val="Subtitle"/>
        <w:jc w:val="center"/>
      </w:pPr>
      <w:r>
        <w:rPr>
          <w:rFonts w:ascii="Aptos" w:hAnsi="Aptos" w:eastAsia="Apple SD Gothic Neo"/>
          <w:color w:val="2F6B9A"/>
          <w:sz w:val="30"/>
        </w:rPr>
        <w:t>논리·구조 검토 요청서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3F1"/>
            <w:tcBorders>
              <w:left w:val="single" w:sz="14" w:color="2E7D7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ple SD Gothic Neo"/>
                <w:b/>
                <w:color w:val="2E7D78"/>
              </w:rPr>
              <w:t>필요한 기술과 자본을 알고 있어도 전력·수소 가격 불확실성이 FID를 지연시키고, 그 결과 자본배분과 배출경로가 달라질 수 있는가?</w:t>
            </w:r>
          </w:p>
        </w:tc>
      </w:tr>
    </w:tbl>
    <w:p>
      <w:pPr>
        <w:spacing w:after="0"/>
      </w:pPr>
    </w:p>
    <w:p>
      <w:pPr>
        <w:spacing w:before="1560"/>
        <w:jc w:val="center"/>
      </w:pPr>
      <w:r>
        <w:rPr>
          <w:rFonts w:ascii="Aptos" w:hAnsi="Aptos" w:eastAsia="Apple SD Gothic Neo"/>
          <w:b/>
          <w:color w:val="17324D"/>
          <w:sz w:val="22"/>
        </w:rPr>
        <w:t>팀 검토용 초안</w:t>
        <w:br/>
      </w:r>
      <w:r>
        <w:rPr>
          <w:rFonts w:ascii="Aptos" w:hAnsi="Aptos" w:eastAsia="Apple SD Gothic Neo"/>
          <w:b w:val="0"/>
          <w:color w:val="38434F"/>
          <w:sz w:val="20"/>
        </w:rPr>
        <w:t>2026년 8월 5일</w:t>
        <w:br/>
      </w:r>
      <w:r>
        <w:rPr>
          <w:rFonts w:ascii="Aptos" w:hAnsi="Aptos" w:eastAsia="Apple SD Gothic Neo"/>
          <w:b w:val="0"/>
          <w:color w:val="38434F"/>
          <w:sz w:val="18"/>
        </w:rPr>
        <w:t>분석단위: 시설  |  보고단위: 기업</w:t>
        <w:br/>
      </w:r>
    </w:p>
    <w:p>
      <w:r>
        <w:br w:type="page"/>
      </w:r>
    </w:p>
    <w:p>
      <w:pPr>
        <w:pStyle w:val="Heading1"/>
      </w:pPr>
      <w:r>
        <w:t>검토 요약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Borders>
              <w:left w:val="single" w:sz="14" w:color="17324D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ple SD Gothic Neo"/>
                <w:b/>
                <w:color w:val="17324D"/>
              </w:rPr>
              <w:t>연구의 본질은 기술경로를 찾는 것이 아니라, 이미 알고 있는 시설별 전환투자가 에너지가격 불확실성 때문에 제때 집행되지 못할 위험을 측정하는 것이다.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187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87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현재 정리된 원칙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물리 경로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시설별 필요 기술·용량·도입시점을 전제로 기업 배출경로를 구성한다.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필요 자본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시설·기술·시점별 CAPEX를 합산하여 기업 G-CAP을 계산한다.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자본격차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필요 G-CAP과 실제 committed/FID/집행 CAPEX의 차이로 정의한다.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핵심 위험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전력·수소 가격 불확실성이 현금흐름을 흔들어 FID를 지연시키는 위험이다.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배출 결과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정시 도입경로와 불확실성 지연경로의 누적 차이를 Delay Emissions로 측정한다.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투자자 해석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Capital-at-Delay, FID Delay, Delay Emissions와 premium-relevant exposure를 제시한다.</w:t>
            </w:r>
          </w:p>
        </w:tc>
      </w:tr>
    </w:tbl>
    <w:p>
      <w:pPr>
        <w:spacing w:after="0"/>
      </w:pPr>
    </w:p>
    <w:p>
      <w:pPr>
        <w:pStyle w:val="Heading2"/>
      </w:pPr>
      <w:r>
        <w:t>팀 검토가 필요한 핵심 쟁점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G-CAP을 시설·기술·시점에 완전히 배분하는 방식이 타당한가?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동일 기대가격 조건에서 가격 수준 효과와 불확실성 효과가 제대로 분리되는가?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대규모 저탄소 설비투자에 실물옵션의 기다림 논리를 적용하는 것이 타당한가?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위험노출 beta와 시장의 위험가격 lambda를 구분한 프리미엄 구조가 투자자에게 유용한가?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현재 프로젝트와 후속 가격·현금흐름·계약 프로젝트의 경계가 적절한가?</w:t>
      </w:r>
    </w:p>
    <w:p>
      <w:r>
        <w:br w:type="page"/>
      </w:r>
    </w:p>
    <w:p>
      <w:pPr>
        <w:pStyle w:val="Heading1"/>
      </w:pPr>
      <w:r>
        <w:t>1. 연구 목적과 고정 전제</w:t>
      </w:r>
    </w:p>
    <w:p>
      <w:pPr>
        <w:spacing w:after="120"/>
      </w:pPr>
      <w:r>
        <w:rPr>
          <w:rFonts w:ascii="Aptos" w:hAnsi="Aptos" w:eastAsia="Apple SD Gothic Neo"/>
        </w:rPr>
        <w:t>CAP-KJ는 부문 Net Zero 경로를 시설별 전환일정과 기술투자로 번역한 뒤, 이를 기업 수준의 capital allocation pathway로 집계한다. 핵심 연구질문은 필요한 자본 규모뿐 아니라 전력·수소 가격 불확실성이 투자시점과 배출경로에 미치는 영향이다.</w:t>
      </w:r>
    </w:p>
    <w:p>
      <w:pPr>
        <w:pStyle w:val="Heading2"/>
      </w:pPr>
      <w:r>
        <w:t>1.1 한 문장 목적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3F1"/>
            <w:tcBorders>
              <w:left w:val="single" w:sz="14" w:color="2E7D7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ple SD Gothic Neo"/>
                <w:b/>
                <w:color w:val="2E7D78"/>
              </w:rPr>
              <w:t>시설별 필요한 전환기술과 투자시점을 배출경로에서 도출하고, 전력·수소 가격 불확실성이 그 투자를 얼마나 지연시키며 배출경로를 어떻게 변화시키는지 분석한다.</w:t>
            </w:r>
          </w:p>
        </w:tc>
      </w:tr>
    </w:tbl>
    <w:p>
      <w:pPr>
        <w:spacing w:after="0"/>
      </w:pPr>
    </w:p>
    <w:p>
      <w:pPr>
        <w:pStyle w:val="Heading2"/>
      </w:pPr>
      <w:r>
        <w:t>1.2 분석 전제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시설이 계산단위이고 기업이 결과 보고 및 의사결정 단위다.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대상 시설과 시설별 필요 전환기술은 알고 있다고 가정한다.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문제는 무엇을 투자할지 모르는 것이 아니라 알고 있는 투자가 제때 실행되는가이다.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2050년은 경로의 이정표이며 지연투자는 2050년 이후에도 실행될 수 있다.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정책이나 계약은 직접 배출을 줄이지 않고 투자조건을 바꿔 기술도입을 가능하게 한다.</w:t>
      </w:r>
    </w:p>
    <w:p>
      <w:pPr>
        <w:pStyle w:val="Heading2"/>
      </w:pPr>
      <w:r>
        <w:t>1.3 전체 분석 체인</w:t>
      </w:r>
    </w:p>
    <w:p>
      <w:r>
        <w:drawing>
          <wp:inline xmlns:a="http://schemas.openxmlformats.org/drawingml/2006/main" xmlns:pic="http://schemas.openxmlformats.org/drawingml/2006/picture">
            <wp:extent cx="5989320" cy="2544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kj_logic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44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그림 1. 시설경로, 자본배분, 에너지가격 불확실성과 배출효과의 연결 구조.</w:t>
      </w:r>
    </w:p>
    <w:p>
      <w:pPr>
        <w:pStyle w:val="Heading1"/>
      </w:pPr>
      <w:r>
        <w:t>2. G-CAP과 자본격차</w:t>
      </w:r>
    </w:p>
    <w:p>
      <w:pPr>
        <w:spacing w:after="120"/>
      </w:pPr>
      <w:r>
        <w:rPr>
          <w:rFonts w:ascii="Aptos" w:hAnsi="Aptos" w:eastAsia="Apple SD Gothic Neo"/>
        </w:rPr>
        <w:t>G-CAP은 목표 배출경로를 달성하기 위해 필요한 시설별 기술투자의 합계다. 하향식 부문 자본봉투와 상향식 시설 CAPEX는 상호 검증되어야 하며, 차이가 발생하면 이를 실제 미식별 자본으로 해석하지 않고 추정치 조정 항목으로 관리한다.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4F6"/>
            <w:tcBorders>
              <w:top w:val="single" w:sz="6" w:color="D6DCE2"/>
              <w:bottom w:val="single" w:sz="6" w:color="D6DCE2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38434F"/>
                <w:sz w:val="18"/>
              </w:rPr>
              <w:t>기업 필요자본</w:t>
              <w:br/>
            </w:r>
            <w:r>
              <w:rPr>
                <w:rFonts w:ascii="Consolas" w:hAnsi="Consolas" w:eastAsia="Apple SD Gothic Neo"/>
                <w:b/>
                <w:color w:val="17324D"/>
                <w:sz w:val="22"/>
              </w:rPr>
              <w:t>G-CAP = Σ CAPEX(facility, technology, investment year)</w:t>
            </w:r>
            <w:r>
              <w:rPr>
                <w:rFonts w:ascii="Aptos" w:hAnsi="Aptos" w:eastAsia="Apple SD Gothic Neo"/>
                <w:color w:val="38434F"/>
                <w:sz w:val="17"/>
              </w:rPr>
              <w:br/>
              <w:t>시설·기술·시점별 자본을 전부 포함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4F6"/>
            <w:tcBorders>
              <w:top w:val="single" w:sz="6" w:color="D6DCE2"/>
              <w:bottom w:val="single" w:sz="6" w:color="D6DCE2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38434F"/>
                <w:sz w:val="18"/>
              </w:rPr>
              <w:t>투자자에게 의미 있는 자본격차</w:t>
              <w:br/>
            </w:r>
            <w:r>
              <w:rPr>
                <w:rFonts w:ascii="Consolas" w:hAnsi="Consolas" w:eastAsia="Apple SD Gothic Neo"/>
                <w:b/>
                <w:color w:val="17324D"/>
                <w:sz w:val="22"/>
              </w:rPr>
              <w:t>Capital Gap = Required G-CAP - committed / FID / executed CAPEX</w:t>
            </w:r>
            <w:r>
              <w:rPr>
                <w:rFonts w:ascii="Aptos" w:hAnsi="Aptos" w:eastAsia="Apple SD Gothic Neo"/>
                <w:color w:val="38434F"/>
                <w:sz w:val="17"/>
              </w:rPr>
              <w:br/>
              <w:t>모델 배정자본이 아니라 실제 기업 투자상태와 비교</w:t>
            </w:r>
          </w:p>
        </w:tc>
      </w:tr>
    </w:tbl>
    <w:p>
      <w:pPr>
        <w:spacing w:after="0"/>
      </w:pPr>
    </w:p>
    <w:p>
      <w:pPr>
        <w:pStyle w:val="Heading2"/>
      </w:pPr>
      <w:r>
        <w:t>2.1 사용하지 않을 해석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G-CAP에서 현재 MVP에 배정된 기술자본을 뺀 값을 실제 투자격차로 부르지 않는다.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시설과 기술을 안다는 전제에서 미식별 전환경로를 핵심 결과로 사용하지 않는다.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상향식 시설합계와 하향식 G-CAP의 차이는 reconciliation gap으로 별도 표시한다.</w:t>
      </w:r>
    </w:p>
    <w:p>
      <w:pPr>
        <w:pStyle w:val="Heading2"/>
      </w:pPr>
      <w:r>
        <w:t>2.2 POSCO 적용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98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340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경로 구성</w:t>
            </w:r>
          </w:p>
        </w:tc>
        <w:tc>
          <w:tcPr>
            <w:tcW w:type="dxa" w:w="362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필요 계산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광양제철소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Scrap-EAF 및 후속 심화전환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필요용량·도입시점·CAPEX 배분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포항제철소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H₂-DRI/HyREX 및 전력 전환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필요용량·도입시점·CAPEX 배분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기업 합계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시설별 기술투자 합산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POSCO G-CAP과 실제 투자상태 비교</w:t>
            </w:r>
          </w:p>
        </w:tc>
      </w:tr>
    </w:tbl>
    <w:p>
      <w:pPr>
        <w:spacing w:after="0"/>
      </w:pPr>
    </w:p>
    <w:p>
      <w:pPr>
        <w:pStyle w:val="Heading1"/>
      </w:pPr>
      <w:r>
        <w:t>3. 물리적 제약의 정의</w:t>
      </w:r>
    </w:p>
    <w:p>
      <w:pPr>
        <w:spacing w:after="120"/>
      </w:pPr>
      <w:r>
        <w:rPr>
          <w:rFonts w:ascii="Aptos" w:hAnsi="Aptos" w:eastAsia="Apple SD Gothic Neo"/>
        </w:rPr>
        <w:t>기술을 알고 있다는 것과 필요한 설비용량이 확보됐다는 것은 다르다. 물리제약은 경로 미식별이 아니라 필요용량과 현재·발표용량 사이의 실행격차로 표현한다.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4F6"/>
            <w:tcBorders>
              <w:top w:val="single" w:sz="6" w:color="D6DCE2"/>
              <w:bottom w:val="single" w:sz="6" w:color="D6DCE2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38434F"/>
                <w:sz w:val="18"/>
              </w:rPr>
              <w:t>설비용량 격차</w:t>
              <w:br/>
            </w:r>
            <w:r>
              <w:rPr>
                <w:rFonts w:ascii="Consolas" w:hAnsi="Consolas" w:eastAsia="Apple SD Gothic Neo"/>
                <w:b/>
                <w:color w:val="17324D"/>
                <w:sz w:val="22"/>
              </w:rPr>
              <w:t>Capacity Gap = required route capacity - operating / announced capacity</w:t>
            </w:r>
            <w:r>
              <w:rPr>
                <w:rFonts w:ascii="Aptos" w:hAnsi="Aptos" w:eastAsia="Apple SD Gothic Neo"/>
                <w:color w:val="38434F"/>
                <w:sz w:val="17"/>
              </w:rPr>
              <w:br/>
              <w:t>부족분은 추가 건설 필요량이며 관련 CAPEX는 G-CAP에 포함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70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08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323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결과 표현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필요 기술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목표경로를 충족하기 위해 선택한 기술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시설별 기술스택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필요 용량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도입해야 하는 설비규모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Mt/yr, MW, H₂ t/yr 등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확보 용량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운영 중 또는 공식 발표된 규모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reported/committed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용량격차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추가 건설이 필요한 부분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추가 CAPEX 및 일정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운영조건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전력·수소·원료·인프라 요구</w:t>
            </w:r>
          </w:p>
        </w:tc>
        <w:tc>
          <w:tcPr>
            <w:tcW w:type="dxa" w:w="32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가격·계약·공급 노출</w:t>
            </w:r>
          </w:p>
        </w:tc>
      </w:tr>
    </w:tbl>
    <w:p>
      <w:pPr>
        <w:spacing w:after="0"/>
      </w:pPr>
    </w:p>
    <w:p>
      <w:pPr>
        <w:pStyle w:val="Heading1"/>
      </w:pPr>
      <w:r>
        <w:t>4. 가격 수준과 가격 불확실성</w:t>
      </w:r>
    </w:p>
    <w:p>
      <w:pPr>
        <w:spacing w:after="120"/>
      </w:pPr>
      <w:r>
        <w:rPr>
          <w:rFonts w:ascii="Aptos" w:hAnsi="Aptos" w:eastAsia="Apple SD Gothic Neo"/>
        </w:rPr>
        <w:t>평균 에너지가격이 높은 문제와 평균가격은 같지만 미래가격이 불확실한 문제를 분리해야 한다. 전자는 구조적인 경제성 격차이고 후자는 실물옵션을 통해 투자지연을 만들 수 있는 위험이다.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247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855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가격 수준 격차</w:t>
            </w:r>
          </w:p>
        </w:tc>
        <w:tc>
          <w:tcPr>
            <w:tcW w:type="dxa" w:w="3855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가격 불확실성 격차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질문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평균 전력·수소 가격이 너무 높은가?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같은 기대가격에서도 변동 가능성이 투자를 늦추는가?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경로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높은 평균 운영비 → 경제성 부족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현금흐름 불확실성 → 기다림의 가치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기업 반응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투자안 자체가 수익성 기준 미달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FID 조건 상승 또는 의사결정 연기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정책수단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보조금·세액공제·CCfD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PPA·오프테이크·헤지·보증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핵심 결과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Level support requirement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Energy-price-induced FID Delay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4F6"/>
            <w:tcBorders>
              <w:top w:val="single" w:sz="6" w:color="D6DCE2"/>
              <w:bottom w:val="single" w:sz="6" w:color="D6DCE2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38434F"/>
                <w:sz w:val="18"/>
              </w:rPr>
              <w:t>순수한 불확실성 유발 지연</w:t>
              <w:br/>
            </w:r>
            <w:r>
              <w:rPr>
                <w:rFonts w:ascii="Consolas" w:hAnsi="Consolas" w:eastAsia="Apple SD Gothic Neo"/>
                <w:b/>
                <w:color w:val="17324D"/>
                <w:sz w:val="22"/>
              </w:rPr>
              <w:t>Uncertainty Delay = E[FID | stochastic prices] - FID[same expected price, no uncertainty]</w:t>
            </w:r>
            <w:r>
              <w:rPr>
                <w:rFonts w:ascii="Aptos" w:hAnsi="Aptos" w:eastAsia="Apple SD Gothic Neo"/>
                <w:color w:val="38434F"/>
                <w:sz w:val="17"/>
              </w:rPr>
              <w:br/>
              <w:t>평균가격을 동일하게 고정하여 수준 효과를 제거</w:t>
            </w:r>
          </w:p>
        </w:tc>
      </w:tr>
    </w:tbl>
    <w:p>
      <w:pPr>
        <w:spacing w:after="0"/>
      </w:pPr>
    </w:p>
    <w:p>
      <w:pPr>
        <w:pStyle w:val="Heading1"/>
      </w:pPr>
      <w:r>
        <w:t>5. 전력·수소 위험요인</w:t>
      </w:r>
    </w:p>
    <w:p>
      <w:pPr>
        <w:spacing w:after="120"/>
      </w:pPr>
      <w:r>
        <w:rPr>
          <w:rFonts w:ascii="Aptos" w:hAnsi="Aptos" w:eastAsia="Apple SD Gothic Neo"/>
        </w:rPr>
        <w:t>하나의 임의 변동성을 사용하지 않고 전력과 수소가격을 별도 요인으로 분리한다. 기술별 현금흐름 노출과 두 가격의 상관관계를 반영하되, 현장 전기분해 수소에서는 전력비용의 이중계산을 피한다.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81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공급구조</w:t>
            </w:r>
          </w:p>
        </w:tc>
        <w:tc>
          <w:tcPr>
            <w:tcW w:type="dxa" w:w="3969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위험요인 처리</w:t>
            </w:r>
          </w:p>
        </w:tc>
        <w:tc>
          <w:tcPr>
            <w:tcW w:type="dxa" w:w="3175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검토 포인트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구매 수소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전력가격과 수소 구매가격을 별도 요인으로 설정 가능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가격상관 및 계약상 위험부담 주체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현장 전기분해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전력가격을 주된 수소비용 동인으로 설정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수소가격과 전력가격의 이중계산 방지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혼합조달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전력·수소·인덱스 노출을 계약비중으로 배분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PPA·오프테이크의 실제 커버리지</w:t>
            </w:r>
          </w:p>
        </w:tc>
      </w:tr>
    </w:tbl>
    <w:p>
      <w:pPr>
        <w:spacing w:after="0"/>
      </w:pPr>
    </w:p>
    <w:p>
      <w:pPr>
        <w:pStyle w:val="Heading1"/>
      </w:pPr>
      <w:r>
        <w:t>6. 실물옵션과 FID 지연</w:t>
      </w:r>
    </w:p>
    <w:p>
      <w:pPr>
        <w:spacing w:after="120"/>
      </w:pPr>
      <w:r>
        <w:rPr>
          <w:rFonts w:ascii="Aptos" w:hAnsi="Aptos" w:eastAsia="Apple SD Gothic Neo"/>
        </w:rPr>
        <w:t>실물옵션은 투자수익률을 임의로 만드는 도구가 아니라 에너지가격 불확실성이 왜 대규모 비가역 투자에 기다림을 유발하는지 설명하는 메커니즘이다.</w:t>
      </w:r>
    </w:p>
    <w:p>
      <w:pPr>
        <w:pStyle w:val="Heading2"/>
      </w:pPr>
      <w:r>
        <w:t>6.1 적용 조건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초기 CAPEX가 크고 상당 부분 회수하기 어렵다.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기업이 투자시점을 어느 정도 선택할 수 있다.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시간이 지나면 가격 및 계약정보가 추가로 드러난다.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설비 교체·보수·재라이닝 등 실제 의사결정 창이 존재한다.</w:t>
      </w:r>
    </w:p>
    <w:p>
      <w:pPr>
        <w:pStyle w:val="Heading2"/>
      </w:pPr>
      <w:r>
        <w:t>6.2 FID와 가동시점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4F6"/>
            <w:tcBorders>
              <w:left w:val="single" w:sz="14" w:color="17324D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ple SD Gothic Neo"/>
                <w:b/>
                <w:color w:val="17324D"/>
              </w:rPr>
              <w:t>기술검토 → 설계·인허가·계약·조달 → FID → 건설 → COD/가동 → 실제 배출감축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Aptos" w:hAnsi="Aptos" w:eastAsia="Apple SD Gothic Neo"/>
        </w:rPr>
        <w:t>FID가 지연되면 건설기간이 동일하더라도 가동과 감축 시작이 같은 기간만큼 뒤로 이동한다. 분석에서는 FID, 건설기간과 COD를 분리한다.</w:t>
      </w:r>
    </w:p>
    <w:p>
      <w:r>
        <w:br w:type="page"/>
      </w:r>
    </w:p>
    <w:p>
      <w:pPr>
        <w:pStyle w:val="Heading1"/>
      </w:pPr>
      <w:r>
        <w:t>7. 배출경로의 핵심 비교</w:t>
      </w:r>
    </w:p>
    <w:p>
      <w:pPr>
        <w:spacing w:after="120"/>
      </w:pPr>
      <w:r>
        <w:rPr>
          <w:rFonts w:ascii="Aptos" w:hAnsi="Aptos" w:eastAsia="Apple SD Gothic Neo"/>
        </w:rPr>
        <w:t>최종 결과는 목표경로, 정시 기술도입 경로, 에너지가격 불확실성 지연경로를 동시에 보여준다. 연구의 핵심 추정량은 정시 경로와 지연경로 사이의 누적 면적이다.</w:t>
      </w:r>
    </w:p>
    <w:p>
      <w:r>
        <w:drawing>
          <wp:inline xmlns:a="http://schemas.openxmlformats.org/drawingml/2006/main" xmlns:pic="http://schemas.openxmlformats.org/drawingml/2006/picture">
            <wp:extent cx="5897880" cy="2605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kj_emissions_path_concep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0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t>그림 2. 예상 결과 형식. 수치는 구조 설명을 위한 개념도이며 실증 결과가 아니다.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4F6"/>
            <w:tcBorders>
              <w:top w:val="single" w:sz="6" w:color="D6DCE2"/>
              <w:bottom w:val="single" w:sz="6" w:color="D6DCE2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38434F"/>
                <w:sz w:val="18"/>
              </w:rPr>
              <w:t>가격 불확실성의 누적 배출효과</w:t>
              <w:br/>
            </w:r>
            <w:r>
              <w:rPr>
                <w:rFonts w:ascii="Consolas" w:hAnsi="Consolas" w:eastAsia="Apple SD Gothic Neo"/>
                <w:b/>
                <w:color w:val="17324D"/>
                <w:sz w:val="22"/>
              </w:rPr>
              <w:t>Delay Emissions = Σ [Emissions(delayed, y) - Emissions(on-time, y)]</w:t>
            </w:r>
            <w:r>
              <w:rPr>
                <w:rFonts w:ascii="Aptos" w:hAnsi="Aptos" w:eastAsia="Apple SD Gothic Neo"/>
                <w:color w:val="38434F"/>
                <w:sz w:val="17"/>
              </w:rPr>
              <w:br/>
              <w:t>2050 이후 지연투자가 실행되면 두 경로는 다시 수렴할 수 있음</w:t>
            </w:r>
          </w:p>
        </w:tc>
      </w:tr>
    </w:tbl>
    <w:p>
      <w:pPr>
        <w:spacing w:after="0"/>
      </w:pPr>
    </w:p>
    <w:p>
      <w:pPr>
        <w:pStyle w:val="Heading1"/>
      </w:pPr>
      <w:r>
        <w:t>8. 투자자에게 제공할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81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855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328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투자자 의미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G-CAP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배출경로 달성을 위한 전체 시설투자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필요 자본규모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Capital Gap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G-CAP - 실제 committed/FID/집행 CAPEX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추가 조달·승인이 필요한 금액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Capacity Gap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필요 기술용량 - 운영·발표 용량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설비증설 및 실행병목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FID Delay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동일 기대가격에서 불확실성이 추가한 지연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투자시점 위험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Capital-at-Delay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예정시점에 FID되지 못한 필요자본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지연된 자본규모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Delay Emissions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지연경로와 정시경로의 누적 배출차이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전환 지연의 환경효과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Premium-relevant exposure</w:t>
            </w:r>
          </w:p>
        </w:tc>
        <w:tc>
          <w:tcPr>
            <w:tcW w:type="dxa" w:w="38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전력·수소 요인에 남은 현금흐름 노출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후속 위험가격 산정의 기초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추가 전환 위험 프리미엄</w:t>
      </w:r>
    </w:p>
    <w:p>
      <w:pPr>
        <w:spacing w:after="120"/>
      </w:pPr>
      <w:r>
        <w:rPr>
          <w:rFonts w:ascii="Aptos" w:hAnsi="Aptos" w:eastAsia="Apple SD Gothic Neo"/>
        </w:rPr>
        <w:t>추가 위험 프리미엄으로 해석할 수 있지만 위험노출과 시장가격을 분리해야 한다. 단순 가격범위나 변동성은 그 자체로 위험 프리미엄이 아니다.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4F6"/>
            <w:tcBorders>
              <w:top w:val="single" w:sz="6" w:color="D6DCE2"/>
              <w:bottom w:val="single" w:sz="6" w:color="D6DCE2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38434F"/>
                <w:sz w:val="18"/>
              </w:rPr>
              <w:t>향후 투자자 요구수익률 구조</w:t>
              <w:br/>
            </w:r>
            <w:r>
              <w:rPr>
                <w:rFonts w:ascii="Consolas" w:hAnsi="Consolas" w:eastAsia="Apple SD Gothic Neo"/>
                <w:b/>
                <w:color w:val="17324D"/>
                <w:sz w:val="22"/>
              </w:rPr>
              <w:t>Required Return = Base Required Return + Σ beta(k) × lambda(k)</w:t>
            </w:r>
            <w:r>
              <w:rPr>
                <w:rFonts w:ascii="Aptos" w:hAnsi="Aptos" w:eastAsia="Apple SD Gothic Neo"/>
                <w:color w:val="38434F"/>
                <w:sz w:val="17"/>
              </w:rPr>
              <w:br/>
              <w:t>beta: 현금흐름 위험노출 · lambda: 체계적 위험 한 단위의 시장가격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81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개념</w:t>
            </w:r>
          </w:p>
        </w:tc>
        <w:tc>
          <w:tcPr>
            <w:tcW w:type="dxa" w:w="4139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3005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현재 프로젝트 상태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실물옵션 허들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기업이 투자대기를 포기하기 위해 요구하는 투자조건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이론·민감도 중심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위험노출 beta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전력·수소·탄소가격과 현금흐름의 민감도·공분산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비용노출까지만 추정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시장 위험가격 lambda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체계적 위험 한 단위에 요구되는 보상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후속 프로젝트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추가 위험 프리미엄</w:t>
            </w:r>
          </w:p>
        </w:tc>
        <w:tc>
          <w:tcPr>
            <w:tcW w:type="dxa" w:w="413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Σ beta × lambda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bp = NA</w:t>
            </w:r>
          </w:p>
        </w:tc>
      </w:tr>
    </w:tbl>
    <w:p>
      <w:pPr>
        <w:spacing w:after="0"/>
      </w:pPr>
    </w:p>
    <w:p>
      <w:pPr>
        <w:pStyle w:val="Heading1"/>
      </w:pPr>
      <w:r>
        <w:t>10. 계약과 정책의 전달경로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81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수단</w:t>
            </w:r>
          </w:p>
        </w:tc>
        <w:tc>
          <w:tcPr>
            <w:tcW w:type="dxa" w:w="340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직접 변화시키는 요소</w:t>
            </w:r>
          </w:p>
        </w:tc>
        <w:tc>
          <w:tcPr>
            <w:tcW w:type="dxa" w:w="374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예상 전달경로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PPA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전력가격 노출과 변동성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beta 축소 → FID 지연 완화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수소 오프테이크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수소가격·물량 위험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beta 축소 또는 위험이전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가격연동·헤지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특정 가격요인 노출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현금흐름 변동 축소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CCfD·가격하한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하방위험 및 일부 수준격차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경제성·FID 조건 개선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보조금·세액공제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평균 비용수준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level gap 축소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인프라 보증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공급·가동 가능성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실행조건 개선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3F1"/>
            <w:tcBorders>
              <w:left w:val="single" w:sz="14" w:color="2E7D7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ple SD Gothic Neo"/>
                <w:b/>
                <w:color w:val="2E7D78"/>
              </w:rPr>
              <w:t>계약·정책 → 위험 또는 수준격차 변화 → FID 조건 변화 → 기술도입 → 배출감축</w:t>
            </w:r>
          </w:p>
        </w:tc>
      </w:tr>
    </w:tbl>
    <w:p>
      <w:pPr>
        <w:spacing w:after="0"/>
      </w:pPr>
    </w:p>
    <w:p>
      <w:pPr>
        <w:pStyle w:val="Heading1"/>
      </w:pPr>
      <w:r>
        <w:t>11. 현재 프로젝트와 후속 프로젝트의 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4479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현재 프로젝트</w:t>
            </w:r>
          </w:p>
        </w:tc>
        <w:tc>
          <w:tcPr>
            <w:tcW w:type="dxa" w:w="4479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ple SD Gothic Neo"/>
                <w:b/>
                <w:color w:val="FFFFFF"/>
                <w:sz w:val="18"/>
              </w:rPr>
              <w:t>후속 가격·금융 프로젝트</w:t>
            </w:r>
          </w:p>
        </w:tc>
      </w:tr>
      <w:tr>
        <w:trPr>
          <w:cantSplit w:val="true"/>
        </w:trPr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시설별 기술·용량·시점 및 G-CAP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실제 과거·선도 전력·수소·탄소가격 분포</w:t>
            </w:r>
          </w:p>
        </w:tc>
      </w:tr>
      <w:tr>
        <w:trPr>
          <w:cantSplit w:val="true"/>
        </w:trPr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실제 committed/FID/집행 투자정보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가격 간 공분산과 시장국면</w:t>
            </w:r>
          </w:p>
        </w:tc>
      </w:tr>
      <w:tr>
        <w:trPr>
          <w:cantSplit w:val="true"/>
        </w:trPr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가격 수준 격차와 저·기준·고 노출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시설·기술별 현금흐름 beta</w:t>
            </w:r>
          </w:p>
        </w:tc>
      </w:tr>
      <w:tr>
        <w:trPr>
          <w:cantSplit w:val="true"/>
        </w:trPr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계약·지원·물리제약 상태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실제 PPA·오프테이크·CCfD 계약조건</w:t>
            </w:r>
          </w:p>
        </w:tc>
      </w:tr>
      <w:tr>
        <w:trPr>
          <w:cantSplit w:val="true"/>
        </w:trPr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정시·지연 경로 결과구조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실제 FID·지연·취소 및 금융스프레드</w:t>
            </w:r>
          </w:p>
        </w:tc>
      </w:tr>
      <w:tr>
        <w:trPr>
          <w:cantSplit w:val="true"/>
        </w:trPr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premium-relevant exposure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B"/>
          </w:tcPr>
          <w:p>
            <w:pPr>
              <w:spacing w:after="0"/>
            </w:pPr>
            <w:r>
              <w:rPr>
                <w:rFonts w:ascii="Aptos" w:hAnsi="Aptos" w:eastAsia="Apple SD Gothic Neo"/>
                <w:sz w:val="17"/>
              </w:rPr>
              <w:t>priced transition risk premium과 Delay-at-Risk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Aptos" w:hAnsi="Aptos" w:eastAsia="Apple SD Gothic Neo"/>
        </w:rPr>
        <w:t>좌초자산 분석은 장부가액, 회수가능액, 재사용·잔존가치, 폐쇄비용과 시점자료가 확보된 이후에만 수행한다.</w:t>
      </w:r>
    </w:p>
    <w:p>
      <w:pPr>
        <w:pStyle w:val="Heading1"/>
      </w:pPr>
      <w:r>
        <w:t>12. 폐기하거나 보조분석으로 내린 해석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임의 변동성으로 계산한 +854bp FID 프리미엄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정시 +15%, 지연 -5%, 실패 -40%의 Expected Return 가정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2050년 미실행을 곧바로 좌초·셧다운으로 해석하는 방식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$18.2bn을 실제 미식별 자본으로 부르는 방식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에너지가격 불확실성과 일반 프로젝트 실행위험을 혼합하는 방식</w:t>
      </w:r>
    </w:p>
    <w:p>
      <w:pPr>
        <w:spacing w:after="120"/>
      </w:pPr>
      <w:r>
        <w:rPr>
          <w:rFonts w:ascii="Aptos" w:hAnsi="Aptos" w:eastAsia="Apple SD Gothic Neo"/>
        </w:rPr>
        <w:t>기존 산출물은 탐색기록으로 보존하지만 현재 프로젝트의 핵심 결론에는 사용하지 않는다.</w:t>
      </w:r>
    </w:p>
    <w:p>
      <w:pPr>
        <w:pStyle w:val="Heading1"/>
      </w:pPr>
      <w:r>
        <w:t>13. 팀 검토 요청 질문</w:t>
      </w:r>
    </w:p>
    <w:p>
      <w:pPr>
        <w:pStyle w:val="ListNumber"/>
        <w:spacing w:after="80"/>
      </w:pPr>
      <w:r>
        <w:rPr>
          <w:rFonts w:ascii="Aptos" w:hAnsi="Aptos" w:eastAsia="Apple SD Gothic Neo"/>
        </w:rPr>
        <w:t>시설과 기술을 모두 안다는 전제에서 G-CAP의 시설·기술·시점별 배분이 논리적으로 완전한가?</w:t>
      </w:r>
    </w:p>
    <w:p>
      <w:pPr>
        <w:pStyle w:val="ListNumber"/>
        <w:spacing w:after="80"/>
      </w:pPr>
      <w:r>
        <w:rPr>
          <w:rFonts w:ascii="Aptos" w:hAnsi="Aptos" w:eastAsia="Apple SD Gothic Neo"/>
        </w:rPr>
        <w:t>자본격차를 필요 G-CAP에서 실제 committed/FID/집행 CAPEX를 차감한 값으로 정의하는 것이 적절한가?</w:t>
      </w:r>
    </w:p>
    <w:p>
      <w:pPr>
        <w:pStyle w:val="ListNumber"/>
        <w:spacing w:after="80"/>
      </w:pPr>
      <w:r>
        <w:rPr>
          <w:rFonts w:ascii="Aptos" w:hAnsi="Aptos" w:eastAsia="Apple SD Gothic Neo"/>
        </w:rPr>
        <w:t>평균 에너지가격의 수준 효과와 동일 기대가격하의 불확실성 효과가 충분히 분리되는가?</w:t>
      </w:r>
    </w:p>
    <w:p>
      <w:pPr>
        <w:pStyle w:val="ListNumber"/>
        <w:spacing w:after="80"/>
      </w:pPr>
      <w:r>
        <w:rPr>
          <w:rFonts w:ascii="Aptos" w:hAnsi="Aptos" w:eastAsia="Apple SD Gothic Neo"/>
        </w:rPr>
        <w:t>전력과 수소가격을 분리하면서 현장 전기분해 수소의 이중계산을 피할 수 있는가?</w:t>
      </w:r>
    </w:p>
    <w:p>
      <w:pPr>
        <w:pStyle w:val="ListNumber"/>
        <w:spacing w:after="80"/>
      </w:pPr>
      <w:r>
        <w:rPr>
          <w:rFonts w:ascii="Aptos" w:hAnsi="Aptos" w:eastAsia="Apple SD Gothic Neo"/>
        </w:rPr>
        <w:t>해당 산업의 투자 비가역성·정보학습·투자시점 선택권을 고려할 때 실물옵션 적용이 타당한가?</w:t>
      </w:r>
    </w:p>
    <w:p>
      <w:pPr>
        <w:pStyle w:val="ListNumber"/>
        <w:spacing w:after="80"/>
      </w:pPr>
      <w:r>
        <w:rPr>
          <w:rFonts w:ascii="Aptos" w:hAnsi="Aptos" w:eastAsia="Apple SD Gothic Neo"/>
        </w:rPr>
        <w:t>FID, 건설기간, COD와 설비 교체·보수 시점이 현실적으로 반영되는가?</w:t>
      </w:r>
    </w:p>
    <w:p>
      <w:pPr>
        <w:pStyle w:val="ListNumber"/>
        <w:spacing w:after="80"/>
      </w:pPr>
      <w:r>
        <w:rPr>
          <w:rFonts w:ascii="Aptos" w:hAnsi="Aptos" w:eastAsia="Apple SD Gothic Neo"/>
        </w:rPr>
        <w:t>정시 경로와 가격 불확실성 지연경로의 차이를 에너지가격 불확실성의 배출효과로 해석해도 되는가?</w:t>
      </w:r>
    </w:p>
    <w:p>
      <w:pPr>
        <w:pStyle w:val="ListNumber"/>
        <w:spacing w:after="80"/>
      </w:pPr>
      <w:r>
        <w:rPr>
          <w:rFonts w:ascii="Aptos" w:hAnsi="Aptos" w:eastAsia="Apple SD Gothic Neo"/>
        </w:rPr>
        <w:t>계약과 정책이 가격 수준, 위험노출 beta, 시장 위험가격 lambda 중 무엇을 변화시키는지 구분이 타당한가?</w:t>
      </w:r>
    </w:p>
    <w:p>
      <w:pPr>
        <w:pStyle w:val="ListNumber"/>
        <w:spacing w:after="80"/>
      </w:pPr>
      <w:r>
        <w:rPr>
          <w:rFonts w:ascii="Aptos" w:hAnsi="Aptos" w:eastAsia="Apple SD Gothic Neo"/>
        </w:rPr>
        <w:t>추가 전환 위험 프리미엄을 Σ beta × lambda로 정의하는 것이 투자자에게 명확한가?</w:t>
      </w:r>
    </w:p>
    <w:p>
      <w:pPr>
        <w:pStyle w:val="ListNumber"/>
        <w:spacing w:after="80"/>
      </w:pPr>
      <w:r>
        <w:rPr>
          <w:rFonts w:ascii="Aptos" w:hAnsi="Aptos" w:eastAsia="Apple SD Gothic Neo"/>
        </w:rPr>
        <w:t>현재 프로젝트와 후속 가격·현금흐름·계약 프로젝트의 경계가 적절한가?</w:t>
      </w:r>
    </w:p>
    <w:p>
      <w:pPr>
        <w:pStyle w:val="Heading2"/>
      </w:pPr>
      <w:r>
        <w:t>검토자가 집중할 최종 주장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8F3F1"/>
            <w:tcBorders>
              <w:left w:val="single" w:sz="14" w:color="2E7D7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 w:eastAsia="Apple SD Gothic Neo"/>
                <w:b/>
                <w:color w:val="2E7D78"/>
              </w:rPr>
              <w:t>필요 기술과 자본을 알고 있어도 전력·수소 가격 불확실성 때문에 투자가 지연될 수 있으며, 그 지연이 capital allocation pathway와 배출경로에 미치는 영향을 측정할 수 있다.</w:t>
            </w:r>
          </w:p>
        </w:tc>
      </w:tr>
    </w:tbl>
    <w:p>
      <w:pPr>
        <w:spacing w:after="0"/>
      </w:pPr>
    </w:p>
    <w:p>
      <w:pPr>
        <w:pStyle w:val="Heading1"/>
      </w:pPr>
      <w:r>
        <w:t>관련 프로젝트 기록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PROJECT_CHARTER.md - Stage 1 목적, 분석단위와 해석 가드레일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PROJECT_PLAN.md - 시설경로, 비용격차, 불확실성과 투자자 결과 설계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docs/decisions/ADR-001-capital-flow-and-risk-premium-boundary.md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docs/decisions/ADR-002-simple-three-step-primary-model.md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docs/decisions/ADR-003-stage-2-risk-premium-pricing-gate.md</w:t>
      </w:r>
    </w:p>
    <w:p>
      <w:pPr>
        <w:pStyle w:val="ListBullet"/>
        <w:spacing w:after="60"/>
      </w:pPr>
      <w:r>
        <w:rPr>
          <w:rFonts w:ascii="Aptos" w:hAnsi="Aptos" w:eastAsia="Apple SD Gothic Neo"/>
        </w:rPr>
        <w:t>DATA_CATALOG.md - 현재 데이터와 후속 가격·현금흐름 자료 게이트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ple SD Gothic Neo"/>
        <w:color w:val="38434F"/>
        <w:sz w:val="16"/>
      </w:rPr>
      <w:t xml:space="preserve">CAP-KJ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ple SD Gothic Neo"/>
        <w:color w:val="38434F"/>
        <w:sz w:val="16"/>
      </w:rPr>
      <w:t>CAP-KJ  |  Team Review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Aptos" w:hAnsi="Aptos" w:eastAsia="Apple SD Gothic Neo"/>
      <w:color w:val="3843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Apple SD Gothic Neo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 w:eastAsia="Apple SD Gothic Neo"/>
      <w:b/>
      <w:bCs/>
      <w:color w:val="2F6B9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 w:eastAsia="Apple SD Gothic Neo"/>
      <w:b/>
      <w:bCs/>
      <w:color w:val="2E7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ple SD Gothic Neo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 w:eastAsia="Apple SD Gothic Neo"/>
      <w:b w:val="0"/>
      <w:i/>
      <w:iCs/>
      <w:color w:val="2F6B9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pPr>
      <w:spacing w:before="40" w:after="160"/>
      <w:jc w:val="center"/>
    </w:pPr>
    <w:rPr>
      <w:rFonts w:ascii="Aptos" w:hAnsi="Aptos" w:eastAsia="Apple SD Gothic Neo"/>
      <w:i/>
      <w:color w:val="38434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CAP-KJ 에너지 가격 불확실성과 자본배분 경로 - 논리·구조 검토 요청서</dc:title>
  <dc:subject>CAP-KJ 팀 검토용 논리 및 분석구조</dc:subject>
  <dc:creator>CAP-KJ</dc:creator>
  <cp:keywords>G-CAP, capital allocation pathway, energy price uncertainty, real options, FID delay, emissions pathway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