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맑은 고딕" w:hAnsi="맑은 고딕" w:eastAsia="맑은 고딕"/>
          <w:b/>
          <w:color w:val="003E7E"/>
          <w:sz w:val="56"/>
        </w:rPr>
        <w:t>석유화학 탈탄소 전환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color w:val="0070C0"/>
          <w:sz w:val="48"/>
        </w:rPr>
        <w:t>기술별 투자비용 분석</w:t>
      </w:r>
    </w:p>
    <w:p>
      <w:pPr>
        <w:spacing w:after="600"/>
        <w:jc w:val="center"/>
        <w:pBdr>
          <w:bottom w:val="single" w:sz="24" w:space="1" w:color="003E7E"/>
        </w:pBdr>
      </w:pP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8"/>
        </w:rPr>
        <w:t>PLANiT Institute / 2026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1. 왜 지금인가 — 현황</w:t>
      </w:r>
    </w:p>
    <w:p>
      <w:pPr>
        <w:spacing w:before="160" w:after="240"/>
      </w:pPr>
      <w:r>
        <w:rPr>
          <w:rFonts w:ascii="맑은 고딕" w:hAnsi="맑은 고딕" w:eastAsia="맑은 고딕"/>
          <w:b w:val="0"/>
          <w:sz w:val="22"/>
        </w:rPr>
        <w:t>한국 석유화학 산업은 세계 4위 생산 규모로, 탈탄소 전환이 시급한 에너지 집약 산업입니다.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669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세계 순위</w:t>
            </w:r>
          </w:p>
        </w:tc>
        <w:tc>
          <w:tcPr>
            <w:tcW w:type="dxa" w:w="566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4위 (에틸렌 생산 기준)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대상 설비 수</w:t>
            </w:r>
          </w:p>
        </w:tc>
        <w:tc>
          <w:tcPr>
            <w:tcW w:type="dxa" w:w="5669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243개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연간 CO₂ 배출량</w:t>
            </w:r>
          </w:p>
        </w:tc>
        <w:tc>
          <w:tcPr>
            <w:tcW w:type="dxa" w:w="566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59.25 MtCO₂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공정</w:t>
            </w:r>
          </w:p>
        </w:tc>
        <w:tc>
          <w:tcPr>
            <w:tcW w:type="dxa" w:w="5669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나프타 분해 (NCC) — 전체 배출의 ~85%</w:t>
            </w:r>
          </w:p>
        </w:tc>
      </w:tr>
    </w:tbl>
    <w:p>
      <w:pPr>
        <w:spacing w:before="0" w:after="12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200" w:after="200"/>
        <w:jc w:val="center"/>
      </w:pPr>
      <w:r>
        <w:rPr>
          <w:rFonts w:ascii="맑은 고딕" w:hAnsi="맑은 고딕" w:eastAsia="맑은 고딕"/>
          <w:b/>
          <w:color w:val="003E7E"/>
          <w:sz w:val="26"/>
        </w:rPr>
        <w:t>핵심 질문: "탈탄소 전환에 얼마나 투자해야 하는가?"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21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ions_by_source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666666"/>
          <w:sz w:val="16"/>
        </w:rPr>
        <w:t>그림 1. 배출원별 CO₂ 배출 현황 (2025)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2. 5개 감축기술 한눈에</w:t>
      </w:r>
    </w:p>
    <w:p>
      <w:pPr>
        <w:spacing w:before="160" w:after="200"/>
      </w:pPr>
      <w:r>
        <w:rPr>
          <w:rFonts w:ascii="맑은 고딕" w:hAnsi="맑은 고딕" w:eastAsia="맑은 고딕"/>
          <w:b w:val="0"/>
          <w:sz w:val="22"/>
        </w:rPr>
        <w:t>본 분석에서 고려한 5개 핵심 감축기술의 비교입니다.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2025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2050</w:t>
            </w:r>
          </w:p>
        </w:tc>
        <w:tc>
          <w:tcPr>
            <w:tcW w:type="dxa" w:w="850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TRL</w:t>
            </w:r>
          </w:p>
        </w:tc>
        <w:tc>
          <w:tcPr>
            <w:tcW w:type="dxa" w:w="113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상용화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Heat Pump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Non-NCC low-temp processes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$170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$100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</w:t>
            </w:r>
          </w:p>
        </w:tc>
      </w:tr>
      <w:tr>
        <w:tc>
          <w:tcPr>
            <w:tcW w:type="dxa" w:w="170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 (수소)</w:t>
            </w:r>
          </w:p>
        </w:tc>
        <w:tc>
          <w:tcPr>
            <w:tcW w:type="dxa" w:w="28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$350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$180</w:t>
            </w:r>
          </w:p>
        </w:tc>
        <w:tc>
          <w:tcPr>
            <w:tcW w:type="dxa" w:w="850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13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NCC-Elec (전기)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$150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</w:tr>
      <w:tr>
        <w:tc>
          <w:tcPr>
            <w:tcW w:type="dxa" w:w="170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RDH</w:t>
            </w:r>
          </w:p>
        </w:tc>
        <w:tc>
          <w:tcPr>
            <w:tcW w:type="dxa" w:w="28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BTX Plant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$250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$140</w:t>
            </w:r>
          </w:p>
        </w:tc>
        <w:tc>
          <w:tcPr>
            <w:tcW w:type="dxa" w:w="850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 PPA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All electricity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666666"/>
          <w:sz w:val="16"/>
        </w:rPr>
        <w:t>※ CAPEX 단위: $/t-제품/yr (RE_PPA는 계약 기반, CAPEX 없음)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666666"/>
          <w:sz w:val="16"/>
        </w:rPr>
        <w:t>※ TRL: 기술성숙도 (Technology Readiness Level, 1~9)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3. 수소로 vs 전기로 — 두 가지 경로</w:t>
      </w:r>
    </w:p>
    <w:p>
      <w:pPr>
        <w:spacing w:before="160" w:after="200"/>
      </w:pPr>
      <w:r>
        <w:rPr>
          <w:rFonts w:ascii="맑은 고딕" w:hAnsi="맑은 고딕" w:eastAsia="맑은 고딕"/>
          <w:b w:val="0"/>
          <w:sz w:val="22"/>
        </w:rPr>
        <w:t>NCC 탈탄소의 핵심은 나프타 분해로를 수소(H₂)로 전환할 것인가, 전기(e-Cracker)로 전환할 것인가의 선택입니다.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1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NCC-H2 (수소)</w:t>
            </w:r>
          </w:p>
        </w:tc>
        <w:tc>
          <w:tcPr>
            <w:tcW w:type="dxa" w:w="311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NCC-Elec (전기)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CAPEX ($/t-에틸렌/yr)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$350 (2025) → $180 (2050)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 (2025) → $150 (2050)</w:t>
            </w:r>
          </w:p>
        </w:tc>
      </w:tr>
      <w:tr>
        <w:tc>
          <w:tcPr>
            <w:tcW w:type="dxa" w:w="22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 수요</w:t>
            </w:r>
          </w:p>
        </w:tc>
        <w:tc>
          <w:tcPr>
            <w:tcW w:type="dxa" w:w="311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0.2 t-H2/t-에틸렌</w:t>
            </w:r>
          </w:p>
        </w:tc>
        <w:tc>
          <w:tcPr>
            <w:tcW w:type="dxa" w:w="311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5.0 MWh/t-에틸렌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기술성숙도 (TRL)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6-7</w:t>
            </w:r>
          </w:p>
        </w:tc>
      </w:tr>
      <w:tr>
        <w:tc>
          <w:tcPr>
            <w:tcW w:type="dxa" w:w="22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상용화 예상</w:t>
            </w:r>
          </w:p>
        </w:tc>
        <w:tc>
          <w:tcPr>
            <w:tcW w:type="dxa" w:w="311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2028-2030</w:t>
            </w:r>
          </w:p>
        </w:tc>
        <w:tc>
          <w:tcPr>
            <w:tcW w:type="dxa" w:w="311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2030-2032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장점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고온 공정 적합, 연속운전</w:t>
            </w:r>
          </w:p>
        </w:tc>
        <w:tc>
          <w:tcPr>
            <w:tcW w:type="dxa" w:w="31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탈탄소, 배출계수 연동</w:t>
            </w:r>
          </w:p>
        </w:tc>
      </w:tr>
      <w:tr>
        <w:tc>
          <w:tcPr>
            <w:tcW w:type="dxa" w:w="22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단점</w:t>
            </w:r>
          </w:p>
        </w:tc>
        <w:tc>
          <w:tcPr>
            <w:tcW w:type="dxa" w:w="311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수소 인프라 필요</w:t>
            </w:r>
          </w:p>
        </w:tc>
        <w:tc>
          <w:tcPr>
            <w:tcW w:type="dxa" w:w="311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초기 그리드 배출 높음</w:t>
            </w:r>
          </w:p>
        </w:tc>
      </w:tr>
    </w:tbl>
    <w:p>
      <w:pPr>
        <w:spacing w:before="0" w:after="120"/>
      </w:pPr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75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h2_vs_el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666666"/>
          <w:sz w:val="16"/>
        </w:rPr>
        <w:t>그림 2. NCC-H2 vs NCC-Elec 비교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3-1. NCC-Elec CAPEX 심층 분석</w:t>
      </w:r>
    </w:p>
    <w:p>
      <w:pPr>
        <w:spacing w:before="160" w:after="200"/>
      </w:pPr>
      <w:r>
        <w:rPr>
          <w:rFonts w:ascii="맑은 고딕" w:hAnsi="맑은 고딕" w:eastAsia="맑은 고딕"/>
          <w:b w:val="0"/>
          <w:sz w:val="22"/>
        </w:rPr>
        <w:t>전기 분해로(e-Cracker) 전환 시나리오의 CAPEX를 연도별·기업별로 분석하고, 독일 레퍼런스와 비교합니다.</w:t>
      </w:r>
    </w:p>
    <w:p>
      <w:pPr>
        <w:spacing w:before="120" w:after="120"/>
      </w:pPr>
      <w:r>
        <w:rPr>
          <w:rFonts w:ascii="맑은 고딕" w:hAnsi="맑은 고딕" w:eastAsia="맑은 고딕"/>
          <w:b/>
          <w:color w:val="003E7E"/>
          <w:sz w:val="26"/>
        </w:rPr>
        <w:t>A. 연도별 CAPEX 추이 및 학습곡선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2030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2040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2050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 CAPEX ($/t-에틸렌/yr)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$220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$185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$150</w:t>
            </w:r>
          </w:p>
        </w:tc>
      </w:tr>
    </w:tbl>
    <w:p>
      <w:pPr>
        <w:spacing w:before="0" w:after="120"/>
      </w:pPr>
      <w:r>
        <w:rPr>
          <w:rFonts w:ascii="맑은 고딕" w:hAnsi="맑은 고딕" w:eastAsia="맑은 고딕"/>
          <w:b w:val="0"/>
          <w:color w:val="666666"/>
          <w:sz w:val="16"/>
        </w:rPr>
        <w:t>※ 출처: MIT Energy Initiative / Green Chemistry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신규 전환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누적 설비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누적 비율</w:t>
            </w:r>
          </w:p>
        </w:tc>
        <w:tc>
          <w:tcPr>
            <w:tcW w:type="dxa" w:w="198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누적 CAPEX (B$)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</w:t>
            </w:r>
          </w:p>
        </w:tc>
      </w:tr>
      <w:tr>
        <w:tc>
          <w:tcPr>
            <w:tcW w:type="dxa" w:w="1417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56%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2.8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4.5</w:t>
            </w:r>
          </w:p>
        </w:tc>
      </w:tr>
      <w:tr>
        <w:tc>
          <w:tcPr>
            <w:tcW w:type="dxa" w:w="1417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2040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4.2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40" w:after="40"/>
      </w:pPr>
      <w:r>
        <w:rPr>
          <w:rFonts w:ascii="맑은 고딕" w:hAnsi="맑은 고딕" w:eastAsia="맑은 고딕"/>
          <w:b w:val="0"/>
          <w:color w:val="003E7E"/>
          <w:sz w:val="24"/>
        </w:rPr>
        <w:t xml:space="preserve">총 CAPEX (모든 시나리오 동일): </w:t>
      </w:r>
      <w:r>
        <w:rPr>
          <w:rFonts w:ascii="맑은 고딕" w:hAnsi="맑은 고딕" w:eastAsia="맑은 고딕"/>
          <w:b/>
          <w:color w:val="CC0000"/>
          <w:sz w:val="28"/>
        </w:rPr>
        <w:t>9,300</w:t>
      </w:r>
      <w:r>
        <w:rPr>
          <w:rFonts w:ascii="맑은 고딕" w:hAnsi="맑은 고딕" w:eastAsia="맑은 고딕"/>
          <w:b w:val="0"/>
          <w:sz w:val="22"/>
        </w:rPr>
        <w:t xml:space="preserve"> 억원 (≈$6.8B)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3-1. NCC-Elec CAPEX 심층 분석 (계속)</w:t>
      </w:r>
    </w:p>
    <w:p>
      <w:pPr>
        <w:spacing w:before="120" w:after="120"/>
      </w:pPr>
      <w:r>
        <w:rPr>
          <w:rFonts w:ascii="맑은 고딕" w:hAnsi="맑은 고딕" w:eastAsia="맑은 고딕"/>
          <w:b/>
          <w:color w:val="003E7E"/>
          <w:sz w:val="26"/>
        </w:rPr>
        <w:t>B. 기업별 CAPEX 분해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</w:t>
            </w:r>
          </w:p>
        </w:tc>
        <w:tc>
          <w:tcPr>
            <w:tcW w:type="dxa" w:w="25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(억원)</w:t>
            </w:r>
          </w:p>
        </w:tc>
        <w:tc>
          <w:tcPr>
            <w:tcW w:type="dxa" w:w="170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LG화학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1,346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14.5%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롯데케미칼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1,112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12.0%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여천NCC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1,108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11.9%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한화솔루션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877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9.4%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SK지오센트릭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862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GS칼텍스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702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7.5%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에쓰오일 샤힌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691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7.4%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HD현대케미칼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671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에쓰오일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493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5.3%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대한유화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440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4.7%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HD현대오일뱅크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1.7%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SK에너지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138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1.5%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SK어드밴스드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1.4%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효성화학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111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Ulsan Aromatics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SK Incheon Petrochemical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111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태광산업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0.7%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금호석유화학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58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0.6%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OCI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카프로락탐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0.4%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롯데GS화학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0.3%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</w:t>
            </w:r>
          </w:p>
        </w:tc>
        <w:tc>
          <w:tcPr>
            <w:tcW w:type="dxa" w:w="25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9,300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</w:tbl>
    <w:p>
      <w:pPr>
        <w:spacing w:before="0" w:after="160"/>
      </w:pPr>
      <w:r>
        <w:rPr>
          <w:rFonts w:ascii="맑은 고딕" w:hAnsi="맑은 고딕" w:eastAsia="맑은 고딕"/>
          <w:b w:val="0"/>
          <w:color w:val="666666"/>
          <w:sz w:val="16"/>
        </w:rPr>
        <w:t>※ 시나리오: NCC-Elec flat_coupled 기준 (CAPEX는 에너지 가격 시나리오와 무관하게 동일)</w:t>
      </w:r>
    </w:p>
    <w:p>
      <w:pPr>
        <w:spacing w:before="120" w:after="120"/>
      </w:pPr>
      <w:r>
        <w:rPr>
          <w:rFonts w:ascii="맑은 고딕" w:hAnsi="맑은 고딕" w:eastAsia="맑은 고딕"/>
          <w:b/>
          <w:color w:val="003E7E"/>
          <w:sz w:val="26"/>
        </w:rPr>
        <w:t>C. 독일 e-Cracker 비교 &amp; CAPEX 출처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68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MIT Table 7 원가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$195/kg-에틸렌/day</w:t>
            </w:r>
          </w:p>
        </w:tc>
        <w:tc>
          <w:tcPr>
            <w:tcW w:type="dxa" w:w="368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e-Cracker baseline($233) 대비 -16%</w:t>
            </w:r>
          </w:p>
        </w:tc>
      </w:tr>
      <w:tr>
        <w:tc>
          <w:tcPr>
            <w:tcW w:type="dxa" w:w="1984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연간 단위 환산</w:t>
            </w:r>
          </w:p>
        </w:tc>
        <w:tc>
          <w:tcPr>
            <w:tcW w:type="dxa" w:w="22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$534/t/yr</w:t>
            </w:r>
          </w:p>
        </w:tc>
        <w:tc>
          <w:tcPr>
            <w:tcW w:type="dxa" w:w="368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$195×1000÷365 (신규 건설)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레트로핏 계수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×0.40</w:t>
            </w:r>
          </w:p>
        </w:tc>
        <w:tc>
          <w:tcPr>
            <w:tcW w:type="dxa" w:w="368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분해로 부분만 교체 → $214/t/yr</w:t>
            </w:r>
          </w:p>
        </w:tc>
      </w:tr>
      <w:tr>
        <w:tc>
          <w:tcPr>
            <w:tcW w:type="dxa" w:w="1984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리스크 프리미엄</w:t>
            </w:r>
          </w:p>
        </w:tc>
        <w:tc>
          <w:tcPr>
            <w:tcW w:type="dxa" w:w="22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×1.30</w:t>
            </w:r>
          </w:p>
        </w:tc>
        <w:tc>
          <w:tcPr>
            <w:tcW w:type="dxa" w:w="368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상용 전 단계 프리미엄 → $280/t/yr (2025)</w:t>
            </w:r>
          </w:p>
        </w:tc>
      </w:tr>
    </w:tbl>
    <w:p>
      <w:pPr>
        <w:spacing w:before="0" w:after="12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한국 (본 모델)</w:t>
            </w:r>
          </w:p>
        </w:tc>
        <w:tc>
          <w:tcPr>
            <w:tcW w:type="dxa" w:w="3402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독일 (BASF/SABIC/Linde)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기반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BASF eFurnace 데모 → MIT 논문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eFurnace 데모 (2024.4 가동)</w:t>
            </w:r>
          </w:p>
        </w:tc>
      </w:tr>
      <w:tr>
        <w:tc>
          <w:tcPr>
            <w:tcW w:type="dxa" w:w="170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규모</w:t>
            </w:r>
          </w:p>
        </w:tc>
        <w:tc>
          <w:tcPr>
            <w:tcW w:type="dxa" w:w="28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~200 kt/yr 이상</w:t>
            </w:r>
          </w:p>
        </w:tc>
        <w:tc>
          <w:tcPr>
            <w:tcW w:type="dxa" w:w="3402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 t/hr ≈ 35 kt/yr (데모)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CAPEX 기준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레트로핏 $280/t/yr (2025)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건설 $534/t/yr</w:t>
            </w:r>
          </w:p>
        </w:tc>
      </w:tr>
      <w:tr>
        <w:tc>
          <w:tcPr>
            <w:tcW w:type="dxa" w:w="170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 소비</w:t>
            </w:r>
          </w:p>
        </w:tc>
        <w:tc>
          <w:tcPr>
            <w:tcW w:type="dxa" w:w="28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5.0 MWh/t-에틸렌 (TRL 8)</w:t>
            </w:r>
          </w:p>
        </w:tc>
        <w:tc>
          <w:tcPr>
            <w:tcW w:type="dxa" w:w="3402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 MW 전기 (데모)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스케일 이점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대형 설비 → 학습곡선 반영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파일럿 단계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40"/>
      </w:pPr>
      <w:r>
        <w:rPr>
          <w:rFonts w:ascii="맑은 고딕" w:hAnsi="맑은 고딕" w:eastAsia="맑은 고딕"/>
          <w:b w:val="0"/>
          <w:color w:val="666666"/>
          <w:sz w:val="16"/>
        </w:rPr>
        <w:t>출처: MIT Energy Initiative / Green Chemistry 2025 (DOI: 10.1039/D4GC04538F)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color w:val="666666"/>
          <w:sz w:val="16"/>
        </w:rPr>
        <w:t>독일 데모: BASF/SABIC/Linde eFurnace — 2024년 4월 가동, Ludwigshafen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4. 핵심 발견 — "CAPEX는 1~5%에 불과"</w:t>
      </w:r>
    </w:p>
    <w:p>
      <w:pPr>
        <w:spacing w:before="160" w:after="240"/>
      </w:pPr>
      <w:r>
        <w:rPr>
          <w:rFonts w:ascii="맑은 고딕" w:hAnsi="맑은 고딕" w:eastAsia="맑은 고딕"/>
          <w:b w:val="0"/>
          <w:sz w:val="22"/>
        </w:rPr>
        <w:t>탈탄소 전환의 총비용은 에너지 가격 시나리오에 따라 214~761조원으로 추정되나, 설비투자(CAPEX)는 전체의 1~5%에 불과합니다.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color w:val="003E7E"/>
          <w:sz w:val="24"/>
        </w:rPr>
        <w:t xml:space="preserve">총 전환비용 범위: </w:t>
      </w:r>
      <w:r>
        <w:rPr>
          <w:rFonts w:ascii="맑은 고딕" w:hAnsi="맑은 고딕" w:eastAsia="맑은 고딕"/>
          <w:b/>
          <w:color w:val="CC0000"/>
          <w:sz w:val="28"/>
        </w:rPr>
        <w:t>214 ~ 761</w:t>
      </w:r>
      <w:r>
        <w:rPr>
          <w:rFonts w:ascii="맑은 고딕" w:hAnsi="맑은 고딕" w:eastAsia="맑은 고딕"/>
          <w:b w:val="0"/>
          <w:sz w:val="22"/>
        </w:rPr>
        <w:t xml:space="preserve"> 조원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color w:val="003E7E"/>
          <w:sz w:val="24"/>
        </w:rPr>
        <w:t xml:space="preserve">CAPEX 범위: </w:t>
      </w:r>
      <w:r>
        <w:rPr>
          <w:rFonts w:ascii="맑은 고딕" w:hAnsi="맑은 고딕" w:eastAsia="맑은 고딕"/>
          <w:b/>
          <w:color w:val="003E7E"/>
          <w:sz w:val="28"/>
        </w:rPr>
        <w:t>9.3 ~ 10.6</w:t>
      </w:r>
      <w:r>
        <w:rPr>
          <w:rFonts w:ascii="맑은 고딕" w:hAnsi="맑은 고딕" w:eastAsia="맑은 고딕"/>
          <w:b w:val="0"/>
          <w:sz w:val="22"/>
        </w:rPr>
        <w:t xml:space="preserve"> 조원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color w:val="003E7E"/>
          <w:sz w:val="24"/>
        </w:rPr>
        <w:t xml:space="preserve">CAPEX 비중: </w:t>
      </w:r>
      <w:r>
        <w:rPr>
          <w:rFonts w:ascii="맑은 고딕" w:hAnsi="맑은 고딕" w:eastAsia="맑은 고딕"/>
          <w:b/>
          <w:color w:val="003E7E"/>
          <w:sz w:val="28"/>
        </w:rPr>
        <w:t>1.2 ~ 4.9</w:t>
      </w:r>
      <w:r>
        <w:rPr>
          <w:rFonts w:ascii="맑은 고딕" w:hAnsi="맑은 고딕" w:eastAsia="맑은 고딕"/>
          <w:b w:val="0"/>
          <w:sz w:val="22"/>
        </w:rPr>
        <w:t xml:space="preserve"> %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60" w:after="240"/>
        <w:jc w:val="center"/>
      </w:pPr>
      <w:r>
        <w:rPr>
          <w:rFonts w:ascii="맑은 고딕" w:hAnsi="맑은 고딕" w:eastAsia="맑은 고딕"/>
          <w:b/>
          <w:color w:val="CC0000"/>
          <w:sz w:val="24"/>
        </w:rPr>
        <w:t>→ 에너지 비용이 93~98%를 차지. 에너지 정책이 약 500조원의 차이를 결정합니다.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98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총비용 (조원)</w:t>
            </w:r>
          </w:p>
        </w:tc>
        <w:tc>
          <w:tcPr>
            <w:tcW w:type="dxa" w:w="170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(조원)</w:t>
            </w:r>
          </w:p>
        </w:tc>
        <w:tc>
          <w:tcPr>
            <w:tcW w:type="dxa" w:w="170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비중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H2 RISING COUPLED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761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1.4%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H2 RISING DECOUPLED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237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10.1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H2 FLAT COUPLED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2.9%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H2 FLAT DECOUPLED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214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10.6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ELEC RISING COUPLED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1.8%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ELEC RISING DECOUPLED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514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1.8%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ELEC FLAT COUPLED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 ELEC FLAT DECOUPLED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217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4.3%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63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st_waterf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666666"/>
          <w:sz w:val="16"/>
        </w:rPr>
        <w:t>그림 3. 비용 구조 워터폴 차트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5. 좌초자산 리스크 — 시간이 없다</w:t>
      </w:r>
    </w:p>
    <w:p>
      <w:pPr>
        <w:spacing w:before="160" w:after="200"/>
      </w:pPr>
      <w:r>
        <w:rPr>
          <w:rFonts w:ascii="맑은 고딕" w:hAnsi="맑은 고딕" w:eastAsia="맑은 고딕"/>
          <w:b w:val="0"/>
          <w:sz w:val="22"/>
        </w:rPr>
        <w:t>1.5°C 경로 기준, NCC 설비는 2029~2030년에 약 35~37조원 규모의 좌초자산이 발생합니다.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color w:val="003E7E"/>
          <w:sz w:val="24"/>
        </w:rPr>
        <w:t xml:space="preserve">1.5°C 좌초자산 시점: </w:t>
      </w:r>
      <w:r>
        <w:rPr>
          <w:rFonts w:ascii="맑은 고딕" w:hAnsi="맑은 고딕" w:eastAsia="맑은 고딕"/>
          <w:b/>
          <w:color w:val="CC0000"/>
          <w:sz w:val="28"/>
        </w:rPr>
        <w:t>2029~2030년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color w:val="003E7E"/>
          <w:sz w:val="24"/>
        </w:rPr>
        <w:t xml:space="preserve">좌초 규모: </w:t>
      </w:r>
      <w:r>
        <w:rPr>
          <w:rFonts w:ascii="맑은 고딕" w:hAnsi="맑은 고딕" w:eastAsia="맑은 고딕"/>
          <w:b/>
          <w:color w:val="CC0000"/>
          <w:sz w:val="28"/>
        </w:rPr>
        <w:t>35~37</w:t>
      </w:r>
      <w:r>
        <w:rPr>
          <w:rFonts w:ascii="맑은 고딕" w:hAnsi="맑은 고딕" w:eastAsia="맑은 고딕"/>
          <w:b w:val="0"/>
          <w:sz w:val="22"/>
        </w:rPr>
        <w:t xml:space="preserve"> 조원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160"/>
      </w:pPr>
      <w:r>
        <w:rPr>
          <w:rFonts w:ascii="맑은 고딕" w:hAnsi="맑은 고딕" w:eastAsia="맑은 고딕"/>
          <w:b/>
          <w:sz w:val="22"/>
        </w:rPr>
        <w:t>상위 5개사가 전체 좌초자산의 83%를 차지합니다.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</w:t>
            </w:r>
          </w:p>
        </w:tc>
        <w:tc>
          <w:tcPr>
            <w:tcW w:type="dxa" w:w="1417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설비 수</w:t>
            </w:r>
          </w:p>
        </w:tc>
        <w:tc>
          <w:tcPr>
            <w:tcW w:type="dxa" w:w="198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좌초가치 (억 달러)</w:t>
            </w:r>
          </w:p>
        </w:tc>
        <w:tc>
          <w:tcPr>
            <w:tcW w:type="dxa" w:w="170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S-Oil Shaheen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25.7%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LG Chem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5.6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20.8%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GS Caltex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16.1%</w:t>
            </w:r>
          </w:p>
        </w:tc>
      </w:tr>
      <w:tr>
        <w:tc>
          <w:tcPr>
            <w:tcW w:type="dxa" w:w="28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 Hyundai Chemical</w:t>
            </w:r>
          </w:p>
        </w:tc>
        <w:tc>
          <w:tcPr>
            <w:tcW w:type="dxa" w:w="1417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8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</w:t>
            </w:r>
          </w:p>
        </w:tc>
        <w:tc>
          <w:tcPr>
            <w:tcW w:type="dxa" w:w="170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12.6%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S-Oil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8.0%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67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nded_by_compan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666666"/>
          <w:sz w:val="16"/>
        </w:rPr>
        <w:t>그림 4. 기업별 좌초자산 분포</w:t>
      </w:r>
    </w:p>
    <w:p>
      <w:r>
        <w:br w:type="page"/>
      </w:r>
    </w:p>
    <w:p>
      <w:pPr>
        <w:spacing w:before="120" w:after="40"/>
        <w:pBdr>
          <w:bottom w:val="single" w:sz="18" w:space="1" w:color="0070C0"/>
        </w:pBdr>
      </w:pPr>
      <w:r>
        <w:rPr>
          <w:rFonts w:ascii="맑은 고딕" w:hAnsi="맑은 고딕" w:eastAsia="맑은 고딕"/>
          <w:b/>
          <w:color w:val="003E7E"/>
          <w:sz w:val="40"/>
        </w:rPr>
        <w:t>6. 시사점 및 제언</w:t>
      </w:r>
    </w:p>
    <w:p>
      <w:pPr>
        <w:spacing w:before="200" w:after="160"/>
      </w:pPr>
      <w:r>
        <w:rPr>
          <w:rFonts w:ascii="맑은 고딕" w:hAnsi="맑은 고딕" w:eastAsia="맑은 고딕"/>
          <w:b/>
          <w:color w:val="003E7E"/>
          <w:sz w:val="28"/>
        </w:rPr>
        <w:t>핵심 메시지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003E7E"/>
          <w:sz w:val="24"/>
        </w:rPr>
        <w:t>① 기술은 준비되어 있다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sz w:val="20"/>
        </w:rPr>
        <w:t>5개 핵심 기술 중 4개가 TRL 7~9 수준으로, 상용 적용이 가능한 단계입니다.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003E7E"/>
          <w:sz w:val="24"/>
        </w:rPr>
        <w:t>② CAPEX보다 에너지 인프라·가격 정책이 결정적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sz w:val="20"/>
        </w:rPr>
        <w:t>설비투자는 전체 전환비용의 1~5%에 불과하며, 에너지 가격 시나리오에 따라 약 500조원의 비용 차이가 발생합니다.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003E7E"/>
          <w:sz w:val="24"/>
        </w:rPr>
        <w:t>③ 2029년 좌초자산 리스크 → 선제적 전환 전략 필요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sz w:val="20"/>
        </w:rPr>
        <w:t>1.5°C 경로에서 NCC 설비는 2029~2030년부터 좌초 위험에 직면하며, 상위 5개사에 83% 이상 집중되어 있습니다.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20" w:after="160"/>
      </w:pPr>
      <w:r>
        <w:rPr>
          <w:rFonts w:ascii="맑은 고딕" w:hAnsi="맑은 고딕" w:eastAsia="맑은 고딕"/>
          <w:b/>
          <w:color w:val="003E7E"/>
          <w:sz w:val="28"/>
        </w:rPr>
        <w:t>정책 제언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▸ 에너지-산업 통합 전략: 청정수소·재생에너지 가격 경쟁력 확보를 위한 산업용 에너지 전환 로드맵 수립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▸ 좌초자산 대응: NCC 보유 기업 대상 설비 전환 지원 및 금융 리스크 관리 프레임워크 구축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▸ 지역 인프라 투자: 여수·울산·서산·대산 석유화학 클러스터의 수소 파이프라인 및 송전 인프라 선제 투자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맑은 고딕" w:hAnsi="맑은 고딕" w:eastAsia="맑은 고딕"/>
          <w:b/>
          <w:color w:val="003E7E"/>
          <w:sz w:val="40"/>
        </w:rPr>
        <w:t>PLANiT Institute</w:t>
      </w:r>
    </w:p>
    <w:p>
      <w:pPr>
        <w:spacing w:after="400"/>
        <w:jc w:val="center"/>
        <w:pBdr>
          <w:bottom w:val="single" w:sz="18" w:space="1" w:color="003E7E"/>
        </w:pBdr>
      </w:pP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본 보고서는 한국 석유화학 산업의 탈탄소 전환 투자비용 분석 결과입니다.</w:t>
      </w:r>
    </w:p>
    <w:p>
      <w:pPr>
        <w:spacing w:after="40"/>
        <w:jc w:val="center"/>
      </w:pP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데이터 출처: IEA, MIT Energy Initiative, KIER, 각사 환경보고서</w:t>
      </w: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분석 도구: Python (pandas, numpy) / MACC 모델링 프레임워크</w:t>
      </w:r>
    </w:p>
    <w:p>
      <w:pPr>
        <w:spacing w:after="40"/>
        <w:jc w:val="center"/>
      </w:pP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문의: PLANiT Institute</w:t>
      </w:r>
    </w:p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