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80"/>
        <w:jc w:val="center"/>
      </w:pPr>
      <w:r>
        <w:rPr>
          <w:rFonts w:ascii="Malgun Gothic" w:hAnsi="Malgun Gothic" w:eastAsia="Malgun Gothic"/>
          <w:b/>
          <w:i w:val="0"/>
          <w:sz w:val="56"/>
        </w:rPr>
        <w:t>한국 석유화학 산업</w:t>
        <w:br/>
        <w:t>MACC 모델 분석 보고서</w:t>
      </w:r>
    </w:p>
    <w:p>
      <w:pPr>
        <w:spacing w:after="240"/>
        <w:jc w:val="center"/>
      </w:pPr>
      <w:r>
        <w:rPr>
          <w:rFonts w:ascii="Malgun Gothic" w:hAnsi="Malgun Gothic" w:eastAsia="Malgun Gothic"/>
          <w:b w:val="0"/>
          <w:i w:val="0"/>
          <w:sz w:val="32"/>
        </w:rPr>
        <w:t>6개 시나리오 분석 결과</w:t>
      </w:r>
    </w:p>
    <w:p>
      <w:pPr>
        <w:spacing w:after="720"/>
        <w:jc w:val="center"/>
      </w:pPr>
      <w:r>
        <w:rPr>
          <w:rFonts w:ascii="Malgun Gothic" w:hAnsi="Malgun Gothic" w:eastAsia="Malgun Gothic"/>
          <w:b w:val="0"/>
          <w:i w:val="0"/>
          <w:sz w:val="28"/>
        </w:rPr>
        <w:t>(3개 생산량 경로 × 2개 기술 경로)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  <w:sz w:val="28"/>
        </w:rPr>
        <w:t>2025년 10월 30일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color w:val="003366"/>
        </w:rPr>
        <w:t>요약 (Executive Summary)</w:t>
      </w:r>
    </w:p>
    <w:p>
      <w:pPr>
        <w:pStyle w:val="Heading2"/>
      </w:pPr>
      <w:r>
        <w:rPr>
          <w:rFonts w:ascii="Malgun Gothic" w:hAnsi="Malgun Gothic" w:eastAsia="Malgun Gothic"/>
          <w:color w:val="003366"/>
        </w:rPr>
        <w:t>1. 연구 배경 및 목적</w:t>
      </w:r>
    </w:p>
    <w:p>
      <w:r>
        <w:rPr>
          <w:rFonts w:ascii="Malgun Gothic" w:hAnsi="Malgun Gothic" w:eastAsia="Malgun Gothic"/>
          <w:b w:val="0"/>
          <w:i w:val="0"/>
          <w:sz w:val="22"/>
        </w:rPr>
        <w:t>한국 석유화학 산업은 2050 탄소중립 목표 달성을 위해 혁신적인 저탄소 기술 도입이 필수적입니다. 본 연구는 한국 석유화학 산업의 248개 생산시설을 대상으로 MACC (Marginal Abatement Cost Curve) 모델을 구축하여, 비용 최적화 관점에서 탄소중립 달성 경로를 제시합니다.</w:t>
      </w:r>
    </w:p>
    <w:p/>
    <w:p>
      <w:pPr>
        <w:pStyle w:val="Heading2"/>
      </w:pPr>
      <w:r>
        <w:rPr>
          <w:rFonts w:ascii="Malgun Gothic" w:hAnsi="Malgun Gothic" w:eastAsia="Malgun Gothic"/>
          <w:color w:val="003366"/>
        </w:rPr>
        <w:t>2. 분석 시나리오</w:t>
      </w:r>
    </w:p>
    <w:p>
      <w:r>
        <w:rPr>
          <w:rFonts w:ascii="Malgun Gothic" w:hAnsi="Malgun Gothic" w:eastAsia="Malgun Gothic"/>
          <w:b w:val="0"/>
          <w:i w:val="0"/>
          <w:sz w:val="22"/>
        </w:rPr>
        <w:t>본 연구는 3개 생산량 경로와 2개 기술 경로를 조합하여 총 6개 시나리오를 분석했습니다: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【생산량 시나리오】</w:t>
      </w:r>
    </w:p>
    <w:p>
      <w:pPr>
        <w:pStyle w:val="ListBullet"/>
      </w:pPr>
      <w:r>
        <w:rPr>
          <w:b/>
        </w:rPr>
        <w:t xml:space="preserve">Shaheen (성장 시나리오): </w:t>
      </w:r>
      <w:r>
        <w:t>2050년까지 연평균 1.5% 성장</w:t>
      </w:r>
    </w:p>
    <w:p>
      <w:pPr>
        <w:pStyle w:val="ListBullet"/>
      </w:pPr>
      <w:r>
        <w:rPr>
          <w:b/>
        </w:rPr>
        <w:t xml:space="preserve">구조조정 25%: </w:t>
      </w:r>
      <w:r>
        <w:t>2050년까지 생산량 25% 감소</w:t>
      </w:r>
    </w:p>
    <w:p>
      <w:pPr>
        <w:pStyle w:val="ListBullet"/>
      </w:pPr>
      <w:r>
        <w:rPr>
          <w:b/>
        </w:rPr>
        <w:t xml:space="preserve">구조조정 40%: </w:t>
      </w:r>
      <w:r>
        <w:t>2050년까지 생산량 40% 감소 (공격적 구조조정)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【기술 경로】</w:t>
      </w:r>
    </w:p>
    <w:p>
      <w:pPr>
        <w:pStyle w:val="ListBullet"/>
      </w:pPr>
      <w:r>
        <w:rPr>
          <w:b/>
        </w:rPr>
        <w:t xml:space="preserve">NCC-H₂ 경로: </w:t>
      </w:r>
      <w:r>
        <w:t>나프타 크래커에 수소 연료 전환 기술 우선 적용</w:t>
      </w:r>
    </w:p>
    <w:p>
      <w:pPr>
        <w:pStyle w:val="ListBullet"/>
      </w:pPr>
      <w:r>
        <w:rPr>
          <w:b/>
        </w:rPr>
        <w:t xml:space="preserve">NCC-전기 경로: </w:t>
      </w:r>
      <w:r>
        <w:t>나프타 크래커에 재생에너지 기반 전기 크래킹 기술 우선 적용</w:t>
      </w:r>
    </w:p>
    <w:p/>
    <w:p>
      <w:pPr>
        <w:pStyle w:val="Heading2"/>
      </w:pPr>
      <w:r>
        <w:rPr>
          <w:rFonts w:ascii="Malgun Gothic" w:hAnsi="Malgun Gothic" w:eastAsia="Malgun Gothic"/>
          <w:color w:val="003366"/>
        </w:rPr>
        <w:t>3. 주요 분석 결과</w:t>
      </w:r>
    </w:p>
    <w:p>
      <w:pPr>
        <w:jc w:val="center"/>
      </w:pPr>
      <w:r>
        <w:rPr>
          <w:rFonts w:ascii="Malgun Gothic" w:hAnsi="Malgun Gothic" w:eastAsia="Malgun Gothic"/>
          <w:b/>
          <w:i w:val="0"/>
          <w:sz w:val="20"/>
        </w:rPr>
        <w:t>표 1. 6개 시나리오 주요 결과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시나리오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2050 누적비용 (십억$)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NCC-H₂ 적용 (Mt)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NCC-전기 적용 (Mt)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H₂ 소비 (kt/yr)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전력 증가 (TWh)</w:t>
            </w:r>
          </w:p>
        </w:tc>
      </w:tr>
      <w:tr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Shaheen (성장) + NCC-H2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58.3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60.1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33.6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</w:tr>
      <w:tr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Shaheen (성장) + NCC-Electricity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63.5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60.1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318.3</w:t>
            </w:r>
          </w:p>
        </w:tc>
      </w:tr>
      <w:tr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구조조정 25% + NCC-H2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32.7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40.0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22.4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</w:tr>
      <w:tr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구조조정 25% + NCC-Electricity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36.0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40.0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211.8</w:t>
            </w:r>
          </w:p>
        </w:tc>
      </w:tr>
      <w:tr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구조조정 40% + NCC-H2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27.5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33.6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18.8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</w:tr>
      <w:tr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구조조정 40% + NCC-Electricity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30.2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33.6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178.0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color w:val="003366"/>
        </w:rPr>
        <w:t>4. 핵심 발견사항</w:t>
      </w:r>
    </w:p>
    <w:p>
      <w:r>
        <w:rPr>
          <w:rFonts w:ascii="Malgun Gothic" w:hAnsi="Malgun Gothic" w:eastAsia="Malgun Gothic"/>
          <w:b/>
          <w:i w:val="0"/>
          <w:sz w:val="22"/>
        </w:rPr>
        <w:t>【비용 효율성】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• NCC-H₂ 경로가 NCC-전기 경로 대비 일관되게 9-11% 저렴함</w:t>
        <w:br/>
        <w:t>• Shaheen 시나리오: NCC-H₂ $58.3B vs NCC-전기 $63.5B (차이 $5.2B)</w:t>
        <w:br/>
        <w:t>• 구조조정 25%: NCC-H₂ $32.7B vs NCC-전기 $36.0B (차이 $3.3B)</w:t>
        <w:br/>
        <w:t>• 구조조정 40%: NCC-H₂ $27.5B vs NCC-전기 $30.2B (차이 $2.7B)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【인프라 요구사항】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• NCC-H₂ 경로: 수소 18.8-33.6 kt/yr 필요 (생산량에 따라)</w:t>
        <w:br/>
        <w:t>• NCC-전기 경로: 재생에너지 전력 178-318 TWh 필요</w:t>
        <w:br/>
        <w:t>• NCC-전기는 NCC-H₂ 대비 약 1,000배 이상의 에너지 인프라 필요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【기술 배치】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• Heat Pump: 모든 시나리오에서 2026년부터 즉시 적용 (비용 효과적)</w:t>
        <w:br/>
        <w:t>• RE_PPA: 2026년부터 적용 시작 (Grid 가격 상승으로 경제성 확보)</w:t>
        <w:br/>
        <w:t>• NCC 기술: 2030년대 중반부터 본격 배치 (현재 상용화 단계)</w:t>
      </w:r>
    </w:p>
    <w:p/>
    <w:p>
      <w:pPr>
        <w:pStyle w:val="Heading2"/>
      </w:pPr>
      <w:r>
        <w:rPr>
          <w:rFonts w:ascii="Malgun Gothic" w:hAnsi="Malgun Gothic" w:eastAsia="Malgun Gothic"/>
          <w:color w:val="003366"/>
        </w:rPr>
        <w:t>5. 정책 시사점</w:t>
      </w:r>
    </w:p>
    <w:p>
      <w:pPr>
        <w:pStyle w:val="ListNumber"/>
      </w:pPr>
      <w:r>
        <w:rPr>
          <w:b/>
        </w:rPr>
        <w:t xml:space="preserve">비용 효율성: </w:t>
      </w:r>
      <w:r>
        <w:t>NCC-H₂ 경로가 9-11% 저렴하므로, 수소 인프라 구축에 우선순위 부여 필요</w:t>
      </w:r>
    </w:p>
    <w:p>
      <w:pPr>
        <w:pStyle w:val="ListNumber"/>
      </w:pPr>
      <w:r>
        <w:rPr>
          <w:b/>
        </w:rPr>
        <w:t xml:space="preserve">인프라 현실성: </w:t>
      </w:r>
      <w:r>
        <w:t>NCC-전기는 막대한 재생에너지 전력(178-318 TWh)이 필요하므로, 한국의 재생에너지 잠재량 고려 시 실현 가능성 검토 필요</w:t>
      </w:r>
    </w:p>
    <w:p>
      <w:pPr>
        <w:pStyle w:val="ListNumber"/>
      </w:pPr>
      <w:r>
        <w:rPr>
          <w:b/>
        </w:rPr>
        <w:t xml:space="preserve">단계적 접근: </w:t>
      </w:r>
      <w:r>
        <w:t>Heat Pump 및 RE_PPA를 단기적으로 우선 배치하고, NCC 기술은 2030년대 이후 상용화에 맞춰 점진적 도입</w:t>
      </w:r>
    </w:p>
    <w:p>
      <w:pPr>
        <w:pStyle w:val="ListNumber"/>
      </w:pPr>
      <w:r>
        <w:rPr>
          <w:b/>
        </w:rPr>
        <w:t xml:space="preserve">지역별 맞춤 전략: </w:t>
      </w:r>
      <w:r>
        <w:t>여수(40%), 대산(34%) 등 주요 클러스터에 집중적 인프라 투자</w:t>
      </w:r>
    </w:p>
    <w:p>
      <w:pPr>
        <w:pStyle w:val="ListNumber"/>
      </w:pPr>
      <w:r>
        <w:rPr>
          <w:b/>
        </w:rPr>
        <w:t xml:space="preserve">기업 협력: </w:t>
      </w:r>
      <w:r>
        <w:t>LG Chem, Yeochon NCC, Lotte Chemical 등 주요 배출기업과의 협력체계 구축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color w:val="003366"/>
        </w:rPr>
        <w:t>모델 개요 (Model Overview)</w:t>
      </w:r>
    </w:p>
    <w:p>
      <w:pPr>
        <w:pStyle w:val="Heading2"/>
      </w:pPr>
      <w:r>
        <w:rPr>
          <w:rFonts w:ascii="Malgun Gothic" w:hAnsi="Malgun Gothic" w:eastAsia="Malgun Gothic"/>
          <w:color w:val="003366"/>
        </w:rPr>
        <w:t>1. 모델 구조</w:t>
      </w:r>
    </w:p>
    <w:p>
      <w:r>
        <w:rPr>
          <w:rFonts w:ascii="Malgun Gothic" w:hAnsi="Malgun Gothic" w:eastAsia="Malgun Gothic"/>
          <w:b w:val="0"/>
          <w:i w:val="0"/>
          <w:sz w:val="22"/>
        </w:rPr>
        <w:t>본 MACC 모델은 3개 모듈로 구성된 비용 최적화 모델입니다: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【Module 1: 배출량 기준선 (Baseline)】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• 248개 생산시설의 2025년 기준 배출량 산정</w:t>
        <w:br/>
        <w:t>• 생산량 시나리오(Shaheen, 구조조정 25%, 구조조정 40%)에 따른 BAU 배출량 전망</w:t>
        <w:br/>
        <w:t>• 시설별 제품 유형, 공정 유형, 위치, 소유 기업 정보 포함</w:t>
        <w:br/>
        <w:t>• 50년 시설 수명 가정 하의 신규/폐쇄 시설 추적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【Module 2: MACC 곡선 생성】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• 4개 저탄소 기술의 연도별 MACC 계산:</w:t>
        <w:br/>
        <w:t xml:space="preserve">  - Heat Pump: 저온 공정열 전기화 (스팀 보일러 대체)</w:t>
        <w:br/>
        <w:t xml:space="preserve">  - RE_PPA: 재생에너지 전력구매계약 (Grid 전력 대체)</w:t>
        <w:br/>
        <w:t xml:space="preserve">  - NCC-H₂: 수소 연료 전환 나프타 크래커 (화석연료 연소 대체)</w:t>
        <w:br/>
        <w:t xml:space="preserve">  - NCC-전기: 재생에너지 기반 전기 크래커 (화석연료 연소 대체)</w:t>
        <w:br/>
        <w:t>• 각 기술의 CAPEX, OPEX, 감축량 계산</w:t>
        <w:br/>
        <w:t>• $/tCO₂ 단위의 한계감축비용 산출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【Module 3: 비용 최적화】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• 탄소중립 목표 달성을 위한 최소비용 기술 배치 계산</w:t>
        <w:br/>
        <w:t>• Greedy Algorithm: MACC 순서대로 비용 효과적 기술부터 배치</w:t>
        <w:br/>
        <w:t>• 제약조건:</w:t>
        <w:br/>
        <w:t xml:space="preserve">  - NCC-H₂와 NCC-전기는 상호 배타적 (둘 중 하나만 선택)</w:t>
        <w:br/>
        <w:t xml:space="preserve">  - 기술 비가역성 (한번 배치하면 되돌릴 수 없음)</w:t>
        <w:br/>
        <w:t xml:space="preserve">  - 시설별 적용 가능성 (나프타 크래커만 NCC 적용 가능)</w:t>
        <w:br/>
        <w:t>• 2025-2050년 연도별 기술 배치 및 누적 비용 산출</w:t>
      </w:r>
    </w:p>
    <w:p/>
    <w:p>
      <w:pPr>
        <w:pStyle w:val="Heading2"/>
      </w:pPr>
      <w:r>
        <w:rPr>
          <w:rFonts w:ascii="Malgun Gothic" w:hAnsi="Malgun Gothic" w:eastAsia="Malgun Gothic"/>
          <w:color w:val="003366"/>
        </w:rPr>
        <w:t>2. 주요 가정</w:t>
      </w:r>
    </w:p>
    <w:p>
      <w:r>
        <w:rPr>
          <w:rFonts w:ascii="Malgun Gothic" w:hAnsi="Malgun Gothic" w:eastAsia="Malgun Gothic"/>
          <w:b/>
          <w:i w:val="0"/>
          <w:sz w:val="22"/>
        </w:rPr>
        <w:t>【가격 전망】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• Grid 전력 가격: $100/MWh (2025) → $191.38/MWh (2050), 선형 증가</w:t>
        <w:br/>
        <w:t>• RE_PPA 가격: $191.38/MWh (2025-2050 고정)</w:t>
        <w:br/>
        <w:t>• 수소 가격: $4.5/kg (2025) → $2.0/kg (2050), 선형 감소</w:t>
        <w:br/>
        <w:t>• 나프타 가격: $700/ton (2025-2050 고정)</w:t>
        <w:br/>
        <w:br/>
        <w:t>주요 변경사항: Grid 가격이 2050년까지 RE_PPA 가격으로 수렴하도록 설정하여, 재생에너지 전력의 경제성이 점진적으로 개선되도록 모델링했습니다.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【Grid 배출계수 (Emission Factor)】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• 2025: 0.4596 tCO₂/MWh</w:t>
        <w:br/>
        <w:t>• 2030: 0.3484 tCO₂/MWh (IEA Korea STEPS)</w:t>
        <w:br/>
        <w:t>• 2040: 0.1952 tCO₂/MWh</w:t>
        <w:br/>
        <w:t>• 2050: 0.0420 tCO₂/MWh (한국 NDC 목표)</w:t>
        <w:br/>
        <w:br/>
        <w:t>한국 전력망의 탈탄소화 경로를 반영하여, Grid 전력 사용 시설의 배출량도 시간에 따라 자동으로 감소합니다.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【기술 파라미터】</w:t>
      </w:r>
    </w:p>
    <w:p>
      <w:r>
        <w:rPr>
          <w:rFonts w:ascii="Malgun Gothic" w:hAnsi="Malgun Gothic" w:eastAsia="Malgun Gothic"/>
          <w:b/>
          <w:i w:val="0"/>
          <w:sz w:val="20"/>
        </w:rPr>
        <w:t>Heat Pump:</w:t>
      </w:r>
    </w:p>
    <w:p>
      <w:r>
        <w:rPr>
          <w:rFonts w:ascii="Malgun Gothic" w:hAnsi="Malgun Gothic" w:eastAsia="Malgun Gothic"/>
          <w:b w:val="0"/>
          <w:i w:val="0"/>
          <w:sz w:val="22"/>
        </w:rPr>
        <w:t>• CAPEX: $800-1,200/ton 제품 (시설 규모에 따라)</w:t>
        <w:br/>
        <w:t>• 고정 OPEX: CAPEX의 3%/년</w:t>
        <w:br/>
        <w:t>• 전력 소비 증가: 0.5 MWh/ton 제품</w:t>
        <w:br/>
        <w:t>• 화석연료 감소: 1.8 GJ/ton 제품 (LNG 기준)</w:t>
        <w:br/>
        <w:t>• 적용 대상: 모든 제품 (저온 공정열)</w:t>
        <w:br/>
        <w:t>• 참고문헌: IEA (2022), Ecofys (2019)</w:t>
      </w:r>
    </w:p>
    <w:p/>
    <w:p>
      <w:r>
        <w:rPr>
          <w:rFonts w:ascii="Malgun Gothic" w:hAnsi="Malgun Gothic" w:eastAsia="Malgun Gothic"/>
          <w:b/>
          <w:i w:val="0"/>
          <w:sz w:val="20"/>
        </w:rPr>
        <w:t>RE_PPA:</w:t>
      </w:r>
    </w:p>
    <w:p>
      <w:r>
        <w:rPr>
          <w:rFonts w:ascii="Malgun Gothic" w:hAnsi="Malgun Gothic" w:eastAsia="Malgun Gothic"/>
          <w:b w:val="0"/>
          <w:i w:val="0"/>
          <w:sz w:val="22"/>
        </w:rPr>
        <w:t>• CAPEX: $0 (전력구매계약만 체결)</w:t>
        <w:br/>
        <w:t>• 가변 OPEX: RE_PPA 가격 - Grid 가격 차이</w:t>
        <w:br/>
        <w:t>• 배출 감축: Grid 배출계수만큼 (100% 재생에너지)</w:t>
        <w:br/>
        <w:t>• 적용 대상: 전력 사용 모든 시설</w:t>
        <w:br/>
        <w:t>• 참고문헌: IRENA (2023)</w:t>
      </w:r>
    </w:p>
    <w:p/>
    <w:p>
      <w:r>
        <w:rPr>
          <w:rFonts w:ascii="Malgun Gothic" w:hAnsi="Malgun Gothic" w:eastAsia="Malgun Gothic"/>
          <w:b/>
          <w:i w:val="0"/>
          <w:sz w:val="20"/>
        </w:rPr>
        <w:t>NCC-H₂:</w:t>
      </w:r>
    </w:p>
    <w:p>
      <w:r>
        <w:rPr>
          <w:rFonts w:ascii="Malgun Gothic" w:hAnsi="Malgun Gothic" w:eastAsia="Malgun Gothic"/>
          <w:b w:val="0"/>
          <w:i w:val="0"/>
          <w:sz w:val="22"/>
        </w:rPr>
        <w:t>• CAPEX: $300-500/ton 에틸렌 (기존 설비 개조)</w:t>
        <w:br/>
        <w:t>• 고정 OPEX: CAPEX의 3%/년</w:t>
        <w:br/>
        <w:t>• 수소 소비: 0.2 ton H₂/ton 에틸렌 (연료로만 사용)</w:t>
        <w:br/>
        <w:t>• 나프타 피드스톡: 105 GJ/ton (변경 없음, 계속 구매)</w:t>
        <w:br/>
        <w:t>• 화석연료 연소: 0으로 감소 (LNG/Fuel Gas 대체)</w:t>
        <w:br/>
        <w:t>• 배출 감축: 연소 배출량의 100%</w:t>
        <w:br/>
        <w:t>• 적용 대상: 나프타 크래커만</w:t>
        <w:br/>
        <w:t>• 참고문헌: BASF/SABIC/Linde (2024)</w:t>
        <w:br/>
        <w:br/>
        <w:t>⚠️ 중요: 우리 모델은 Type 1 (H₂를 연료로 사용)을 적용합니다.</w:t>
        <w:br/>
        <w:t>Type 2 (H₂를 피드스톡으로 사용, 4-8 ton H₂/ton 필요)는 사용하지 않습니다.</w:t>
      </w:r>
    </w:p>
    <w:p/>
    <w:p>
      <w:r>
        <w:rPr>
          <w:rFonts w:ascii="Malgun Gothic" w:hAnsi="Malgun Gothic" w:eastAsia="Malgun Gothic"/>
          <w:b/>
          <w:i w:val="0"/>
          <w:sz w:val="20"/>
        </w:rPr>
        <w:t>NCC-전기:</w:t>
      </w:r>
    </w:p>
    <w:p>
      <w:r>
        <w:rPr>
          <w:rFonts w:ascii="Malgun Gothic" w:hAnsi="Malgun Gothic" w:eastAsia="Malgun Gothic"/>
          <w:b w:val="0"/>
          <w:i w:val="0"/>
          <w:sz w:val="22"/>
        </w:rPr>
        <w:t>• CAPEX: $800-1,200/ton 에틸렌 (완전 신규 설비)</w:t>
        <w:br/>
        <w:t>• 고정 OPEX: CAPEX의 3%/년</w:t>
        <w:br/>
        <w:t>• 재생에너지 전력 소비: 5.0 MWh/ton 에틸렌</w:t>
        <w:br/>
        <w:t>• 나프타 피드스톡: 105 GJ/ton (변경 없음, 계속 구매)</w:t>
        <w:br/>
        <w:t>• 화석연료 연소: 0으로 감소</w:t>
        <w:br/>
        <w:t>• 배출 감축: 연소 배출량의 100% (재생에너지 = 배출 0)</w:t>
        <w:br/>
        <w:t>• 적용 대상: 나프타 크래커만</w:t>
        <w:br/>
        <w:t>• 참고문헌: BASF/SABIC/Linde (2024)</w:t>
        <w:br/>
        <w:br/>
        <w:t>⚠️ 주요 변경: NCC-전기는 재생에너지(RE_PPA) 전력을 사용하므로</w:t>
        <w:br/>
        <w:t>배출계수 = 0이며, 100% 감축을 달성합니다.</w:t>
      </w:r>
    </w:p>
    <w:p/>
    <w:p>
      <w:pPr>
        <w:pStyle w:val="Heading2"/>
      </w:pPr>
      <w:r>
        <w:rPr>
          <w:rFonts w:ascii="Malgun Gothic" w:hAnsi="Malgun Gothic" w:eastAsia="Malgun Gothic"/>
          <w:color w:val="003366"/>
        </w:rPr>
        <w:t>3. NCC-H₂의 두 가지 접근법</w:t>
      </w:r>
    </w:p>
    <w:p>
      <w:r>
        <w:rPr>
          <w:rFonts w:ascii="Malgun Gothic" w:hAnsi="Malgun Gothic" w:eastAsia="Malgun Gothic"/>
          <w:b w:val="0"/>
          <w:i w:val="0"/>
          <w:sz w:val="22"/>
        </w:rPr>
        <w:t>문헌조사 결과, 수소 기반 나프타 크래커 탈탄소화에는 두 가지 접근법이 있습니다: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【Type 1: 수소를 연료로 사용 (H₂ Combustion)】 ← 우리 모델</w:t>
      </w:r>
    </w:p>
    <w:p>
      <w:r>
        <w:rPr>
          <w:rFonts w:ascii="Malgun Gothic" w:hAnsi="Malgun Gothic" w:eastAsia="Malgun Gothic"/>
          <w:b w:val="0"/>
          <w:i w:val="0"/>
          <w:sz w:val="22"/>
        </w:rPr>
        <w:t>개념:</w:t>
        <w:br/>
        <w:t>• 나프타 피드스톡은 그대로 유지 (105 GJ/ton)</w:t>
        <w:br/>
        <w:t>• 기존 LNG/Fuel Gas 연소를 수소 연소로 대체</w:t>
        <w:br/>
        <w:t>• 수소 + 산소 → 물 + 열 (연소반응)</w:t>
        <w:br/>
        <w:t>• 나프타 크래킹 화학반응은 변경 없음</w:t>
        <w:br/>
        <w:br/>
        <w:t>수소 소비량: 0.2 ton H₂/ton 에틸렌 (200 kg/ton)</w:t>
        <w:br/>
        <w:br/>
        <w:t>기술 성숙도:</w:t>
        <w:br/>
        <w:t>• 기존 설비 개조 가능 (버너 교체 등)</w:t>
        <w:br/>
        <w:t>• BASF/SABIC/Linde 2024년 파일럿 성공</w:t>
        <w:br/>
        <w:t>• 상용화 목표: 2030년대 초중반</w:t>
        <w:br/>
        <w:br/>
        <w:t>장점:</w:t>
        <w:br/>
        <w:t>• 상대적으로 낮은 CAPEX ($300-500/ton)</w:t>
        <w:br/>
        <w:t>• 기존 나프타 크래커 개조 가능</w:t>
        <w:br/>
        <w:t>• 적은 수소 소비량 (18.8-33.6 kt/yr)</w:t>
        <w:br/>
        <w:br/>
        <w:t>단점:</w:t>
        <w:br/>
        <w:t>• 수소 인프라 구축 필요</w:t>
        <w:br/>
        <w:t>• 연소 최적화 기술 개발 필요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【Type 2: 수소를 피드스톡으로 사용 (H₂-to-Ethylene)】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개념:</w:t>
        <w:br/>
        <w:t>• 나프타 피드스톡을 완전히 대체</w:t>
        <w:br/>
        <w:t>• 수소를 직접 에틸렌으로 전환 (새로운 화학반응)</w:t>
        <w:br/>
        <w:t>• MTO (Methanol-to-Olefins) 또는 직접 합성</w:t>
        <w:br/>
        <w:t>• 완전히 다른 공정 경로</w:t>
        <w:br/>
        <w:br/>
        <w:t>수소 소비량: 4-8 ton H₂/ton 에틸렌 (화학양론적 요구량)</w:t>
        <w:br/>
        <w:br/>
        <w:t>기술 성숙도:</w:t>
        <w:br/>
        <w:t>• 연구개발 단계 (TRL 3-5)</w:t>
        <w:br/>
        <w:t>• 완전히 새로운 플랜트 필요</w:t>
        <w:br/>
        <w:t>• 상용화 목표: 2040년 이후 불확실</w:t>
        <w:br/>
        <w:br/>
        <w:t>장점:</w:t>
        <w:br/>
        <w:t>• 나프타 의존도 완전 탈피</w:t>
        <w:br/>
        <w:t>• 이론적으로 제로 에미션 가능</w:t>
        <w:br/>
        <w:br/>
        <w:t>단점:</w:t>
        <w:br/>
        <w:t>• 매우 높은 CAPEX (신규 플랜트)</w:t>
        <w:br/>
        <w:t>• 막대한 수소 필요 (20-40배 더 많음)</w:t>
        <w:br/>
        <w:t>• 기술 성숙도 낮음</w:t>
        <w:br/>
        <w:t>• 경제성 불확실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【우리 모델의 선택: Type 1】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본 연구는 Type 1 (수소를 연료로 사용)을 채택했습니다.</w:t>
        <w:br/>
        <w:br/>
        <w:t>이유:</w:t>
        <w:br/>
        <w:t>1. 기술 성숙도: 2024년 이미 파일럿 성공, 2030년대 상용화 가능</w:t>
        <w:br/>
        <w:t>2. 경제성: CAPEX와 수소 소비량이 Type 2 대비 1/20 수준</w:t>
        <w:br/>
        <w:t>3. 현실성: 기존 설비 개조 가능하여 산업계 수용성 높음</w:t>
        <w:br/>
        <w:t>4. 문헌 근거: BASF/SABIC/Linde (2024) 실증 데이터</w:t>
        <w:br/>
        <w:br/>
        <w:t>Type 2는 장기적 연구개발 대상으로, 2050년까지의 단기 모델에는 적합하지 않습니다.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color w:val="003366"/>
        </w:rPr>
        <w:t>시나리오별 상세 결과</w:t>
      </w:r>
    </w:p>
    <w:p>
      <w:pPr>
        <w:pStyle w:val="Heading2"/>
      </w:pPr>
      <w:r>
        <w:rPr>
          <w:rFonts w:ascii="Malgun Gothic" w:hAnsi="Malgun Gothic" w:eastAsia="Malgun Gothic"/>
          <w:color w:val="003366"/>
        </w:rPr>
        <w:t>1. 6개 시나리오 개요</w:t>
      </w:r>
    </w:p>
    <w:p>
      <w:pPr>
        <w:jc w:val="center"/>
      </w:pPr>
      <w:r>
        <w:rPr>
          <w:rFonts w:ascii="Malgun Gothic" w:hAnsi="Malgun Gothic" w:eastAsia="Malgun Gothic"/>
          <w:b/>
          <w:i w:val="0"/>
          <w:sz w:val="20"/>
        </w:rPr>
        <w:t>표 2. 6개 시나리오 전체 결과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시나리오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BAU 배출 (Mt)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2050 배출 (Mt)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누적비용 (십억$)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NCC-H₂ (Mt)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NCC-전기 (Mt)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RE_PPA (Mt)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Heat Pump (Mt)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H₂ 소비 (kt/yr)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전력 증가 (TWh)</w:t>
            </w:r>
          </w:p>
        </w:tc>
      </w:tr>
      <w:tr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Shaheen (성장) + NCC-H2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68.04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58.27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60.05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4.69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3.29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33.59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0.02</w:t>
            </w:r>
          </w:p>
        </w:tc>
      </w:tr>
      <w:tr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Shaheen (성장) + NCC-Electricity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68.04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63.49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60.05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4.69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3.29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318.3</w:t>
            </w:r>
          </w:p>
        </w:tc>
      </w:tr>
      <w:tr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구조조정 25% + NCC-H2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40.88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32.68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39.97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0.92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22.35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</w:tr>
      <w:tr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구조조정 25% + NCC-Electricity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40.88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35.98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39.97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0.92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211.83</w:t>
            </w:r>
          </w:p>
        </w:tc>
      </w:tr>
      <w:tr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구조조정 40% + NCC-H2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35.5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27.48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33.58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1.92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18.78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</w:tr>
      <w:tr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구조조정 40% + NCC-Electricity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35.5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30.17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33.58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1.92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  <w:tc>
          <w:tcPr>
            <w:tcW w:type="dxa" w:w="903"/>
          </w:tcPr>
          <w:p>
            <w:r>
              <w:rPr>
                <w:rFonts w:ascii="Malgun Gothic" w:hAnsi="Malgun Gothic" w:eastAsia="Malgun Gothic"/>
                <w:sz w:val="18"/>
              </w:rPr>
              <w:t>177.96</w:t>
            </w:r>
          </w:p>
        </w:tc>
      </w:tr>
    </w:tbl>
    <w:p/>
    <w:p>
      <w:pPr>
        <w:spacing w:before="240" w:after="120"/>
        <w:jc w:val="center"/>
      </w:pPr>
      <w:r>
        <w:rPr>
          <w:rFonts w:ascii="Malgun Gothic" w:hAnsi="Malgun Gothic" w:eastAsia="Malgun Gothic"/>
          <w:b/>
          <w:i w:val="0"/>
          <w:sz w:val="24"/>
        </w:rPr>
        <w:t>[그림 위치: 6개 시나리오 비용 비교]</w:t>
      </w:r>
    </w:p>
    <w:p>
      <w:r>
        <w:rPr>
          <w:rFonts w:ascii="Malgun Gothic" w:hAnsi="Malgun Gothic" w:eastAsia="Malgun Gothic"/>
          <w:b w:val="0"/>
          <w:i/>
          <w:sz w:val="18"/>
        </w:rPr>
        <w:t>설명: 막대그래프로 6개 시나리오의 2050년 누적 비용을 비교합니다. NCC-H₂ 경로(파란색)와 NCC-전기 경로(주황색)를 생산량 시나리오별로 나란히 배치합니다.</w:t>
      </w:r>
    </w:p>
    <w:p/>
    <w:p>
      <w:pPr>
        <w:jc w:val="center"/>
      </w:pPr>
      <w:r>
        <w:rPr>
          <w:rFonts w:ascii="Malgun Gothic" w:hAnsi="Malgun Gothic" w:eastAsia="Malgun Gothic"/>
          <w:b w:val="0"/>
          <w:i w:val="0"/>
          <w:sz w:val="22"/>
        </w:rPr>
        <w:t>(여기에 캡처한 그림 삽입)</w:t>
      </w:r>
    </w:p>
    <w:p/>
    <w:p>
      <w:pPr>
        <w:spacing w:after="240"/>
      </w:pPr>
    </w:p>
    <w:p>
      <w:pPr>
        <w:pStyle w:val="Heading2"/>
      </w:pPr>
      <w:r>
        <w:rPr>
          <w:rFonts w:ascii="Malgun Gothic" w:hAnsi="Malgun Gothic" w:eastAsia="Malgun Gothic"/>
          <w:color w:val="003366"/>
        </w:rPr>
        <w:t>2. 생산량 시나리오별 분석</w:t>
      </w:r>
    </w:p>
    <w:p>
      <w:r>
        <w:rPr>
          <w:rFonts w:ascii="Malgun Gothic" w:hAnsi="Malgun Gothic" w:eastAsia="Malgun Gothic"/>
          <w:b/>
          <w:i w:val="0"/>
          <w:sz w:val="22"/>
        </w:rPr>
        <w:t>【Shaheen (성장) 시나리오】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배경:</w:t>
        <w:br/>
        <w:t>• 한국 석유화학 산업이 2050년까지 연평균 1.5% 성장</w:t>
        <w:br/>
        <w:t>• 2050년 BAU 배출량: 68.0 Mt CO₂</w:t>
        <w:br/>
        <w:t>• 가장 높은 배출량이지만, 산업 경쟁력 유지 시나리오</w:t>
        <w:br/>
        <w:br/>
        <w:t>NCC-H₂ 경로 결과:</w:t>
        <w:br/>
        <w:t>• 2050 누적비용: $58.3B</w:t>
        <w:br/>
        <w:t>• NCC-H₂ 적용: 60.1 Mt 감축</w:t>
        <w:br/>
        <w:t>• 수소 소비: 33.6 kt/yr (연간 3만 3천톤)</w:t>
        <w:br/>
        <w:t>• 재생에너지 전력 증가: 0.015 TWh (Heat Pump 및 RE_PPA 용)</w:t>
        <w:br/>
        <w:br/>
        <w:t>NCC-전기 경로 결과:</w:t>
        <w:br/>
        <w:t>• 2050 누적비용: $63.5B (+$5.2B, +8.9%)</w:t>
        <w:br/>
        <w:t>• NCC-전기 적용: 60.1 Mt 감축</w:t>
        <w:br/>
        <w:t>• 수소 소비: 0 kt/yr</w:t>
        <w:br/>
        <w:t>• 재생에너지 전력 증가: 318.3 TWh (연간 31만 8천 GWh)</w:t>
        <w:br/>
        <w:br/>
        <w:t>핵심 인사이트:</w:t>
        <w:br/>
        <w:t>• NCC-H₂가 $5.2B (8.9%) 저렴</w:t>
        <w:br/>
        <w:t>• NCC-전기는 막대한 재생에너지 전력 필요 (한국 2023년 총 발전량의 약 54%)</w:t>
        <w:br/>
        <w:t>• 두 경로 모두 동일한 감축량 달성 (68.0 Mt → 0 Mt)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【구조조정 25% 시나리오】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배경:</w:t>
        <w:br/>
        <w:t>• 한국 석유화학 산업이 2050년까지 생산량 25% 감소</w:t>
        <w:br/>
        <w:t>• 2050년 BAU 배출량: 40.9 Mt CO₂</w:t>
        <w:br/>
        <w:t>• 중간 수준의 산업 구조조정 시나리오</w:t>
        <w:br/>
        <w:br/>
        <w:t>NCC-H₂ 경로 결과:</w:t>
        <w:br/>
        <w:t>• 2050 누적비용: $32.7B</w:t>
        <w:br/>
        <w:t>• NCC-H₂ 적용: 40.0 Mt 감축</w:t>
        <w:br/>
        <w:t>• 수소 소비: 22.4 kt/yr</w:t>
        <w:br/>
        <w:t>• 재생에너지 전력 증가: 0.0 TWh</w:t>
        <w:br/>
        <w:br/>
        <w:t>NCC-전기 경로 결과:</w:t>
        <w:br/>
        <w:t>• 2050 누적비용: $36.0B (+$3.3B, +10.1%)</w:t>
        <w:br/>
        <w:t>• NCC-전기 적용: 40.0 Mt 감축</w:t>
        <w:br/>
        <w:t>• 수소 소비: 0 kt/yr</w:t>
        <w:br/>
        <w:t>• 재생에너지 전력 증가: 211.8 TWh</w:t>
        <w:br/>
        <w:br/>
        <w:t>핵심 인사이트:</w:t>
        <w:br/>
        <w:t>• NCC-H₂가 $3.3B (10.1%) 저렴</w:t>
        <w:br/>
        <w:t>• 생산량 감소로 전체 비용과 인프라 요구량 모두 감소</w:t>
        <w:br/>
        <w:t>• 비용 차이 비율은 오히려 증가 (10.1% vs 8.9%)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【구조조정 40% 시나리오】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배경:</w:t>
        <w:br/>
        <w:t>• 한국 석유화학 산업이 2050년까지 생산량 40% 감소</w:t>
        <w:br/>
        <w:t>• 2050년 BAU 배출량: 35.5 Mt CO₂</w:t>
        <w:br/>
        <w:t>• 가장 공격적인 산업 구조조정 시나리오</w:t>
        <w:br/>
        <w:br/>
        <w:t>NCC-H₂ 경로 결과:</w:t>
        <w:br/>
        <w:t>• 2050 누적비용: $27.5B</w:t>
        <w:br/>
        <w:t>• NCC-H₂ 적용: 33.6 Mt 감축</w:t>
        <w:br/>
        <w:t>• 수소 소비: 18.8 kt/yr</w:t>
        <w:br/>
        <w:t>• 재생에너지 전력 증가: 0.0 TWh</w:t>
        <w:br/>
        <w:br/>
        <w:t>NCC-전기 경로 결과:</w:t>
        <w:br/>
        <w:t>• 2050 누적비용: $30.2B (+$2.7B, +9.8%)</w:t>
        <w:br/>
        <w:t>• NCC-전기 적용: 33.6 Mt 감축</w:t>
        <w:br/>
        <w:t>• 수소 소비: 0 kt/yr</w:t>
        <w:br/>
        <w:t>• 재생에너지 전력 증가: 178.0 TWh</w:t>
        <w:br/>
        <w:br/>
        <w:t>핵심 인사이트:</w:t>
        <w:br/>
        <w:t>• NCC-H₂가 $2.7B (9.8%) 저렴</w:t>
        <w:br/>
        <w:t>• 가장 낮은 전체 비용과 인프라 요구량</w:t>
        <w:br/>
        <w:t>• 구조조정으로 탄소중립 비용 부담 크게 감소</w:t>
      </w:r>
    </w:p>
    <w:p/>
    <w:p>
      <w:pPr>
        <w:pStyle w:val="Heading2"/>
      </w:pPr>
      <w:r>
        <w:rPr>
          <w:rFonts w:ascii="Malgun Gothic" w:hAnsi="Malgun Gothic" w:eastAsia="Malgun Gothic"/>
          <w:color w:val="003366"/>
        </w:rPr>
        <w:t>3. 기술 경로별 비교</w:t>
      </w:r>
    </w:p>
    <w:p>
      <w:r>
        <w:rPr>
          <w:rFonts w:ascii="Malgun Gothic" w:hAnsi="Malgun Gothic" w:eastAsia="Malgun Gothic"/>
          <w:b/>
          <w:i w:val="0"/>
          <w:sz w:val="22"/>
        </w:rPr>
        <w:t>【NCC-H₂ 경로의 특징】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강점:</w:t>
        <w:br/>
        <w:t>• 비용 효율성: 모든 생산량 시나리오에서 9-11% 저렴</w:t>
        <w:br/>
        <w:t>• 인프라 규모: 수소 18.8-33.6 kt/yr로 관리 가능한 수준</w:t>
        <w:br/>
        <w:t>• 기술 성숙도: 2024년 BASF/SABIC/Linde 파일럿 성공</w:t>
        <w:br/>
        <w:t>• 유연성: 기존 설비 개조 가능</w:t>
        <w:br/>
        <w:br/>
        <w:t>과제:</w:t>
        <w:br/>
        <w:t>• 수소 생산 인프라 구축 필요 (그린/블루 수소)</w:t>
        <w:br/>
        <w:t>• 수소 저장 및 운송 인프라</w:t>
        <w:br/>
        <w:t>• 수소 안전 기준 및 규제 정비</w:t>
        <w:br/>
        <w:t>• 수소 가격 경쟁력 확보 ($2.0/kg 목표)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【NCC-전기 경로의 특징】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강점:</w:t>
        <w:br/>
        <w:t>• 100% 재생에너지 사용 (배출 제로)</w:t>
        <w:br/>
        <w:t>• 수소 인프라 불필요</w:t>
        <w:br/>
        <w:t>• 전력망 기반으로 기존 인프라 활용 가능</w:t>
        <w:br/>
        <w:br/>
        <w:t>과제:</w:t>
        <w:br/>
        <w:t>• 막대한 재생에너지 전력 필요 (178-318 TWh/yr)</w:t>
        <w:br/>
        <w:t xml:space="preserve">  → 한국 2023년 총 발전량(589 TWh)의 30-54%</w:t>
        <w:br/>
        <w:t>• 높은 비용 (NCC-H₂ 대비 9-11% 비쌈)</w:t>
        <w:br/>
        <w:t>• 높은 CAPEX ($800-1,200/ton vs $300-500/ton)</w:t>
        <w:br/>
        <w:t>• 재생에너지 잠재량 제약 (한국은 태양광/풍력 부지 제한적)</w:t>
        <w:br/>
        <w:t>• 전력망 보강 필요 (대규모 전력 소비 증가)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【두 경로 간 Trade-off】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NCC-H₂ 선택 시:</w:t>
        <w:br/>
        <w:t>• 비용 절감: $2.7-5.2B 절약</w:t>
        <w:br/>
        <w:t>• 수소 인프라 구축 필요: 18.8-33.6 kt/yr 생산능력</w:t>
        <w:br/>
        <w:t>• 새로운 에너지 캐리어 도입에 따른 불확실성</w:t>
        <w:br/>
        <w:br/>
        <w:t>NCC-전기 선택 시:</w:t>
        <w:br/>
        <w:t>• 추가 비용: $2.7-5.2B 소요</w:t>
        <w:br/>
        <w:t>• 재생에너지 대량 필요: 178-318 TWh/yr</w:t>
        <w:br/>
        <w:t>• 전력망 기반이므로 상대적으로 친숙한 인프라</w:t>
        <w:br/>
        <w:br/>
        <w:t>의사결정 기준:</w:t>
        <w:br/>
        <w:t>1. 한국의 재생에너지 잠재량과 실현 가능성</w:t>
        <w:br/>
        <w:t>2. 수소 경제 육성 정책 방향성</w:t>
        <w:br/>
        <w:t>3. 장기 에너지 안보 전략 (수소 vs 재생전력)</w:t>
        <w:br/>
        <w:t>4. 산업계 비용 부담 능력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color w:val="003366"/>
        </w:rPr>
        <w:t>기업별 전환 분석</w:t>
      </w:r>
    </w:p>
    <w:p>
      <w:r>
        <w:rPr>
          <w:rFonts w:ascii="Malgun Gothic" w:hAnsi="Malgun Gothic" w:eastAsia="Malgun Gothic"/>
          <w:b w:val="0"/>
          <w:i w:val="0"/>
          <w:sz w:val="22"/>
        </w:rPr>
        <w:t>본 장에서는 한국 주요 석유화학 기업의 탄소중립 전환 경로를 분석합니다. 기업별 배출량, 감축 잠재량, 기술 배치 현황을 통해 기업 맞춤형 전략을 제시합니다.</w:t>
      </w:r>
    </w:p>
    <w:p/>
    <w:p>
      <w:pPr>
        <w:pStyle w:val="Heading2"/>
      </w:pPr>
      <w:r>
        <w:rPr>
          <w:rFonts w:ascii="Malgun Gothic" w:hAnsi="Malgun Gothic" w:eastAsia="Malgun Gothic"/>
          <w:color w:val="003366"/>
        </w:rPr>
        <w:t>2. 주요 기업 배출 현황</w:t>
      </w:r>
    </w:p>
    <w:p>
      <w:r>
        <w:rPr>
          <w:rFonts w:ascii="Malgun Gothic" w:hAnsi="Malgun Gothic" w:eastAsia="Malgun Gothic"/>
          <w:b/>
          <w:i w:val="0"/>
          <w:sz w:val="22"/>
        </w:rPr>
        <w:t>【Top 5 배출 기업 (2025 기준선)】</w:t>
      </w:r>
    </w:p>
    <w:p>
      <w:pPr>
        <w:jc w:val="center"/>
      </w:pPr>
      <w:r>
        <w:rPr>
          <w:rFonts w:ascii="Malgun Gothic" w:hAnsi="Malgun Gothic" w:eastAsia="Malgun Gothic"/>
          <w:b/>
          <w:i w:val="0"/>
          <w:sz w:val="20"/>
        </w:rPr>
        <w:t>표 3. Top 5 배출 기업 현황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순위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기업명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배출량 (Mt)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전체 비중 (%)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시설 수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주요 위치</w:t>
            </w:r>
          </w:p>
        </w:tc>
      </w:tr>
      <w:tr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LG Chem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11.4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17.2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45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여수/대산</w:t>
            </w:r>
          </w:p>
        </w:tc>
      </w:tr>
      <w:tr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Yeochon NCC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9.5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14.3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7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여수</w:t>
            </w:r>
          </w:p>
        </w:tc>
      </w:tr>
      <w:tr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Lotte Chemical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9.3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14.1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31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여수/대산</w:t>
            </w:r>
          </w:p>
        </w:tc>
      </w:tr>
      <w:tr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Hanwha TotalEnergies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6.6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10.0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11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대산</w:t>
            </w:r>
          </w:p>
        </w:tc>
      </w:tr>
      <w:tr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5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S-Oil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5.5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8.3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8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온산</w:t>
            </w:r>
          </w:p>
        </w:tc>
      </w:tr>
    </w:tbl>
    <w:p/>
    <w:p>
      <w:r>
        <w:rPr>
          <w:rFonts w:ascii="Malgun Gothic" w:hAnsi="Malgun Gothic" w:eastAsia="Malgun Gothic"/>
          <w:b w:val="0"/>
          <w:i w:val="0"/>
          <w:sz w:val="22"/>
        </w:rPr>
        <w:t>분석:</w:t>
        <w:br/>
        <w:t>• Top 5 기업이 전체 배출의 63.9% 차지</w:t>
        <w:br/>
        <w:t>• LG Chem이 최대 배출원 (11.4 Mt, 17.2%)</w:t>
        <w:br/>
        <w:t>• Yeochon NCC는 시설 수 대비 높은 배출 집중도 (7개 시설로 9.5 Mt)</w:t>
        <w:br/>
        <w:t>• 여수와 대산에 주요 기업 집중</w:t>
      </w:r>
    </w:p>
    <w:p/>
    <w:p>
      <w:pPr>
        <w:spacing w:before="240" w:after="120"/>
        <w:jc w:val="center"/>
      </w:pPr>
      <w:r>
        <w:rPr>
          <w:rFonts w:ascii="Malgun Gothic" w:hAnsi="Malgun Gothic" w:eastAsia="Malgun Gothic"/>
          <w:b/>
          <w:i w:val="0"/>
          <w:sz w:val="24"/>
        </w:rPr>
        <w:t>[그림 위치: 기업별 감축량 Top 10]</w:t>
      </w:r>
    </w:p>
    <w:p>
      <w:r>
        <w:rPr>
          <w:rFonts w:ascii="Malgun Gothic" w:hAnsi="Malgun Gothic" w:eastAsia="Malgun Gothic"/>
          <w:b w:val="0"/>
          <w:i/>
          <w:sz w:val="18"/>
        </w:rPr>
        <w:t>설명: 수평 막대그래프로 Top 10 기업의 2050년 총 감축량을 표시합니다. 색상은 배출 감소율(%)을 나타냅니다.</w:t>
      </w:r>
    </w:p>
    <w:p/>
    <w:p>
      <w:pPr>
        <w:jc w:val="center"/>
      </w:pPr>
      <w:r>
        <w:rPr>
          <w:rFonts w:ascii="Malgun Gothic" w:hAnsi="Malgun Gothic" w:eastAsia="Malgun Gothic"/>
          <w:b w:val="0"/>
          <w:i w:val="0"/>
          <w:sz w:val="22"/>
        </w:rPr>
        <w:t>(여기에 캡처한 그림 삽입)</w:t>
      </w:r>
    </w:p>
    <w:p/>
    <w:p>
      <w:pPr>
        <w:spacing w:after="240"/>
      </w:pPr>
    </w:p>
    <w:p>
      <w:pPr>
        <w:pStyle w:val="Heading2"/>
      </w:pPr>
      <w:r>
        <w:rPr>
          <w:rFonts w:ascii="Malgun Gothic" w:hAnsi="Malgun Gothic" w:eastAsia="Malgun Gothic"/>
          <w:color w:val="003366"/>
        </w:rPr>
        <w:t>3. 기업별 기술 배치 전략</w:t>
      </w:r>
    </w:p>
    <w:p>
      <w:r>
        <w:rPr>
          <w:rFonts w:ascii="Malgun Gothic" w:hAnsi="Malgun Gothic" w:eastAsia="Malgun Gothic"/>
          <w:b/>
          <w:i w:val="0"/>
          <w:sz w:val="22"/>
        </w:rPr>
        <w:t>【LG Chem】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현황:</w:t>
        <w:br/>
        <w:t>• 최대 배출 기업 (11.4 Mt)</w:t>
        <w:br/>
        <w:t>• 45개 시설 보유 (가장 많음)</w:t>
        <w:br/>
        <w:t>• 여수 및 대산 클러스터에 주력</w:t>
        <w:br/>
        <w:br/>
        <w:t>권장 기술 경로:</w:t>
        <w:br/>
        <w:t>1. Heat Pump: 전 시설에 우선 적용 (단기, 2026-2030)</w:t>
        <w:br/>
        <w:t>2. RE_PPA: 대규모 재생에너지 PPA 체결 (중기, 2028-2035)</w:t>
        <w:br/>
        <w:t>3. NCC-H₂ 또는 NCC-전기: 나프타 크래커 전환 (장기, 2035-2045)</w:t>
        <w:br/>
        <w:br/>
        <w:t>예상 효과:</w:t>
        <w:br/>
        <w:t>• 2050년까지 11.4 Mt 전량 감축 가능</w:t>
        <w:br/>
        <w:t>• 다양한 제품 포트폴리오로 기술 분산 배치 유리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【Yeochon NCC】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현황:</w:t>
        <w:br/>
        <w:t>• 7개 시설로 9.5 Mt 배출 (시설당 배출 최고)</w:t>
        <w:br/>
        <w:t>• 여수 지역 집중</w:t>
        <w:br/>
        <w:t>• 대규모 나프타 크래커 보유</w:t>
        <w:br/>
        <w:br/>
        <w:t>권장 기술 경로:</w:t>
        <w:br/>
        <w:t>1. NCC 기술 집중: 대규모 크래커에 NCC-H₂ 또는 NCC-전기 적용</w:t>
        <w:br/>
        <w:t>2. RE_PPA: 여수 지역 재생에너지 인프라 활용</w:t>
        <w:br/>
        <w:t>3. Heat Pump: 다운스트림 시설에 적용</w:t>
        <w:br/>
        <w:br/>
        <w:t>예상 효과:</w:t>
        <w:br/>
        <w:t>• NCC 기술 조기 도입 시 선도 기업 위상 확보</w:t>
        <w:br/>
        <w:t>• 지역 수소 클러스터 구축 시 핵심 역할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【Lotte Chemical】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현황:</w:t>
        <w:br/>
        <w:t>• 9.3 Mt 배출 (3위)</w:t>
        <w:br/>
        <w:t>• 31개 시설 보유</w:t>
        <w:br/>
        <w:t>• 여수 및 대산에 분산 배치</w:t>
        <w:br/>
        <w:br/>
        <w:t>권장 기술 경로:</w:t>
        <w:br/>
        <w:t>1. 단계적 접근: Heat Pump → RE_PPA → NCC 순차 도입</w:t>
        <w:br/>
        <w:t>2. 지역별 차별화: 여수는 수소, 대산은 재생전력 중심</w:t>
        <w:br/>
        <w:t>3. 다운스트림 최적화: 폴리머 생산 시설 전기화</w:t>
        <w:br/>
        <w:br/>
        <w:t>예상 효과:</w:t>
        <w:br/>
        <w:t>• 리스크 분산을 통한 안정적 전환</w:t>
        <w:br/>
        <w:t>• 지역별 특성에 맞춘 최적화</w:t>
      </w:r>
    </w:p>
    <w:p/>
    <w:p>
      <w:pPr>
        <w:spacing w:before="240" w:after="120"/>
        <w:jc w:val="center"/>
      </w:pPr>
      <w:r>
        <w:rPr>
          <w:rFonts w:ascii="Malgun Gothic" w:hAnsi="Malgun Gothic" w:eastAsia="Malgun Gothic"/>
          <w:b/>
          <w:i w:val="0"/>
          <w:sz w:val="24"/>
        </w:rPr>
        <w:t>[그림 위치: 기업별 기술 믹스 (Top 10)]</w:t>
      </w:r>
    </w:p>
    <w:p>
      <w:r>
        <w:rPr>
          <w:rFonts w:ascii="Malgun Gothic" w:hAnsi="Malgun Gothic" w:eastAsia="Malgun Gothic"/>
          <w:b w:val="0"/>
          <w:i/>
          <w:sz w:val="18"/>
        </w:rPr>
        <w:t>설명: 누적 막대그래프로 Top 10 기업의 기술별 적용 비율을 표시합니다. Heat Pump (빨강), NCC-H₂ (청록), NCC-전기 (연두), RE_PPA (노랑)로 색상 구분합니다.</w:t>
      </w:r>
    </w:p>
    <w:p/>
    <w:p>
      <w:pPr>
        <w:jc w:val="center"/>
      </w:pPr>
      <w:r>
        <w:rPr>
          <w:rFonts w:ascii="Malgun Gothic" w:hAnsi="Malgun Gothic" w:eastAsia="Malgun Gothic"/>
          <w:b w:val="0"/>
          <w:i w:val="0"/>
          <w:sz w:val="22"/>
        </w:rPr>
        <w:t>(여기에 캡처한 그림 삽입)</w:t>
      </w:r>
    </w:p>
    <w:p/>
    <w:p>
      <w:pPr>
        <w:spacing w:after="240"/>
      </w:pPr>
    </w:p>
    <w:p>
      <w:pPr>
        <w:pStyle w:val="Heading2"/>
      </w:pPr>
      <w:r>
        <w:rPr>
          <w:rFonts w:ascii="Malgun Gothic" w:hAnsi="Malgun Gothic" w:eastAsia="Malgun Gothic"/>
          <w:color w:val="003366"/>
        </w:rPr>
        <w:t>4. 기업별 투자 규모 추정</w:t>
      </w:r>
    </w:p>
    <w:p>
      <w:r>
        <w:rPr>
          <w:rFonts w:ascii="Malgun Gothic" w:hAnsi="Malgun Gothic" w:eastAsia="Malgun Gothic"/>
          <w:b w:val="0"/>
          <w:i w:val="0"/>
          <w:sz w:val="22"/>
        </w:rPr>
        <w:t>각 기업의 2050년까지 누적 탄소중립 투자 규모를 추정하면 다음과 같습니다 (Shaheen + NCC-H₂ 시나리오 기준):</w:t>
      </w:r>
    </w:p>
    <w:p/>
    <w:p>
      <w:pPr>
        <w:jc w:val="center"/>
      </w:pPr>
      <w:r>
        <w:rPr>
          <w:rFonts w:ascii="Malgun Gothic" w:hAnsi="Malgun Gothic" w:eastAsia="Malgun Gothic"/>
          <w:b/>
          <w:i w:val="0"/>
          <w:sz w:val="20"/>
        </w:rPr>
        <w:t>표 4. 기업별 투자 규모 추정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기업명</w:t>
            </w:r>
          </w:p>
        </w:tc>
        <w:tc>
          <w:tcPr>
            <w:tcW w:type="dxa" w:w="2257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배출량 (Mt)</w:t>
            </w:r>
          </w:p>
        </w:tc>
        <w:tc>
          <w:tcPr>
            <w:tcW w:type="dxa" w:w="2257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추정 투자액 (십억$)</w:t>
            </w:r>
          </w:p>
        </w:tc>
        <w:tc>
          <w:tcPr>
            <w:tcW w:type="dxa" w:w="2257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비고</w:t>
            </w:r>
          </w:p>
        </w:tc>
      </w:tr>
      <w:tr>
        <w:tc>
          <w:tcPr>
            <w:tcW w:type="dxa" w:w="2257"/>
          </w:tcPr>
          <w:p>
            <w:r>
              <w:rPr>
                <w:rFonts w:ascii="Malgun Gothic" w:hAnsi="Malgun Gothic" w:eastAsia="Malgun Gothic"/>
                <w:sz w:val="18"/>
              </w:rPr>
              <w:t>LG Chem</w:t>
            </w:r>
          </w:p>
        </w:tc>
        <w:tc>
          <w:tcPr>
            <w:tcW w:type="dxa" w:w="2257"/>
          </w:tcPr>
          <w:p>
            <w:r>
              <w:rPr>
                <w:rFonts w:ascii="Malgun Gothic" w:hAnsi="Malgun Gothic" w:eastAsia="Malgun Gothic"/>
                <w:sz w:val="18"/>
              </w:rPr>
              <w:t>11.4</w:t>
            </w:r>
          </w:p>
        </w:tc>
        <w:tc>
          <w:tcPr>
            <w:tcW w:type="dxa" w:w="2257"/>
          </w:tcPr>
          <w:p>
            <w:r>
              <w:rPr>
                <w:rFonts w:ascii="Malgun Gothic" w:hAnsi="Malgun Gothic" w:eastAsia="Malgun Gothic"/>
                <w:sz w:val="18"/>
              </w:rPr>
              <w:t>9.8</w:t>
            </w:r>
          </w:p>
        </w:tc>
        <w:tc>
          <w:tcPr>
            <w:tcW w:type="dxa" w:w="2257"/>
          </w:tcPr>
          <w:p>
            <w:r>
              <w:rPr>
                <w:rFonts w:ascii="Malgun Gothic" w:hAnsi="Malgun Gothic" w:eastAsia="Malgun Gothic"/>
                <w:sz w:val="18"/>
              </w:rPr>
              <w:t>다양한 기술 조합</w:t>
            </w:r>
          </w:p>
        </w:tc>
      </w:tr>
      <w:tr>
        <w:tc>
          <w:tcPr>
            <w:tcW w:type="dxa" w:w="2257"/>
          </w:tcPr>
          <w:p>
            <w:r>
              <w:rPr>
                <w:rFonts w:ascii="Malgun Gothic" w:hAnsi="Malgun Gothic" w:eastAsia="Malgun Gothic"/>
                <w:sz w:val="18"/>
              </w:rPr>
              <w:t>Yeochon NCC</w:t>
            </w:r>
          </w:p>
        </w:tc>
        <w:tc>
          <w:tcPr>
            <w:tcW w:type="dxa" w:w="2257"/>
          </w:tcPr>
          <w:p>
            <w:r>
              <w:rPr>
                <w:rFonts w:ascii="Malgun Gothic" w:hAnsi="Malgun Gothic" w:eastAsia="Malgun Gothic"/>
                <w:sz w:val="18"/>
              </w:rPr>
              <w:t>9.5</w:t>
            </w:r>
          </w:p>
        </w:tc>
        <w:tc>
          <w:tcPr>
            <w:tcW w:type="dxa" w:w="2257"/>
          </w:tcPr>
          <w:p>
            <w:r>
              <w:rPr>
                <w:rFonts w:ascii="Malgun Gothic" w:hAnsi="Malgun Gothic" w:eastAsia="Malgun Gothic"/>
                <w:sz w:val="18"/>
              </w:rPr>
              <w:t>8.1</w:t>
            </w:r>
          </w:p>
        </w:tc>
        <w:tc>
          <w:tcPr>
            <w:tcW w:type="dxa" w:w="2257"/>
          </w:tcPr>
          <w:p>
            <w:r>
              <w:rPr>
                <w:rFonts w:ascii="Malgun Gothic" w:hAnsi="Malgun Gothic" w:eastAsia="Malgun Gothic"/>
                <w:sz w:val="18"/>
              </w:rPr>
              <w:t>NCC 기술 집중</w:t>
            </w:r>
          </w:p>
        </w:tc>
      </w:tr>
      <w:tr>
        <w:tc>
          <w:tcPr>
            <w:tcW w:type="dxa" w:w="2257"/>
          </w:tcPr>
          <w:p>
            <w:r>
              <w:rPr>
                <w:rFonts w:ascii="Malgun Gothic" w:hAnsi="Malgun Gothic" w:eastAsia="Malgun Gothic"/>
                <w:sz w:val="18"/>
              </w:rPr>
              <w:t>Lotte Chemical</w:t>
            </w:r>
          </w:p>
        </w:tc>
        <w:tc>
          <w:tcPr>
            <w:tcW w:type="dxa" w:w="2257"/>
          </w:tcPr>
          <w:p>
            <w:r>
              <w:rPr>
                <w:rFonts w:ascii="Malgun Gothic" w:hAnsi="Malgun Gothic" w:eastAsia="Malgun Gothic"/>
                <w:sz w:val="18"/>
              </w:rPr>
              <w:t>9.3</w:t>
            </w:r>
          </w:p>
        </w:tc>
        <w:tc>
          <w:tcPr>
            <w:tcW w:type="dxa" w:w="2257"/>
          </w:tcPr>
          <w:p>
            <w:r>
              <w:rPr>
                <w:rFonts w:ascii="Malgun Gothic" w:hAnsi="Malgun Gothic" w:eastAsia="Malgun Gothic"/>
                <w:sz w:val="18"/>
              </w:rPr>
              <w:t>8.0</w:t>
            </w:r>
          </w:p>
        </w:tc>
        <w:tc>
          <w:tcPr>
            <w:tcW w:type="dxa" w:w="2257"/>
          </w:tcPr>
          <w:p>
            <w:r>
              <w:rPr>
                <w:rFonts w:ascii="Malgun Gothic" w:hAnsi="Malgun Gothic" w:eastAsia="Malgun Gothic"/>
                <w:sz w:val="18"/>
              </w:rPr>
              <w:t>지역별 분산 투자</w:t>
            </w:r>
          </w:p>
        </w:tc>
      </w:tr>
      <w:tr>
        <w:tc>
          <w:tcPr>
            <w:tcW w:type="dxa" w:w="2257"/>
          </w:tcPr>
          <w:p>
            <w:r>
              <w:rPr>
                <w:rFonts w:ascii="Malgun Gothic" w:hAnsi="Malgun Gothic" w:eastAsia="Malgun Gothic"/>
                <w:sz w:val="18"/>
              </w:rPr>
              <w:t>Hanwha TotalEnergies</w:t>
            </w:r>
          </w:p>
        </w:tc>
        <w:tc>
          <w:tcPr>
            <w:tcW w:type="dxa" w:w="2257"/>
          </w:tcPr>
          <w:p>
            <w:r>
              <w:rPr>
                <w:rFonts w:ascii="Malgun Gothic" w:hAnsi="Malgun Gothic" w:eastAsia="Malgun Gothic"/>
                <w:sz w:val="18"/>
              </w:rPr>
              <w:t>6.6</w:t>
            </w:r>
          </w:p>
        </w:tc>
        <w:tc>
          <w:tcPr>
            <w:tcW w:type="dxa" w:w="2257"/>
          </w:tcPr>
          <w:p>
            <w:r>
              <w:rPr>
                <w:rFonts w:ascii="Malgun Gothic" w:hAnsi="Malgun Gothic" w:eastAsia="Malgun Gothic"/>
                <w:sz w:val="18"/>
              </w:rPr>
              <w:t>5.7</w:t>
            </w:r>
          </w:p>
        </w:tc>
        <w:tc>
          <w:tcPr>
            <w:tcW w:type="dxa" w:w="2257"/>
          </w:tcPr>
          <w:p>
            <w:r>
              <w:rPr>
                <w:rFonts w:ascii="Malgun Gothic" w:hAnsi="Malgun Gothic" w:eastAsia="Malgun Gothic"/>
                <w:sz w:val="18"/>
              </w:rPr>
              <w:t>대산 중심</w:t>
            </w:r>
          </w:p>
        </w:tc>
      </w:tr>
      <w:tr>
        <w:tc>
          <w:tcPr>
            <w:tcW w:type="dxa" w:w="2257"/>
          </w:tcPr>
          <w:p>
            <w:r>
              <w:rPr>
                <w:rFonts w:ascii="Malgun Gothic" w:hAnsi="Malgun Gothic" w:eastAsia="Malgun Gothic"/>
                <w:sz w:val="18"/>
              </w:rPr>
              <w:t>S-Oil</w:t>
            </w:r>
          </w:p>
        </w:tc>
        <w:tc>
          <w:tcPr>
            <w:tcW w:type="dxa" w:w="2257"/>
          </w:tcPr>
          <w:p>
            <w:r>
              <w:rPr>
                <w:rFonts w:ascii="Malgun Gothic" w:hAnsi="Malgun Gothic" w:eastAsia="Malgun Gothic"/>
                <w:sz w:val="18"/>
              </w:rPr>
              <w:t>5.5</w:t>
            </w:r>
          </w:p>
        </w:tc>
        <w:tc>
          <w:tcPr>
            <w:tcW w:type="dxa" w:w="2257"/>
          </w:tcPr>
          <w:p>
            <w:r>
              <w:rPr>
                <w:rFonts w:ascii="Malgun Gothic" w:hAnsi="Malgun Gothic" w:eastAsia="Malgun Gothic"/>
                <w:sz w:val="18"/>
              </w:rPr>
              <w:t>4.7</w:t>
            </w:r>
          </w:p>
        </w:tc>
        <w:tc>
          <w:tcPr>
            <w:tcW w:type="dxa" w:w="2257"/>
          </w:tcPr>
          <w:p>
            <w:r>
              <w:rPr>
                <w:rFonts w:ascii="Malgun Gothic" w:hAnsi="Malgun Gothic" w:eastAsia="Malgun Gothic"/>
                <w:sz w:val="18"/>
              </w:rPr>
              <w:t>온산 중심</w:t>
            </w:r>
          </w:p>
        </w:tc>
      </w:tr>
    </w:tbl>
    <w:p/>
    <w:p>
      <w:r>
        <w:rPr>
          <w:rFonts w:ascii="Malgun Gothic" w:hAnsi="Malgun Gothic" w:eastAsia="Malgun Gothic"/>
          <w:b w:val="0"/>
          <w:i w:val="0"/>
          <w:sz w:val="22"/>
        </w:rPr>
        <w:t>주의사항:</w:t>
        <w:br/>
        <w:t>• 위 추정은 전체 산업 비용 $58.3B를 기업별 배출 비중으로 안분한 개략 추정치입니다.</w:t>
        <w:br/>
        <w:t>• 실제 투자액은 기업의 시설 구조, 기술 선택, 투자 시기에 따라 달라질 수 있습니다.</w:t>
        <w:br/>
        <w:t>• 정부 지원, 탄소가격제, 세제 혜택 등을 고려하면 기업 실부담은 감소할 수 있습니다.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color w:val="003366"/>
        </w:rPr>
        <w:t>지역별 전환 분석</w:t>
      </w:r>
    </w:p>
    <w:p>
      <w:r>
        <w:rPr>
          <w:rFonts w:ascii="Malgun Gothic" w:hAnsi="Malgun Gothic" w:eastAsia="Malgun Gothic"/>
          <w:b w:val="0"/>
          <w:i w:val="0"/>
          <w:sz w:val="22"/>
        </w:rPr>
        <w:t>본 장에서는 한국 4대 석유화학 클러스터(여수, 대산, 울산, 온산)의 탄소중립 전환 경로를 분석합니다.</w:t>
      </w:r>
    </w:p>
    <w:p/>
    <w:p>
      <w:pPr>
        <w:pStyle w:val="Heading2"/>
      </w:pPr>
      <w:r>
        <w:rPr>
          <w:rFonts w:ascii="Malgun Gothic" w:hAnsi="Malgun Gothic" w:eastAsia="Malgun Gothic"/>
          <w:color w:val="003366"/>
        </w:rPr>
        <w:t>1. 지역별 배출 현황</w:t>
      </w:r>
    </w:p>
    <w:p>
      <w:pPr>
        <w:jc w:val="center"/>
      </w:pPr>
      <w:r>
        <w:rPr>
          <w:rFonts w:ascii="Malgun Gothic" w:hAnsi="Malgun Gothic" w:eastAsia="Malgun Gothic"/>
          <w:b/>
          <w:i w:val="0"/>
          <w:sz w:val="20"/>
        </w:rPr>
        <w:t>표 5. 4대 클러스터 배출 현황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지역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배출량 (Mt)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비중 (%)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시설 수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기업 수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주요 제품</w:t>
            </w:r>
          </w:p>
        </w:tc>
      </w:tr>
      <w:tr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여수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26.4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39.9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87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13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에틸렌, 프로필렌, BTX</w:t>
            </w:r>
          </w:p>
        </w:tc>
      </w:tr>
      <w:tr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대산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22.4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33.8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57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11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에틸렌, 폴리에틸렌</w:t>
            </w:r>
          </w:p>
        </w:tc>
      </w:tr>
      <w:tr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울산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10.4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15.7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71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18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에틸렌, PX, 폴리머</w:t>
            </w:r>
          </w:p>
        </w:tc>
      </w:tr>
      <w:tr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온산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6.6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10.0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14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7</w:t>
            </w:r>
          </w:p>
        </w:tc>
        <w:tc>
          <w:tcPr>
            <w:tcW w:type="dxa" w:w="1505"/>
          </w:tcPr>
          <w:p>
            <w:r>
              <w:rPr>
                <w:rFonts w:ascii="Malgun Gothic" w:hAnsi="Malgun Gothic" w:eastAsia="Malgun Gothic"/>
                <w:sz w:val="18"/>
              </w:rPr>
              <w:t>에틸렌, SM, BD</w:t>
            </w:r>
          </w:p>
        </w:tc>
      </w:tr>
    </w:tbl>
    <w:p/>
    <w:p>
      <w:r>
        <w:rPr>
          <w:rFonts w:ascii="Malgun Gothic" w:hAnsi="Malgun Gothic" w:eastAsia="Malgun Gothic"/>
          <w:b w:val="0"/>
          <w:i w:val="0"/>
          <w:sz w:val="22"/>
        </w:rPr>
        <w:t>분석:</w:t>
        <w:br/>
        <w:t>• 여수와 대산이 전체 배출의 73.7% 차지 (두 지역 집중)</w:t>
        <w:br/>
        <w:t>• 여수: 최대 클러스터, 87개 시설, 13개 기업</w:t>
        <w:br/>
        <w:t>• 대산: 2위 클러스터, 비교적 대규모 시설 집중</w:t>
        <w:br/>
        <w:t>• 울산/온산: 상대적으로 소규모이지만 다양한 제품 생산</w:t>
      </w:r>
    </w:p>
    <w:p/>
    <w:p>
      <w:pPr>
        <w:spacing w:before="240" w:after="120"/>
        <w:jc w:val="center"/>
      </w:pPr>
      <w:r>
        <w:rPr>
          <w:rFonts w:ascii="Malgun Gothic" w:hAnsi="Malgun Gothic" w:eastAsia="Malgun Gothic"/>
          <w:b/>
          <w:i w:val="0"/>
          <w:sz w:val="24"/>
        </w:rPr>
        <w:t>[그림 위치: 지역별 감축량 분포]</w:t>
      </w:r>
    </w:p>
    <w:p>
      <w:r>
        <w:rPr>
          <w:rFonts w:ascii="Malgun Gothic" w:hAnsi="Malgun Gothic" w:eastAsia="Malgun Gothic"/>
          <w:b w:val="0"/>
          <w:i/>
          <w:sz w:val="18"/>
        </w:rPr>
        <w:t>설명: 막대그래프로 4개 지역의 총 감축량을 비교합니다. 색상은 배출 감소율을 나타냅니다.</w:t>
      </w:r>
    </w:p>
    <w:p/>
    <w:p>
      <w:pPr>
        <w:jc w:val="center"/>
      </w:pPr>
      <w:r>
        <w:rPr>
          <w:rFonts w:ascii="Malgun Gothic" w:hAnsi="Malgun Gothic" w:eastAsia="Malgun Gothic"/>
          <w:b w:val="0"/>
          <w:i w:val="0"/>
          <w:sz w:val="22"/>
        </w:rPr>
        <w:t>(여기에 캡처한 그림 삽입)</w:t>
      </w:r>
    </w:p>
    <w:p/>
    <w:p>
      <w:pPr>
        <w:spacing w:after="240"/>
      </w:pPr>
    </w:p>
    <w:p>
      <w:pPr>
        <w:spacing w:before="240" w:after="120"/>
        <w:jc w:val="center"/>
      </w:pPr>
      <w:r>
        <w:rPr>
          <w:rFonts w:ascii="Malgun Gothic" w:hAnsi="Malgun Gothic" w:eastAsia="Malgun Gothic"/>
          <w:b/>
          <w:i w:val="0"/>
          <w:sz w:val="24"/>
        </w:rPr>
        <w:t>[그림 위치: 지역별 감축 비중 (도넛 차트)]</w:t>
      </w:r>
    </w:p>
    <w:p>
      <w:r>
        <w:rPr>
          <w:rFonts w:ascii="Malgun Gothic" w:hAnsi="Malgun Gothic" w:eastAsia="Malgun Gothic"/>
          <w:b w:val="0"/>
          <w:i/>
          <w:sz w:val="18"/>
        </w:rPr>
        <w:t>설명: 도넛 차트로 각 지역이 전체 감축에서 차지하는 비중을 표시합니다.</w:t>
      </w:r>
    </w:p>
    <w:p/>
    <w:p>
      <w:pPr>
        <w:jc w:val="center"/>
      </w:pPr>
      <w:r>
        <w:rPr>
          <w:rFonts w:ascii="Malgun Gothic" w:hAnsi="Malgun Gothic" w:eastAsia="Malgun Gothic"/>
          <w:b w:val="0"/>
          <w:i w:val="0"/>
          <w:sz w:val="22"/>
        </w:rPr>
        <w:t>(여기에 캡처한 그림 삽입)</w:t>
      </w:r>
    </w:p>
    <w:p/>
    <w:p>
      <w:pPr>
        <w:spacing w:after="240"/>
      </w:pPr>
    </w:p>
    <w:p>
      <w:pPr>
        <w:pStyle w:val="Heading2"/>
      </w:pPr>
      <w:r>
        <w:rPr>
          <w:rFonts w:ascii="Malgun Gothic" w:hAnsi="Malgun Gothic" w:eastAsia="Malgun Gothic"/>
          <w:color w:val="003366"/>
        </w:rPr>
        <w:t>2. 지역별 기술 배치 전략</w:t>
      </w:r>
    </w:p>
    <w:p>
      <w:r>
        <w:rPr>
          <w:rFonts w:ascii="Malgun Gothic" w:hAnsi="Malgun Gothic" w:eastAsia="Malgun Gothic"/>
          <w:b/>
          <w:i w:val="0"/>
          <w:sz w:val="22"/>
        </w:rPr>
        <w:t>【여수 클러스터】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특징:</w:t>
        <w:br/>
        <w:t>• 한국 최대 석유화학 클러스터</w:t>
        <w:br/>
        <w:t>• 26.4 Mt 배출 (전체의 40%)</w:t>
        <w:br/>
        <w:t>• 87개 시설, 13개 기업</w:t>
        <w:br/>
        <w:t>• 대규모 나프타 크래커 다수 보유</w:t>
        <w:br/>
        <w:br/>
        <w:t>권장 전략:</w:t>
        <w:br/>
        <w:t>1. 지역 수소 허브 구축</w:t>
        <w:br/>
        <w:t xml:space="preserve">   - 여수 인근 그린수소 생산단지 조성</w:t>
        <w:br/>
        <w:t xml:space="preserve">   - 블루수소 생산 (CCS 연계)</w:t>
        <w:br/>
        <w:t xml:space="preserve">   - 수소 파이프라인 네트워크</w:t>
        <w:br/>
        <w:br/>
        <w:t>2. NCC-H₂ 기술 집중 배치</w:t>
        <w:br/>
        <w:t xml:space="preserve">   - 대규모 크래커에 우선 적용</w:t>
        <w:br/>
        <w:t xml:space="preserve">   - 2035-2040년 집중 투자</w:t>
        <w:br/>
        <w:br/>
        <w:t>3. 재생에너지 PPA</w:t>
        <w:br/>
        <w:t xml:space="preserve">   - 서남해 해상풍력 연계</w:t>
        <w:br/>
        <w:t xml:space="preserve">   - 지역 태양광 단지 활용</w:t>
        <w:br/>
        <w:br/>
        <w:t>예상 효과:</w:t>
        <w:br/>
        <w:t>• 26.4 Mt 전량 감축</w:t>
        <w:br/>
        <w:t>• 지역 수소경제 선도 모델</w:t>
        <w:br/>
        <w:t>• 기업 간 인프라 공유로 비용 절감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【대산 클러스터】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특징:</w:t>
        <w:br/>
        <w:t>• 2위 석유화학 클러스터</w:t>
        <w:br/>
        <w:t>• 22.4 Mt 배출 (전체의 34%)</w:t>
        <w:br/>
        <w:t>• 57개 시설, 11개 기업</w:t>
        <w:br/>
        <w:t>• 비교적 대규모 시설 중심</w:t>
        <w:br/>
        <w:br/>
        <w:t>권장 전략:</w:t>
        <w:br/>
        <w:t>1. 수소-재생전력 혼합 전략</w:t>
        <w:br/>
        <w:t xml:space="preserve">   - NCC-H₂와 NCC-전기 병행 검토</w:t>
        <w:br/>
        <w:t xml:space="preserve">   - 기업별 선택 유연성 제공</w:t>
        <w:br/>
        <w:br/>
        <w:t>2. 서해안 재생에너지 활용</w:t>
        <w:br/>
        <w:t xml:space="preserve">   - 태안/보령 해상풍력 연계</w:t>
        <w:br/>
        <w:t xml:space="preserve">   - 대규모 RE_PPA 체결</w:t>
        <w:br/>
        <w:br/>
        <w:t>3. 수도권 수요처 연계</w:t>
        <w:br/>
        <w:t xml:space="preserve">   - 수소 파이프라인 수도권 연결</w:t>
        <w:br/>
        <w:t xml:space="preserve">   - 산업용 수소 공급 허브</w:t>
        <w:br/>
        <w:br/>
        <w:t>예상 효과:</w:t>
        <w:br/>
        <w:t>• 22.4 Mt 전량 감축</w:t>
        <w:br/>
        <w:t>• 기술 다양화로 리스크 분산</w:t>
        <w:br/>
        <w:t>• 수도권 에너지 전환 기여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【울산 클러스터】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특징:</w:t>
        <w:br/>
        <w:t>• 10.4 Mt 배출 (전체의 16%)</w:t>
        <w:br/>
        <w:t>• 71개 시설 (소규모 다수)</w:t>
        <w:br/>
        <w:t>• 18개 기업 (가장 다양)</w:t>
        <w:br/>
        <w:t>• 다운스트림 제품 중심</w:t>
        <w:br/>
        <w:br/>
        <w:t>권장 전략:</w:t>
        <w:br/>
        <w:t>1. Heat Pump 및 RE_PPA 중심</w:t>
        <w:br/>
        <w:t xml:space="preserve">   - 소규모 시설 특성상 전기화 유리</w:t>
        <w:br/>
        <w:t xml:space="preserve">   - NCC 기술보다 분산형 기술 적합</w:t>
        <w:br/>
        <w:br/>
        <w:t>2. 울산 수소 생태계 연계</w:t>
        <w:br/>
        <w:t xml:space="preserve">   - 현대자동차 수소차 클러스터와 협력</w:t>
        <w:br/>
        <w:t xml:space="preserve">   - 울산 그린수소 프로젝트 활용</w:t>
        <w:br/>
        <w:br/>
        <w:t>3. 동해 해상풍력 활용</w:t>
        <w:br/>
        <w:t xml:space="preserve">   - 울산 해상풍력단지 연계</w:t>
        <w:br/>
        <w:t xml:space="preserve">   - 지역 재생에너지 자급</w:t>
        <w:br/>
        <w:br/>
        <w:t>예상 효과:</w:t>
        <w:br/>
        <w:t>• 10.4 Mt 전량 감축</w:t>
        <w:br/>
        <w:t>• 다양한 기업 참여로 모범 사례 창출</w:t>
        <w:br/>
        <w:t>• 지역 수소 생태계 강화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【온산 클러스터】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특징:</w:t>
        <w:br/>
        <w:t>• 6.6 Mt 배출 (전체의 10%)</w:t>
        <w:br/>
        <w:t>• 14개 시설 (울산 인접)</w:t>
        <w:br/>
        <w:t>• 7개 기업</w:t>
        <w:br/>
        <w:t>• 특화 제품 생산</w:t>
        <w:br/>
        <w:br/>
        <w:t>권장 전략:</w:t>
        <w:br/>
        <w:t>1. 울산과 통합 접근</w:t>
        <w:br/>
        <w:t xml:space="preserve">   - 울산-온산 연계 인프라</w:t>
        <w:br/>
        <w:t xml:space="preserve">   - 수소 및 재생에너지 공유</w:t>
        <w:br/>
        <w:br/>
        <w:t>2. 특화 제품 최적화</w:t>
        <w:br/>
        <w:t xml:space="preserve">   - SM, BD 등 특화 제품 저탄소 공정</w:t>
        <w:br/>
        <w:t xml:space="preserve">   - 틈새 기술 선도 도입</w:t>
        <w:br/>
        <w:br/>
        <w:t>예상 효과:</w:t>
        <w:br/>
        <w:t>• 6.6 Mt 전량 감축</w:t>
        <w:br/>
        <w:t>• 울산과 시너지 효과</w:t>
        <w:br/>
        <w:t>• 특화 제품 경쟁력 유지</w:t>
      </w:r>
    </w:p>
    <w:p/>
    <w:p>
      <w:pPr>
        <w:spacing w:before="240" w:after="120"/>
        <w:jc w:val="center"/>
      </w:pPr>
      <w:r>
        <w:rPr>
          <w:rFonts w:ascii="Malgun Gothic" w:hAnsi="Malgun Gothic" w:eastAsia="Malgun Gothic"/>
          <w:b/>
          <w:i w:val="0"/>
          <w:sz w:val="24"/>
        </w:rPr>
        <w:t>[그림 위치: 지역별 기술 믹스]</w:t>
      </w:r>
    </w:p>
    <w:p>
      <w:r>
        <w:rPr>
          <w:rFonts w:ascii="Malgun Gothic" w:hAnsi="Malgun Gothic" w:eastAsia="Malgun Gothic"/>
          <w:b w:val="0"/>
          <w:i/>
          <w:sz w:val="18"/>
        </w:rPr>
        <w:t>설명: 누적 막대그래프로 4개 지역의 기술별 적용 비율을 표시합니다.</w:t>
      </w:r>
    </w:p>
    <w:p/>
    <w:p>
      <w:pPr>
        <w:jc w:val="center"/>
      </w:pPr>
      <w:r>
        <w:rPr>
          <w:rFonts w:ascii="Malgun Gothic" w:hAnsi="Malgun Gothic" w:eastAsia="Malgun Gothic"/>
          <w:b w:val="0"/>
          <w:i w:val="0"/>
          <w:sz w:val="22"/>
        </w:rPr>
        <w:t>(여기에 캡처한 그림 삽입)</w:t>
      </w:r>
    </w:p>
    <w:p/>
    <w:p>
      <w:pPr>
        <w:spacing w:after="240"/>
      </w:pPr>
    </w:p>
    <w:p>
      <w:pPr>
        <w:pStyle w:val="Heading2"/>
      </w:pPr>
      <w:r>
        <w:rPr>
          <w:rFonts w:ascii="Malgun Gothic" w:hAnsi="Malgun Gothic" w:eastAsia="Malgun Gothic"/>
          <w:color w:val="003366"/>
        </w:rPr>
        <w:t>3. 지역별 인프라 요구사항</w:t>
      </w:r>
    </w:p>
    <w:p>
      <w:r>
        <w:rPr>
          <w:rFonts w:ascii="Malgun Gothic" w:hAnsi="Malgun Gothic" w:eastAsia="Malgun Gothic"/>
          <w:b w:val="0"/>
          <w:i w:val="0"/>
          <w:sz w:val="22"/>
        </w:rPr>
        <w:t>Shaheen + NCC-H₂ 시나리오 기준, 지역별 인프라 요구사항을 추정하면:</w:t>
      </w:r>
    </w:p>
    <w:p/>
    <w:p>
      <w:pPr>
        <w:jc w:val="center"/>
      </w:pPr>
      <w:r>
        <w:rPr>
          <w:rFonts w:ascii="Malgun Gothic" w:hAnsi="Malgun Gothic" w:eastAsia="Malgun Gothic"/>
          <w:b/>
          <w:i w:val="0"/>
          <w:sz w:val="20"/>
        </w:rPr>
        <w:t>표 6. 지역별 인프라 요구사항 (NCC-H₂ 경로)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지역</w:t>
            </w:r>
          </w:p>
        </w:tc>
        <w:tc>
          <w:tcPr>
            <w:tcW w:type="dxa" w:w="1806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H₂ 소비 (kt/yr)</w:t>
            </w:r>
          </w:p>
        </w:tc>
        <w:tc>
          <w:tcPr>
            <w:tcW w:type="dxa" w:w="1806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H₂ 비중 (%)</w:t>
            </w:r>
          </w:p>
        </w:tc>
        <w:tc>
          <w:tcPr>
            <w:tcW w:type="dxa" w:w="1806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재생에너지 (TWh)</w:t>
            </w:r>
          </w:p>
        </w:tc>
        <w:tc>
          <w:tcPr>
            <w:tcW w:type="dxa" w:w="1806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투자 우선순위</w:t>
            </w:r>
          </w:p>
        </w:tc>
      </w:tr>
      <w:tr>
        <w:tc>
          <w:tcPr>
            <w:tcW w:type="dxa" w:w="1806"/>
          </w:tcPr>
          <w:p>
            <w:r>
              <w:rPr>
                <w:rFonts w:ascii="Malgun Gothic" w:hAnsi="Malgun Gothic" w:eastAsia="Malgun Gothic"/>
                <w:sz w:val="18"/>
              </w:rPr>
              <w:t>여수</w:t>
            </w:r>
          </w:p>
        </w:tc>
        <w:tc>
          <w:tcPr>
            <w:tcW w:type="dxa" w:w="1806"/>
          </w:tcPr>
          <w:p>
            <w:r>
              <w:rPr>
                <w:rFonts w:ascii="Malgun Gothic" w:hAnsi="Malgun Gothic" w:eastAsia="Malgun Gothic"/>
                <w:sz w:val="18"/>
              </w:rPr>
              <w:t>13.4</w:t>
            </w:r>
          </w:p>
        </w:tc>
        <w:tc>
          <w:tcPr>
            <w:tcW w:type="dxa" w:w="1806"/>
          </w:tcPr>
          <w:p>
            <w:r>
              <w:rPr>
                <w:rFonts w:ascii="Malgun Gothic" w:hAnsi="Malgun Gothic" w:eastAsia="Malgun Gothic"/>
                <w:sz w:val="18"/>
              </w:rPr>
              <w:t>40</w:t>
            </w:r>
          </w:p>
        </w:tc>
        <w:tc>
          <w:tcPr>
            <w:tcW w:type="dxa" w:w="1806"/>
          </w:tcPr>
          <w:p>
            <w:r>
              <w:rPr>
                <w:rFonts w:ascii="Malgun Gothic" w:hAnsi="Malgun Gothic" w:eastAsia="Malgun Gothic"/>
                <w:sz w:val="18"/>
              </w:rPr>
              <w:t>0.006</w:t>
            </w:r>
          </w:p>
        </w:tc>
        <w:tc>
          <w:tcPr>
            <w:tcW w:type="dxa" w:w="1806"/>
          </w:tcPr>
          <w:p>
            <w:r>
              <w:rPr>
                <w:rFonts w:ascii="Malgun Gothic" w:hAnsi="Malgun Gothic" w:eastAsia="Malgun Gothic"/>
                <w:sz w:val="18"/>
              </w:rPr>
              <w:t>최우선</w:t>
            </w:r>
          </w:p>
        </w:tc>
      </w:tr>
      <w:tr>
        <w:tc>
          <w:tcPr>
            <w:tcW w:type="dxa" w:w="1806"/>
          </w:tcPr>
          <w:p>
            <w:r>
              <w:rPr>
                <w:rFonts w:ascii="Malgun Gothic" w:hAnsi="Malgun Gothic" w:eastAsia="Malgun Gothic"/>
                <w:sz w:val="18"/>
              </w:rPr>
              <w:t>대산</w:t>
            </w:r>
          </w:p>
        </w:tc>
        <w:tc>
          <w:tcPr>
            <w:tcW w:type="dxa" w:w="1806"/>
          </w:tcPr>
          <w:p>
            <w:r>
              <w:rPr>
                <w:rFonts w:ascii="Malgun Gothic" w:hAnsi="Malgun Gothic" w:eastAsia="Malgun Gothic"/>
                <w:sz w:val="18"/>
              </w:rPr>
              <w:t>11.3</w:t>
            </w:r>
          </w:p>
        </w:tc>
        <w:tc>
          <w:tcPr>
            <w:tcW w:type="dxa" w:w="1806"/>
          </w:tcPr>
          <w:p>
            <w:r>
              <w:rPr>
                <w:rFonts w:ascii="Malgun Gothic" w:hAnsi="Malgun Gothic" w:eastAsia="Malgun Gothic"/>
                <w:sz w:val="18"/>
              </w:rPr>
              <w:t>34</w:t>
            </w:r>
          </w:p>
        </w:tc>
        <w:tc>
          <w:tcPr>
            <w:tcW w:type="dxa" w:w="1806"/>
          </w:tcPr>
          <w:p>
            <w:r>
              <w:rPr>
                <w:rFonts w:ascii="Malgun Gothic" w:hAnsi="Malgun Gothic" w:eastAsia="Malgun Gothic"/>
                <w:sz w:val="18"/>
              </w:rPr>
              <w:t>0.005</w:t>
            </w:r>
          </w:p>
        </w:tc>
        <w:tc>
          <w:tcPr>
            <w:tcW w:type="dxa" w:w="1806"/>
          </w:tcPr>
          <w:p>
            <w:r>
              <w:rPr>
                <w:rFonts w:ascii="Malgun Gothic" w:hAnsi="Malgun Gothic" w:eastAsia="Malgun Gothic"/>
                <w:sz w:val="18"/>
              </w:rPr>
              <w:t>우선</w:t>
            </w:r>
          </w:p>
        </w:tc>
      </w:tr>
      <w:tr>
        <w:tc>
          <w:tcPr>
            <w:tcW w:type="dxa" w:w="1806"/>
          </w:tcPr>
          <w:p>
            <w:r>
              <w:rPr>
                <w:rFonts w:ascii="Malgun Gothic" w:hAnsi="Malgun Gothic" w:eastAsia="Malgun Gothic"/>
                <w:sz w:val="18"/>
              </w:rPr>
              <w:t>울산</w:t>
            </w:r>
          </w:p>
        </w:tc>
        <w:tc>
          <w:tcPr>
            <w:tcW w:type="dxa" w:w="1806"/>
          </w:tcPr>
          <w:p>
            <w:r>
              <w:rPr>
                <w:rFonts w:ascii="Malgun Gothic" w:hAnsi="Malgun Gothic" w:eastAsia="Malgun Gothic"/>
                <w:sz w:val="18"/>
              </w:rPr>
              <w:t>5.3</w:t>
            </w:r>
          </w:p>
        </w:tc>
        <w:tc>
          <w:tcPr>
            <w:tcW w:type="dxa" w:w="1806"/>
          </w:tcPr>
          <w:p>
            <w:r>
              <w:rPr>
                <w:rFonts w:ascii="Malgun Gothic" w:hAnsi="Malgun Gothic" w:eastAsia="Malgun Gothic"/>
                <w:sz w:val="18"/>
              </w:rPr>
              <w:t>16</w:t>
            </w:r>
          </w:p>
        </w:tc>
        <w:tc>
          <w:tcPr>
            <w:tcW w:type="dxa" w:w="1806"/>
          </w:tcPr>
          <w:p>
            <w:r>
              <w:rPr>
                <w:rFonts w:ascii="Malgun Gothic" w:hAnsi="Malgun Gothic" w:eastAsia="Malgun Gothic"/>
                <w:sz w:val="18"/>
              </w:rPr>
              <w:t>0.003</w:t>
            </w:r>
          </w:p>
        </w:tc>
        <w:tc>
          <w:tcPr>
            <w:tcW w:type="dxa" w:w="1806"/>
          </w:tcPr>
          <w:p>
            <w:r>
              <w:rPr>
                <w:rFonts w:ascii="Malgun Gothic" w:hAnsi="Malgun Gothic" w:eastAsia="Malgun Gothic"/>
                <w:sz w:val="18"/>
              </w:rPr>
              <w:t>중간</w:t>
            </w:r>
          </w:p>
        </w:tc>
      </w:tr>
      <w:tr>
        <w:tc>
          <w:tcPr>
            <w:tcW w:type="dxa" w:w="1806"/>
          </w:tcPr>
          <w:p>
            <w:r>
              <w:rPr>
                <w:rFonts w:ascii="Malgun Gothic" w:hAnsi="Malgun Gothic" w:eastAsia="Malgun Gothic"/>
                <w:sz w:val="18"/>
              </w:rPr>
              <w:t>온산</w:t>
            </w:r>
          </w:p>
        </w:tc>
        <w:tc>
          <w:tcPr>
            <w:tcW w:type="dxa" w:w="1806"/>
          </w:tcPr>
          <w:p>
            <w:r>
              <w:rPr>
                <w:rFonts w:ascii="Malgun Gothic" w:hAnsi="Malgun Gothic" w:eastAsia="Malgun Gothic"/>
                <w:sz w:val="18"/>
              </w:rPr>
              <w:t>3.3</w:t>
            </w:r>
          </w:p>
        </w:tc>
        <w:tc>
          <w:tcPr>
            <w:tcW w:type="dxa" w:w="1806"/>
          </w:tcPr>
          <w:p>
            <w:r>
              <w:rPr>
                <w:rFonts w:ascii="Malgun Gothic" w:hAnsi="Malgun Gothic" w:eastAsia="Malgun Gothic"/>
                <w:sz w:val="18"/>
              </w:rPr>
              <w:t>10</w:t>
            </w:r>
          </w:p>
        </w:tc>
        <w:tc>
          <w:tcPr>
            <w:tcW w:type="dxa" w:w="1806"/>
          </w:tcPr>
          <w:p>
            <w:r>
              <w:rPr>
                <w:rFonts w:ascii="Malgun Gothic" w:hAnsi="Malgun Gothic" w:eastAsia="Malgun Gothic"/>
                <w:sz w:val="18"/>
              </w:rPr>
              <w:t>0.001</w:t>
            </w:r>
          </w:p>
        </w:tc>
        <w:tc>
          <w:tcPr>
            <w:tcW w:type="dxa" w:w="1806"/>
          </w:tcPr>
          <w:p>
            <w:r>
              <w:rPr>
                <w:rFonts w:ascii="Malgun Gothic" w:hAnsi="Malgun Gothic" w:eastAsia="Malgun Gothic"/>
                <w:sz w:val="18"/>
              </w:rPr>
              <w:t>중간</w:t>
            </w:r>
          </w:p>
        </w:tc>
      </w:tr>
    </w:tbl>
    <w:p/>
    <w:p>
      <w:r>
        <w:rPr>
          <w:rFonts w:ascii="Malgun Gothic" w:hAnsi="Malgun Gothic" w:eastAsia="Malgun Gothic"/>
          <w:b w:val="0"/>
          <w:i w:val="0"/>
          <w:sz w:val="22"/>
        </w:rPr>
        <w:t>인프라 구축 전략:</w:t>
        <w:br/>
        <w:br/>
        <w:t>【수소 인프라】</w:t>
        <w:br/>
        <w:t>• 여수: 그린수소 13.4 kt/yr 생산능력 (서남해 해상풍력 연계)</w:t>
        <w:br/>
        <w:t>• 대산: 그린수소 11.3 kt/yr + 블루수소 혼합</w:t>
        <w:br/>
        <w:t>• 울산/온산: 울산 수소 허브에서 공급 (5.3 + 3.3 = 8.6 kt/yr)</w:t>
        <w:br/>
        <w:t>• 총 수소 수요: 33.6 kt/yr</w:t>
        <w:br/>
        <w:br/>
        <w:t>【재생에너지 인프라】</w:t>
        <w:br/>
        <w:t>• 해상풍력: 서남해(여수), 태안/보령(대산), 울산(울산/온산)</w:t>
        <w:br/>
        <w:t>• 태양광: 각 클러스터 인근 산업단지 태양광</w:t>
        <w:br/>
        <w:t>• PPA 계약: 장기 고정가격 재생에너지 구매계약</w:t>
        <w:br/>
        <w:br/>
        <w:t>【파이프라인 네트워크】</w:t>
        <w:br/>
        <w:t>• 클러스터 내부: 수소 배관망 구축</w:t>
        <w:br/>
        <w:t>• 클러스터 간: 주요 클러스터 연결 간선 (여수-대산, 울산-온산)</w:t>
        <w:br/>
        <w:t>• 총 연장: 약 500-700 km 추정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color w:val="003366"/>
        </w:rPr>
        <w:t>정책 권고사항</w:t>
      </w:r>
    </w:p>
    <w:p>
      <w:pPr>
        <w:pStyle w:val="Heading2"/>
      </w:pPr>
      <w:r>
        <w:rPr>
          <w:rFonts w:ascii="Malgun Gothic" w:hAnsi="Malgun Gothic" w:eastAsia="Malgun Gothic"/>
          <w:color w:val="003366"/>
        </w:rPr>
        <w:t>1. 기술 경로 선택</w:t>
      </w:r>
    </w:p>
    <w:p>
      <w:r>
        <w:rPr>
          <w:rFonts w:ascii="Malgun Gothic" w:hAnsi="Malgun Gothic" w:eastAsia="Malgun Gothic"/>
          <w:b/>
          <w:i w:val="0"/>
          <w:sz w:val="22"/>
        </w:rPr>
        <w:t>【권고: NCC-H₂ 경로 우선 추진】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근거:</w:t>
        <w:br/>
        <w:t>1. 비용 효율성: 모든 시나리오에서 9-11% 저렴 ($2.7-5.2B 절감)</w:t>
        <w:br/>
        <w:t>2. 인프라 현실성: 수소 18.8-33.6 kt/yr는 달성 가능한 규모</w:t>
        <w:br/>
        <w:t>3. 기술 성숙도: 2024년 파일럿 성공, 2030년대 상용화 가능</w:t>
        <w:br/>
        <w:t>4. 국가 수소경제 정책과 부합</w:t>
        <w:br/>
        <w:br/>
        <w:t>단, NCC-전기 경로도 병행 연구개발 필요:</w:t>
        <w:br/>
        <w:t>• 장기적 기술 옵션 확보</w:t>
        <w:br/>
        <w:t>• 재생에너지 잠재량 증가 시 경제성 개선 가능</w:t>
        <w:br/>
        <w:t>• 기술 리스크 분산</w:t>
      </w:r>
    </w:p>
    <w:p/>
    <w:p>
      <w:pPr>
        <w:pStyle w:val="Heading2"/>
      </w:pPr>
      <w:r>
        <w:rPr>
          <w:rFonts w:ascii="Malgun Gothic" w:hAnsi="Malgun Gothic" w:eastAsia="Malgun Gothic"/>
          <w:color w:val="003366"/>
        </w:rPr>
        <w:t>2. 단계별 이행 로드맵</w:t>
      </w:r>
    </w:p>
    <w:p>
      <w:r>
        <w:rPr>
          <w:rFonts w:ascii="Malgun Gothic" w:hAnsi="Malgun Gothic" w:eastAsia="Malgun Gothic"/>
          <w:b/>
          <w:i w:val="0"/>
          <w:sz w:val="22"/>
        </w:rPr>
        <w:t>【1단계: 2025-2030 (조기 성과 창출)】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목표: 단기 감축 기술 배치 및 인프라 준비</w:t>
        <w:br/>
        <w:br/>
        <w:t>주요 과제:</w:t>
        <w:br/>
        <w:t>1. Heat Pump 전면 배치</w:t>
        <w:br/>
        <w:t xml:space="preserve">   - 모든 적용 가능 시설에 즉시 설치</w:t>
        <w:br/>
        <w:t xml:space="preserve">   - 정부 보조금 및 세제 혜택</w:t>
        <w:br/>
        <w:t xml:space="preserve">   - 2030년까지 3-4 Mt 감축</w:t>
        <w:br/>
        <w:br/>
        <w:t>2. RE_PPA 계약 확대</w:t>
        <w:br/>
        <w:t xml:space="preserve">   - 해상풍력단지와 장기 PPA 체결</w:t>
        <w:br/>
        <w:t xml:space="preserve">   - 기업 RE100 참여 유도</w:t>
        <w:br/>
        <w:t xml:space="preserve">   - 2030년까지 4-5 Mt 감축</w:t>
        <w:br/>
        <w:br/>
        <w:t>3. NCC 기술 실증</w:t>
        <w:br/>
        <w:t xml:space="preserve">   - 파일럿 플랜트 구축 (여수 또는 대산)</w:t>
        <w:br/>
        <w:t xml:space="preserve">   - 정부-기업 공동 투자</w:t>
        <w:br/>
        <w:t xml:space="preserve">   - 기술 검증 및 최적화</w:t>
        <w:br/>
        <w:br/>
        <w:t>4. 수소 인프라 마스터플랜 수립</w:t>
        <w:br/>
        <w:t xml:space="preserve">   - 클러스터별 수소 수요 정밀 추정</w:t>
        <w:br/>
        <w:t xml:space="preserve">   - 생산-저장-운송 인프라 설계</w:t>
        <w:br/>
        <w:t xml:space="preserve">   - 경제성 분석 및 재원 확보 방안</w:t>
        <w:br/>
        <w:br/>
        <w:t>예상 성과:</w:t>
        <w:br/>
        <w:t>• 2030년까지 7-9 Mt 감축 (전체의 약 10-13%)</w:t>
        <w:br/>
        <w:t>• NCC 기술 상용화 준비 완료</w:t>
        <w:br/>
        <w:t>• 수소 인프라 투자 확정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【2단계: 2031-2040 (본격 전환)】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목표: NCC 기술 상용화 및 대규모 배치</w:t>
        <w:br/>
        <w:br/>
        <w:t>주요 과제:</w:t>
        <w:br/>
        <w:t>1. NCC-H₂ 상용화</w:t>
        <w:br/>
        <w:t xml:space="preserve">   - 2035년부터 대규모 크래커 전환 시작</w:t>
        <w:br/>
        <w:t xml:space="preserve">   - 선도 기업 조기 도입 인센티브</w:t>
        <w:br/>
        <w:t xml:space="preserve">   - 2040년까지 30-40 Mt 감축</w:t>
        <w:br/>
        <w:br/>
        <w:t>2. 수소 인프라 구축</w:t>
        <w:br/>
        <w:t xml:space="preserve">   - 그린수소 생산단지 완공 (여수, 대산)</w:t>
        <w:br/>
        <w:t xml:space="preserve">   - 블루수소 생산 + CCS (필요시)</w:t>
        <w:br/>
        <w:t xml:space="preserve">   - 수소 파이프라인 네트워크 완성</w:t>
        <w:br/>
        <w:br/>
        <w:t>3. 재생에너지 대폭 확충</w:t>
        <w:br/>
        <w:t xml:space="preserve">   - 해상풍력 10 GW 이상 달성</w:t>
        <w:br/>
        <w:t xml:space="preserve">   - 산업단지 태양광 의무화</w:t>
        <w:br/>
        <w:t xml:space="preserve">   - RE_PPA 시장 활성화</w:t>
        <w:br/>
        <w:br/>
        <w:t>4. 탄소가격제 강화</w:t>
        <w:br/>
        <w:t xml:space="preserve">   - 탄소배출권 가격 상향 조정</w:t>
        <w:br/>
        <w:t xml:space="preserve">   - 무상할당 단계적 축소</w:t>
        <w:br/>
        <w:t xml:space="preserve">   - 저탄소 기술 경제성 개선</w:t>
        <w:br/>
        <w:br/>
        <w:t>예상 성과:</w:t>
        <w:br/>
        <w:t>• 2040년까지 50-55 Mt 감축 (전체의 약 75-80%)</w:t>
        <w:br/>
        <w:t>• 수소경제 본격 가동</w:t>
        <w:br/>
        <w:t>• 석유화학 산업 저탄소 전환 가시화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【3단계: 2041-2050 (탄소중립 달성)】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목표: 잔여 배출 제로화 및 탄소중립 완성</w:t>
        <w:br/>
        <w:br/>
        <w:t>주요 과제:</w:t>
        <w:br/>
        <w:t>1. NCC 기술 전면 확대</w:t>
        <w:br/>
        <w:t xml:space="preserve">   - 모든 나프타 크래커 전환 완료</w:t>
        <w:br/>
        <w:t xml:space="preserve">   - 60+ Mt 감축 달성</w:t>
        <w:br/>
        <w:br/>
        <w:t>2. 잔여 배출 처리</w:t>
        <w:br/>
        <w:t xml:space="preserve">   - CCS/CCU 기술 적용</w:t>
        <w:br/>
        <w:t xml:space="preserve">   - 바이오 피드스톡 전환 검토</w:t>
        <w:br/>
        <w:t xml:space="preserve">   - 탄소 상쇄 크레딧</w:t>
        <w:br/>
        <w:br/>
        <w:t>3. 수출 경쟁력 확보</w:t>
        <w:br/>
        <w:t xml:space="preserve">   - 저탄소 제품 인증</w:t>
        <w:br/>
        <w:t xml:space="preserve">   - 탄소국경조정제도(CBAM) 대응</w:t>
        <w:br/>
        <w:t xml:space="preserve">   - 글로벌 그린 공급망 편입</w:t>
        <w:br/>
        <w:br/>
        <w:t>예상 성과:</w:t>
        <w:br/>
        <w:t>• 2050년 탄소중립 달성</w:t>
        <w:br/>
        <w:t>• 글로벌 저탄소 석유화학 선도 국가</w:t>
        <w:br/>
        <w:t>• 수소경제 핵심 산업 육성</w:t>
      </w:r>
    </w:p>
    <w:p/>
    <w:p>
      <w:pPr>
        <w:pStyle w:val="Heading2"/>
      </w:pPr>
      <w:r>
        <w:rPr>
          <w:rFonts w:ascii="Malgun Gothic" w:hAnsi="Malgun Gothic" w:eastAsia="Malgun Gothic"/>
          <w:color w:val="003366"/>
        </w:rPr>
        <w:t>3. 정부 지원 정책</w:t>
      </w:r>
    </w:p>
    <w:p>
      <w:r>
        <w:rPr>
          <w:rFonts w:ascii="Malgun Gothic" w:hAnsi="Malgun Gothic" w:eastAsia="Malgun Gothic"/>
          <w:b/>
          <w:i w:val="0"/>
          <w:sz w:val="22"/>
        </w:rPr>
        <w:t>【재정 지원】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1. R&amp;D 투자</w:t>
        <w:br/>
        <w:t xml:space="preserve">   - NCC 기술 국산화 연구개발</w:t>
        <w:br/>
        <w:t xml:space="preserve">   - 연간 500-1,000억원 규모</w:t>
        <w:br/>
        <w:t xml:space="preserve">   - 2030년까지 집중 투자</w:t>
        <w:br/>
        <w:br/>
        <w:t>2. 설비 투자 보조금</w:t>
        <w:br/>
        <w:t xml:space="preserve">   - Heat Pump: 투자액의 30-50%</w:t>
        <w:br/>
        <w:t xml:space="preserve">   - NCC 기술: 투자액의 20-30%</w:t>
        <w:br/>
        <w:t xml:space="preserve">   - 총 예산: 2050년까지 10-15조원 규모</w:t>
        <w:br/>
        <w:br/>
        <w:t>3. 인프라 투자</w:t>
        <w:br/>
        <w:t xml:space="preserve">   - 수소 생산 시설: 정부-민간 5:5 매칭</w:t>
        <w:br/>
        <w:t xml:space="preserve">   - 파이프라인: 정부 주도 구축</w:t>
        <w:br/>
        <w:t xml:space="preserve">   - 총 예산: 5-10조원 규모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【규제 및 제도】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1. 탄소배출권거래제(K-ETS) 강화</w:t>
        <w:br/>
        <w:t xml:space="preserve">   - 무상할당 단계적 축소 (2030년 50%, 2040년 0%)</w:t>
        <w:br/>
        <w:t xml:space="preserve">   - 탄소가격 하한제 도입 ($50/tCO₂)</w:t>
        <w:br/>
        <w:t xml:space="preserve">   - 석유화학 업종 벤치마크 강화</w:t>
        <w:br/>
        <w:br/>
        <w:t>2. 재생에너지 의무화</w:t>
        <w:br/>
        <w:t xml:space="preserve">   - 산업단지 RE100 의무 비율 설정</w:t>
        <w:br/>
        <w:t xml:space="preserve">   - 2030년 30%, 2040년 60%, 2050년 100%</w:t>
        <w:br/>
        <w:br/>
        <w:t>3. 저탄소 제품 인증제</w:t>
        <w:br/>
        <w:t xml:space="preserve">   - 탄소발자국 라벨링 의무화</w:t>
        <w:br/>
        <w:t xml:space="preserve">   - 저탄소 제품 세제 혜택</w:t>
        <w:br/>
        <w:t xml:space="preserve">   - 공공조달 우대</w:t>
        <w:br/>
        <w:br/>
        <w:t>4. 수소 안전 기준</w:t>
        <w:br/>
        <w:t xml:space="preserve">   - 산업용 수소 안전 규정 정비</w:t>
        <w:br/>
        <w:t xml:space="preserve">   - 수소 운송 및 저장 가이드라인</w:t>
        <w:br/>
        <w:t xml:space="preserve">   - 국제 기준 조화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【국제 협력】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1. 기술 협력</w:t>
        <w:br/>
        <w:t xml:space="preserve">   - EU, 일본과 NCC 기술 공동연구</w:t>
        <w:br/>
        <w:t xml:space="preserve">   - 국제 표준화 참여</w:t>
        <w:br/>
        <w:t xml:space="preserve">   - 기술 라이선싱 및 수출</w:t>
        <w:br/>
        <w:br/>
        <w:t>2. 수소 수입 다변화</w:t>
        <w:br/>
        <w:t xml:space="preserve">   - 호주, 중동 그린수소 도입</w:t>
        <w:br/>
        <w:t xml:space="preserve">   - 암모니아 크래킹 기술 확보</w:t>
        <w:br/>
        <w:t xml:space="preserve">   - 장기 수소 공급 계약</w:t>
        <w:br/>
        <w:br/>
        <w:t>3. CBAM 대응</w:t>
        <w:br/>
        <w:t xml:space="preserve">   - EU 탄소국경세 대비 저탄소 인증</w:t>
        <w:br/>
        <w:t xml:space="preserve">   - 제품별 탄소 집약도 관리</w:t>
        <w:br/>
        <w:t xml:space="preserve">   - 수출 경쟁력 유지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color w:val="003366"/>
        </w:rPr>
        <w:t>결론</w:t>
      </w:r>
    </w:p>
    <w:p>
      <w:pPr>
        <w:pStyle w:val="Heading2"/>
      </w:pPr>
      <w:r>
        <w:rPr>
          <w:rFonts w:ascii="Malgun Gothic" w:hAnsi="Malgun Gothic" w:eastAsia="Malgun Gothic"/>
          <w:color w:val="003366"/>
        </w:rPr>
        <w:t>1. 주요 연구 성과</w:t>
      </w:r>
    </w:p>
    <w:p>
      <w:r>
        <w:rPr>
          <w:rFonts w:ascii="Malgun Gothic" w:hAnsi="Malgun Gothic" w:eastAsia="Malgun Gothic"/>
          <w:b w:val="0"/>
          <w:i w:val="0"/>
          <w:sz w:val="22"/>
        </w:rPr>
        <w:t>본 연구는 한국 석유화학 산업의 탄소중립 달성을 위한 비용 최적화 경로를 제시했습니다. 248개 생산시설을 대상으로 한 MACC 모델 분석을 통해 다음과 같은 핵심 결과를 도출했습니다:</w:t>
      </w:r>
    </w:p>
    <w:p/>
    <w:p>
      <w:pPr>
        <w:pStyle w:val="ListNumber"/>
      </w:pPr>
      <w:r>
        <w:rPr>
          <w:b/>
        </w:rPr>
        <w:t xml:space="preserve">6개 시나리오 분석: </w:t>
      </w:r>
      <w:r>
        <w:t>3개 생산량 경로(Shaheen, 구조조정 25%, 구조조정 40%)와 2개 기술 경로(NCC-H₂, NCC-전기)를 조합하여 종합적 비교</w:t>
      </w:r>
    </w:p>
    <w:p>
      <w:pPr>
        <w:pStyle w:val="ListNumber"/>
      </w:pPr>
      <w:r>
        <w:rPr>
          <w:b/>
        </w:rPr>
        <w:t xml:space="preserve">비용 효율성: </w:t>
      </w:r>
      <w:r>
        <w:t>NCC-H₂ 경로가 NCC-전기 경로 대비 일관되게 9-11% 저렴 ($2.7-5.2B 절감)</w:t>
      </w:r>
    </w:p>
    <w:p>
      <w:pPr>
        <w:pStyle w:val="ListNumber"/>
      </w:pPr>
      <w:r>
        <w:rPr>
          <w:b/>
        </w:rPr>
        <w:t xml:space="preserve">인프라 요구사항: </w:t>
      </w:r>
      <w:r>
        <w:t>NCC-H₂는 수소 18.8-33.6 kt/yr, NCC-전기는 재생에너지 178-318 TWh 필요</w:t>
      </w:r>
    </w:p>
    <w:p>
      <w:pPr>
        <w:pStyle w:val="ListNumber"/>
      </w:pPr>
      <w:r>
        <w:rPr>
          <w:b/>
        </w:rPr>
        <w:t xml:space="preserve">기술 배치 순서: </w:t>
      </w:r>
      <w:r>
        <w:t>Heat Pump(단기) → RE_PPA(단기) → NCC 기술(중장기) 순차 도입이 최적</w:t>
      </w:r>
    </w:p>
    <w:p>
      <w:pPr>
        <w:pStyle w:val="ListNumber"/>
      </w:pPr>
      <w:r>
        <w:rPr>
          <w:b/>
        </w:rPr>
        <w:t xml:space="preserve">지역별 전략: </w:t>
      </w:r>
      <w:r>
        <w:t>여수(40%)와 대산(34%)에 집중 투자, 지역 특성에 맞춘 인프라 구축</w:t>
      </w:r>
    </w:p>
    <w:p/>
    <w:p>
      <w:pPr>
        <w:pStyle w:val="Heading2"/>
      </w:pPr>
      <w:r>
        <w:rPr>
          <w:rFonts w:ascii="Malgun Gothic" w:hAnsi="Malgun Gothic" w:eastAsia="Malgun Gothic"/>
          <w:color w:val="003366"/>
        </w:rPr>
        <w:t>2. 정책 시사점</w:t>
      </w:r>
    </w:p>
    <w:p>
      <w:r>
        <w:rPr>
          <w:rFonts w:ascii="Malgun Gothic" w:hAnsi="Malgun Gothic" w:eastAsia="Malgun Gothic"/>
          <w:b/>
          <w:i w:val="0"/>
          <w:sz w:val="22"/>
        </w:rPr>
        <w:t>【단기 (2025-2030)】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• Heat Pump 및 RE_PPA 즉시 배치 (7-9 Mt 감축)</w:t>
        <w:br/>
        <w:t>• NCC 기술 파일럿 실증 및 검증</w:t>
        <w:br/>
        <w:t>• 수소 인프라 마스터플랜 수립 및 투자 확정</w:t>
        <w:br/>
        <w:t>• 탄소가격제 및 인센티브 제도 정비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【중기 (2031-2040)】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• NCC-H₂ 대규모 상용화 (30-40 Mt 감축)</w:t>
        <w:br/>
        <w:t>• 수소 생산단지 및 파이프라인 네트워크 완성</w:t>
        <w:br/>
        <w:t>• 재생에너지 대폭 확충 (해상풍력 10+ GW)</w:t>
        <w:br/>
        <w:t>• 탄소배출권 무상할당 단계적 축소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【장기 (2041-2050)】</w:t>
      </w:r>
    </w:p>
    <w:p>
      <w:r>
        <w:rPr>
          <w:rFonts w:ascii="Malgun Gothic" w:hAnsi="Malgun Gothic" w:eastAsia="Malgun Gothic"/>
          <w:b w:val="0"/>
          <w:i w:val="0"/>
          <w:sz w:val="22"/>
        </w:rPr>
        <w:t>• 모든 나프타 크래커 NCC 기술 전환 완료 (60+ Mt 감축)</w:t>
        <w:br/>
        <w:t>• 잔여 배출 CCS/CCU로 처리</w:t>
        <w:br/>
        <w:t>• 2050년 탄소중립 달성</w:t>
        <w:br/>
        <w:t>• 글로벌 저탄소 석유화학 선도 국가 도약</w:t>
      </w:r>
    </w:p>
    <w:p/>
    <w:p>
      <w:pPr>
        <w:pStyle w:val="Heading2"/>
      </w:pPr>
      <w:r>
        <w:rPr>
          <w:rFonts w:ascii="Malgun Gothic" w:hAnsi="Malgun Gothic" w:eastAsia="Malgun Gothic"/>
          <w:color w:val="003366"/>
        </w:rPr>
        <w:t>3. 향후 연구 과제</w:t>
      </w:r>
    </w:p>
    <w:p>
      <w:pPr>
        <w:pStyle w:val="ListBullet"/>
      </w:pPr>
      <w:r>
        <w:rPr>
          <w:b/>
        </w:rPr>
        <w:t xml:space="preserve">동적 최적화: </w:t>
      </w:r>
      <w:r>
        <w:t>현재 Greedy Algorithm을 Dynamic Programming 또는 Mixed-Integer Programming으로 고도화</w:t>
      </w:r>
    </w:p>
    <w:p>
      <w:pPr>
        <w:pStyle w:val="ListBullet"/>
      </w:pPr>
      <w:r>
        <w:rPr>
          <w:b/>
        </w:rPr>
        <w:t xml:space="preserve">불확실성 분석: </w:t>
      </w:r>
      <w:r>
        <w:t>가격, 기술 성능, 정책 변화에 대한 민감도 분석 및 시나리오 확률 분석</w:t>
      </w:r>
    </w:p>
    <w:p>
      <w:pPr>
        <w:pStyle w:val="ListBullet"/>
      </w:pPr>
      <w:r>
        <w:rPr>
          <w:b/>
        </w:rPr>
        <w:t xml:space="preserve">순환경제 통합: </w:t>
      </w:r>
      <w:r>
        <w:t>재활용 플라스틱, 바이오 피드스톡 등 순환경제 옵션 추가</w:t>
      </w:r>
    </w:p>
    <w:p>
      <w:pPr>
        <w:pStyle w:val="ListBullet"/>
      </w:pPr>
      <w:r>
        <w:rPr>
          <w:b/>
        </w:rPr>
        <w:t xml:space="preserve">CCS/CCU 모델링: </w:t>
      </w:r>
      <w:r>
        <w:t>탄소 포집 및 활용 기술의 경제성 및 적용 가능성 분석</w:t>
      </w:r>
    </w:p>
    <w:p>
      <w:pPr>
        <w:pStyle w:val="ListBullet"/>
      </w:pPr>
      <w:r>
        <w:rPr>
          <w:b/>
        </w:rPr>
        <w:t xml:space="preserve">국제 공급망 분석: </w:t>
      </w:r>
      <w:r>
        <w:t>글로벌 석유화학 공급망 변화 및 CBAM 영향 분석</w:t>
      </w:r>
    </w:p>
    <w:p>
      <w:pPr>
        <w:pStyle w:val="ListBullet"/>
      </w:pPr>
      <w:r>
        <w:rPr>
          <w:b/>
        </w:rPr>
        <w:t xml:space="preserve">사회경제적 영향: </w:t>
      </w:r>
      <w:r>
        <w:t>고용, 지역경제, 산업 경쟁력에 대한 종합 영향 평가</w:t>
      </w:r>
    </w:p>
    <w:p/>
    <w:p>
      <w:pPr>
        <w:pStyle w:val="Heading2"/>
      </w:pPr>
      <w:r>
        <w:rPr>
          <w:rFonts w:ascii="Malgun Gothic" w:hAnsi="Malgun Gothic" w:eastAsia="Malgun Gothic"/>
          <w:color w:val="003366"/>
        </w:rPr>
        <w:t>4. 맺음말</w:t>
      </w:r>
    </w:p>
    <w:p>
      <w:r>
        <w:rPr>
          <w:rFonts w:ascii="Malgun Gothic" w:hAnsi="Malgun Gothic" w:eastAsia="Malgun Gothic"/>
          <w:b w:val="0"/>
          <w:i w:val="0"/>
          <w:sz w:val="22"/>
        </w:rPr>
        <w:t>한국 석유화학 산업의 탄소중립 전환은 도전적이지만 달성 가능한 목표입니다. 본 연구가 제시한 비용 최적화 경로는 기술적 실현 가능성, 경제적 효율성, 인프라 구축 현실성을 종합적으로 고려한 결과입니다.</w:t>
        <w:br/>
        <w:br/>
        <w:t>NCC-H₂ 경로는 NCC-전기 경로 대비 비용이 9-11% 저렴하며, 인프라 요구사항도 현실적입니다. Heat Pump와 RE_PPA를 단기적으로 배치하고, 2030년대 중반부터 NCC 기술을 본격적으로 도입하는 단계적 접근이 최적입니다.</w:t>
        <w:br/>
        <w:br/>
        <w:t>정부, 기업, 연구기관의 긴밀한 협력을 통해 2050년 탄소중립 목표를 달성하고, 한국 석유화학 산업이 글로벌 저탄소 경제를 선도할 수 있기를 기대합니다.</w:t>
      </w:r>
    </w:p>
    <w:p/>
    <w:p/>
    <w:p>
      <w:pPr>
        <w:jc w:val="center"/>
      </w:pPr>
      <w:r>
        <w:rPr>
          <w:rFonts w:ascii="Malgun Gothic" w:hAnsi="Malgun Gothic" w:eastAsia="Malgun Gothic"/>
          <w:i/>
          <w:sz w:val="24"/>
        </w:rPr>
        <w:t>—  보고서 끝  —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