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rFonts w:ascii="Nanum Gothic" w:cs="Nanum Gothic" w:eastAsia="Nanum Gothic" w:hAnsi="Nanum Gothic"/>
          <w:sz w:val="40"/>
          <w:szCs w:val="40"/>
        </w:rPr>
      </w:pPr>
      <w:r w:rsidDel="00000000" w:rsidR="00000000" w:rsidRPr="00000000">
        <w:rPr>
          <w:rFonts w:ascii="Nanum Gothic" w:cs="Nanum Gothic" w:eastAsia="Nanum Gothic" w:hAnsi="Nanum Gothic"/>
          <w:sz w:val="40"/>
          <w:szCs w:val="40"/>
          <w:rtl w:val="0"/>
        </w:rPr>
        <w:t xml:space="preserve">한국 석유화학산업 탄소중립 전략 제언</w:t>
      </w:r>
    </w:p>
    <w:p w:rsidR="00000000" w:rsidDel="00000000" w:rsidP="00000000" w:rsidRDefault="00000000" w:rsidRPr="00000000" w14:paraId="00000002">
      <w:pPr>
        <w:spacing w:after="400" w:lineRule="auto"/>
        <w:jc w:val="center"/>
        <w:rPr>
          <w:rFonts w:ascii="Nanum Gothic" w:cs="Nanum Gothic" w:eastAsia="Nanum Gothic" w:hAnsi="Nanum Gothic"/>
          <w:color w:val="ff0000"/>
        </w:rPr>
      </w:pPr>
      <w:r w:rsidDel="00000000" w:rsidR="00000000" w:rsidRPr="00000000">
        <w:rPr>
          <w:rFonts w:ascii="Nanum Gothic" w:cs="Nanum Gothic" w:eastAsia="Nanum Gothic" w:hAnsi="Nanum Gothic"/>
          <w:sz w:val="40"/>
          <w:szCs w:val="40"/>
          <w:rtl w:val="0"/>
        </w:rPr>
        <w:t xml:space="preserve">: </w:t>
      </w:r>
      <w:r w:rsidDel="00000000" w:rsidR="00000000" w:rsidRPr="00000000">
        <w:rPr>
          <w:rFonts w:ascii="Nanum Gothic" w:cs="Nanum Gothic" w:eastAsia="Nanum Gothic" w:hAnsi="Nanum Gothic"/>
          <w:color w:val="ff0000"/>
          <w:sz w:val="40"/>
          <w:szCs w:val="40"/>
          <w:rtl w:val="0"/>
        </w:rPr>
        <w:t xml:space="preserve">1.5도씨 경로 따른 좌초자산 및 저탄소기술(?) 중심으로</w:t>
      </w:r>
      <w:r w:rsidDel="00000000" w:rsidR="00000000" w:rsidRPr="00000000">
        <w:rPr>
          <w:rtl w:val="0"/>
        </w:rPr>
      </w:r>
    </w:p>
    <w:p w:rsidR="00000000" w:rsidDel="00000000" w:rsidP="00000000" w:rsidRDefault="00000000" w:rsidRPr="00000000" w14:paraId="00000003">
      <w:pPr>
        <w:spacing w:after="6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4"/>
          <w:szCs w:val="24"/>
          <w:rtl w:val="0"/>
        </w:rPr>
        <w:t xml:space="preserve">PLANiT Institute | 2026년 1월</w:t>
      </w:r>
      <w:r w:rsidDel="00000000" w:rsidR="00000000" w:rsidRPr="00000000">
        <w:rPr>
          <w:rtl w:val="0"/>
        </w:rPr>
      </w:r>
    </w:p>
    <w:p w:rsidR="00000000" w:rsidDel="00000000" w:rsidP="00000000" w:rsidRDefault="00000000" w:rsidRPr="00000000" w14:paraId="00000004">
      <w:pPr>
        <w:pStyle w:val="Heading1"/>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 배경 및 목적</w:t>
      </w:r>
    </w:p>
    <w:p w:rsidR="00000000" w:rsidDel="00000000" w:rsidP="00000000" w:rsidRDefault="00000000" w:rsidRPr="00000000" w14:paraId="00000005">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1-1. 배경</w:t>
      </w:r>
    </w:p>
    <w:p w:rsidR="00000000" w:rsidDel="00000000" w:rsidP="00000000" w:rsidRDefault="00000000" w:rsidRPr="00000000" w14:paraId="00000006">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한국 석유화학산업의 온실가스 배출량 규모는 약 5,200만톤 CO₂e 규모로 산업에서는 철강에 이어 두 번째로 큰 규모이다. 이는 2023년 기준 국가 총 배출량의 약 8%, 산업부문 전체 배출량의 약 21%를 차지하고 있다. 석유화학부문은 석유기반 에너지를 소비하고 있는 에너지 집약적 산업이다. 또한, 최근 다년간 누적된 석유화학 대표 기업들의 적자로 인해 구조조정 논의가 활발한 상황이다. 2024년 기준 국내 10대 석유화학 기업의 합산 영업이익률은 -1.8%로 3년 연속 적자를 기록하고 있다. 중국의 자급률 확대(2025년 주요 기초유분 자급률 100% 상회 전망)와 글로벌 공급과잉으로 인해 한국 석유화학산업은 생존의 기로에 서 있다. </w:t>
      </w:r>
    </w:p>
    <w:p w:rsidR="00000000" w:rsidDel="00000000" w:rsidP="00000000" w:rsidRDefault="00000000" w:rsidRPr="00000000" w14:paraId="00000007">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연구는 목적은 다음과 같다.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Nanum Gothic" w:cs="Nanum Gothic" w:eastAsia="Nanum Gothic" w:hAnsi="Nanum Gothic"/>
          <w:i w:val="0"/>
          <w:iCs w:val="0"/>
          <w:smallCaps w:val="0"/>
          <w:strike w:val="0"/>
          <w:color w:val="ff0000"/>
          <w:sz w:val="22"/>
          <w:szCs w:val="22"/>
          <w:shd w:fill="auto" w:val="clear"/>
          <w:vertAlign w:val="baseline"/>
        </w:rPr>
      </w:pPr>
      <w:r w:rsidDel="00000000" w:rsidR="00000000" w:rsidRPr="00000000">
        <w:rPr>
          <w:rFonts w:ascii="Nanum Gothic" w:cs="Nanum Gothic" w:eastAsia="Nanum Gothic" w:hAnsi="Nanum Gothic"/>
          <w:i w:val="0"/>
          <w:iCs w:val="0"/>
          <w:smallCaps w:val="0"/>
          <w:strike w:val="0"/>
          <w:color w:val="ff0000"/>
          <w:sz w:val="22"/>
          <w:szCs w:val="22"/>
          <w:u w:val="none"/>
          <w:shd w:fill="auto" w:val="clear"/>
          <w:vertAlign w:val="baseline"/>
          <w:rtl w:val="0"/>
        </w:rPr>
        <w:t xml:space="preserve">탄소예산 이행에 필요한 </w:t>
      </w:r>
      <w:r w:rsidDel="00000000" w:rsidR="00000000" w:rsidRPr="00000000">
        <w:rPr>
          <w:rFonts w:ascii="Nanum Gothic" w:cs="Nanum Gothic" w:eastAsia="Nanum Gothic" w:hAnsi="Nanum Gothic"/>
          <w:color w:val="ff0000"/>
          <w:rtl w:val="0"/>
        </w:rPr>
        <w:t xml:space="preserve">전체 투자비용 및 기업별 좌초자산 및 전환비용을 추정함으로써, 한국 산업의 경쟁력 .. (수정 중)</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Nanum Gothic" w:cs="Nanum Gothic" w:eastAsia="Nanum Gothic" w:hAnsi="Nanum Gothic"/>
          <w:i w:val="0"/>
          <w:iCs w:val="0"/>
          <w:smallCaps w:val="0"/>
          <w:strike w:val="0"/>
          <w:color w:val="ff0000"/>
          <w:sz w:val="22"/>
          <w:szCs w:val="22"/>
          <w:shd w:fill="auto" w:val="clear"/>
          <w:vertAlign w:val="baseline"/>
        </w:rPr>
      </w:pPr>
      <w:r w:rsidDel="00000000" w:rsidR="00000000" w:rsidRPr="00000000">
        <w:rPr>
          <w:rFonts w:ascii="Nanum Gothic" w:cs="Nanum Gothic" w:eastAsia="Nanum Gothic" w:hAnsi="Nanum Gothic"/>
          <w:i w:val="0"/>
          <w:iCs w:val="0"/>
          <w:smallCaps w:val="0"/>
          <w:strike w:val="0"/>
          <w:color w:val="ff0000"/>
          <w:sz w:val="22"/>
          <w:szCs w:val="22"/>
          <w:u w:val="none"/>
          <w:shd w:fill="auto" w:val="clear"/>
          <w:vertAlign w:val="baseline"/>
          <w:rtl w:val="0"/>
        </w:rPr>
        <w:t xml:space="preserve">최근 논의되고 있는 탈탄소 기술도입에 따른 비용-효과성은 .. (</w:t>
      </w:r>
      <w:r w:rsidDel="00000000" w:rsidR="00000000" w:rsidRPr="00000000">
        <w:rPr>
          <w:rFonts w:ascii="Nanum Gothic" w:cs="Nanum Gothic" w:eastAsia="Nanum Gothic" w:hAnsi="Nanum Gothic"/>
          <w:color w:val="ff0000"/>
          <w:rtl w:val="0"/>
        </w:rPr>
        <w:t xml:space="preserve">수정 예정)</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Nanum Gothic" w:cs="Nanum Gothic" w:eastAsia="Nanum Gothic" w:hAnsi="Nanum Gothic"/>
          <w:i w:val="0"/>
          <w:iCs w:val="0"/>
          <w:smallCaps w:val="0"/>
          <w:strike w:val="0"/>
          <w:color w:val="000000"/>
          <w:sz w:val="22"/>
          <w:szCs w:val="22"/>
          <w:shd w:fill="auto" w:val="clear"/>
          <w:vertAlign w:val="baseline"/>
        </w:rPr>
      </w:pPr>
      <w:r w:rsidDel="00000000" w:rsidR="00000000" w:rsidRPr="00000000">
        <w:rPr>
          <w:rFonts w:ascii="Nanum Gothic" w:cs="Nanum Gothic" w:eastAsia="Nanum Gothic" w:hAnsi="Nanum Gothic"/>
          <w:i w:val="0"/>
          <w:iCs w:val="0"/>
          <w:smallCaps w:val="0"/>
          <w:strike w:val="0"/>
          <w:color w:val="000000"/>
          <w:sz w:val="22"/>
          <w:szCs w:val="22"/>
          <w:u w:val="none"/>
          <w:shd w:fill="auto" w:val="clear"/>
          <w:vertAlign w:val="baseline"/>
          <w:rtl w:val="0"/>
        </w:rPr>
        <w:t xml:space="preserve">각 기업별 전환 비용 및 재생에너지 도입량은 어느 정도인가?</w:t>
      </w:r>
    </w:p>
    <w:p w:rsidR="00000000" w:rsidDel="00000000" w:rsidP="00000000" w:rsidRDefault="00000000" w:rsidRPr="00000000" w14:paraId="0000000B">
      <w:pPr>
        <w:spacing w:after="200"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00C">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1-1-1. 주요 기업별 실적 현황</w:t>
      </w:r>
    </w:p>
    <w:p w:rsidR="00000000" w:rsidDel="00000000" w:rsidP="00000000" w:rsidRDefault="00000000" w:rsidRPr="00000000" w14:paraId="0000000D">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롯데케미칼은 2024년 매출액 20조 4,304억원에 영업손실 8,948억원을 기록하며 3년 연속 적자를 이어갔다. 전년 대비 영업손실이 157.3% 확대되었으며, 기초소재 사업이 매출의 63.2%를 차지하면서 적자의 주요 원인이 되고 있다. 대응책으로 파키스탄 PTA 자회사 매각, 여수 2공장 일부 가동 중단, 투자계획 1조원 이상 축소를 추진 중이다.</w:t>
      </w:r>
    </w:p>
    <w:p w:rsidR="00000000" w:rsidDel="00000000" w:rsidP="00000000" w:rsidRDefault="00000000" w:rsidRPr="00000000" w14:paraId="0000000E">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LG화학은 2024년 연결 매출 48조 9,000억원, 영업이익 9,170억원(전년 대비 63.75% 감소)을 기록했다. 석유화학 부문은 연간 지속 적자였으나, NCC 매출 비중이 29%에 불과해 롯데케미칼 대비 영향이 제한적이다. 1조 4,000억원 규모 범용 중간원료 사업 다운사이징을 진행하며 고부가 스페셜티 제품 확대에 집중하고 있다.</w:t>
      </w:r>
    </w:p>
    <w:p w:rsidR="00000000" w:rsidDel="00000000" w:rsidP="00000000" w:rsidRDefault="00000000" w:rsidRPr="00000000" w14:paraId="0000000F">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한화솔루션은 케미칼 부문 8분기 연속 적자를 기록했다. 2024년 매출 12조 3,940억원, 영업손실 3,002억원이다. 다만 태양광 사업이 실적 회복을 견인하며, 2024년 4분기 역대 최대 매출(2조 8,690억원)과 흑자전환(606억원)을 달성했다.</w:t>
      </w:r>
    </w:p>
    <w:p w:rsidR="00000000" w:rsidDel="00000000" w:rsidP="00000000" w:rsidRDefault="00000000" w:rsidRPr="00000000" w14:paraId="00000010">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표 1-1. 주요 석유화학 기업 2024년 실적 현황</w:t>
      </w:r>
      <w:r w:rsidDel="00000000" w:rsidR="00000000" w:rsidRPr="00000000">
        <w:rPr>
          <w:rtl w:val="0"/>
        </w:rPr>
      </w:r>
    </w:p>
    <w:tbl>
      <w:tblPr>
        <w:tblStyle w:val="Table1"/>
        <w:tblW w:w="9350.000000000002"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8"/>
        <w:gridCol w:w="2197"/>
        <w:gridCol w:w="3156"/>
        <w:tblGridChange w:id="0">
          <w:tblGrid>
            <w:gridCol w:w="1999"/>
            <w:gridCol w:w="1998"/>
            <w:gridCol w:w="2197"/>
            <w:gridCol w:w="3156"/>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1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기업</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1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2024년 매출</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1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2024년 영업이익</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1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특이사항</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롯데케미칼</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20.4조원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-8,948억원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3년 연속 적자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LG화학</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48.9조원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9,170억원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석화부문 적자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한화솔루션</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12.4조원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-3,002억원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8분기 연속 적자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SK이노베이션</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110.5조원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-2.1조원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SK지오센트릭 포함</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에쓰오일</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35.2조원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-1.2조원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샤힌 프로젝트 추진</w:t>
            </w:r>
            <w:r w:rsidDel="00000000" w:rsidR="00000000" w:rsidRPr="00000000">
              <w:rPr>
                <w:rtl w:val="0"/>
              </w:rPr>
            </w:r>
          </w:p>
        </w:tc>
      </w:tr>
    </w:tbl>
    <w:p w:rsidR="00000000" w:rsidDel="00000000" w:rsidP="00000000" w:rsidRDefault="00000000" w:rsidRPr="00000000" w14:paraId="00000029">
      <w:pPr>
        <w:rPr>
          <w:rFonts w:ascii="Nanum Gothic" w:cs="Nanum Gothic" w:eastAsia="Nanum Gothic" w:hAnsi="Nanum Gothic"/>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1-1-2. 글로벌 석유화학 산업 동향</w:t>
      </w:r>
    </w:p>
    <w:p w:rsidR="00000000" w:rsidDel="00000000" w:rsidP="00000000" w:rsidRDefault="00000000" w:rsidRPr="00000000" w14:paraId="0000002B">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중국 자급률 확대와 공급과잉</w:t>
      </w:r>
    </w:p>
    <w:p w:rsidR="00000000" w:rsidDel="00000000" w:rsidP="00000000" w:rsidRDefault="00000000" w:rsidRPr="00000000" w14:paraId="0000002C">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중국의 대규모 설비 증설이 한국 석유화학의 핵심 수출시장을 잠식하고 있다. 2024년 프로필렌 과잉은 +270만톤 수준이었으나, 2025년에는 +2,030만톤으로 급증할 전망이다. 원유-화학(CTC) 생산능력은 연간 1,460만톤으로 세계 최대 규모다. 한국 석유화학 수출에서 중국이 차지하는 비중은 약 40%에 달한다. 그러나 PP(폴리프로필렌)의 경우 중국이 2030년까지 사실상 완전 자급을 달성할 전망이어서, ICIS 분석에 따르면 한국 PP 생산능력 48% 감축이 필요할 수 있다.</w:t>
      </w:r>
    </w:p>
    <w:p w:rsidR="00000000" w:rsidDel="00000000" w:rsidP="00000000" w:rsidRDefault="00000000" w:rsidRPr="00000000" w14:paraId="0000002D">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정부 주도 구조조정 현황</w:t>
      </w:r>
    </w:p>
    <w:p w:rsidR="00000000" w:rsidDel="00000000" w:rsidP="00000000" w:rsidRDefault="00000000" w:rsidRPr="00000000" w14:paraId="0000002E">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산업통상자원부는 2024년 8월 10대 석유화학 기업과 구조조정 협약을 체결했다. NCC 감축 목표는 270만~370만톤(총 1,470만톤의 18~25%)이며, 2024년 12월까지 16개 NCC/PDH 운영 기업 모두 구조조정 계획을 제출 완료했다. 대산(충남)에서는 롯데케미칼과 HD현대케미칼이 합작을 추진 중이며, 여수(전남)에서는 LG화학과 GS칼텍스가 크래커 통합 운영 계획을 제출했다.</w:t>
      </w:r>
    </w:p>
    <w:p w:rsidR="00000000" w:rsidDel="00000000" w:rsidP="00000000" w:rsidRDefault="00000000" w:rsidRPr="00000000" w14:paraId="0000002F">
      <w:pPr>
        <w:rPr>
          <w:rFonts w:ascii="Nanum Gothic" w:cs="Nanum Gothic" w:eastAsia="Nanum Gothic" w:hAnsi="Nanum Gothic"/>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1-1-3. 해외 주요국 탈탄소 정책 비교</w:t>
      </w:r>
    </w:p>
    <w:p w:rsidR="00000000" w:rsidDel="00000000" w:rsidP="00000000" w:rsidRDefault="00000000" w:rsidRPr="00000000" w14:paraId="00000031">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주요 선진국들은 석유화학 산업의 탈탄소화를 지원하기 위해 대규모 정책 패키지를 시행하고 있다. 한국이 탈탄소 전환 비용을 산정하고 정책을 설계함에 있어 이들 사례는 중요한 참고점이 된다.</w:t>
      </w:r>
    </w:p>
    <w:p w:rsidR="00000000" w:rsidDel="00000000" w:rsidP="00000000" w:rsidRDefault="00000000" w:rsidRPr="00000000" w14:paraId="00000032">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독일: 탄소차액계약제도(CCfD) </w:t>
      </w:r>
      <w:r w:rsidDel="00000000" w:rsidR="00000000" w:rsidRPr="00000000">
        <w:rPr>
          <w:rtl w:val="0"/>
        </w:rPr>
      </w:r>
    </w:p>
    <w:p w:rsidR="00000000" w:rsidDel="00000000" w:rsidP="00000000" w:rsidRDefault="00000000" w:rsidRPr="00000000" w14:paraId="00000033">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독일은 EU 최초로 2024년 3월 탄소차액계약제도(Klimaschutzverträge)에 대한 국가보조금 승인을 받았다.</w:t>
      </w:r>
      <w:r w:rsidDel="00000000" w:rsidR="00000000" w:rsidRPr="00000000">
        <w:rPr>
          <w:rFonts w:ascii="Nanum Gothic" w:cs="Nanum Gothic" w:eastAsia="Nanum Gothic" w:hAnsi="Nanum Gothic"/>
          <w:vertAlign w:val="superscript"/>
        </w:rPr>
        <w:footnoteReference w:customMarkFollows="0" w:id="0"/>
      </w:r>
      <w:r w:rsidDel="00000000" w:rsidR="00000000" w:rsidRPr="00000000">
        <w:rPr>
          <w:rFonts w:ascii="Nanum Gothic" w:cs="Nanum Gothic" w:eastAsia="Nanum Gothic" w:hAnsi="Nanum Gothic"/>
          <w:rtl w:val="0"/>
        </w:rPr>
        <w:t xml:space="preserve"> CCfD는 경쟁 입찰로 기업들이 CO₂ 1톤 감축에 필요한 지원금을 제시하고, 최저 비용으로 최대 감축을 달성할 수 있는 기업이 선정되는 방식이다. 15년 계약 기간 동안 투자비(CapEx)와 운영비(OpEx) 모두를 지원하며, 탄소가격이 기업 제시 스트라이크 가격보다 낮으면 정부가 차액을 지급하고, 높으면 기업이 정부에 반환하는 양방향 구조다.</w:t>
      </w:r>
    </w:p>
    <w:p w:rsidR="00000000" w:rsidDel="00000000" w:rsidP="00000000" w:rsidRDefault="00000000" w:rsidRPr="00000000" w14:paraId="00000034">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1차 입찰 결과(2024년 3~10월): 예산 40억 유로 공고에 17개 입찰(총 53억 유로)이 접수되었고, 15개 기업이 선정되어 최대 28억 유로 지원이 확정되었다.</w:t>
      </w:r>
      <w:r w:rsidDel="00000000" w:rsidR="00000000" w:rsidRPr="00000000">
        <w:rPr>
          <w:rFonts w:ascii="Nanum Gothic" w:cs="Nanum Gothic" w:eastAsia="Nanum Gothic" w:hAnsi="Nanum Gothic"/>
          <w:vertAlign w:val="superscript"/>
        </w:rPr>
        <w:footnoteReference w:customMarkFollows="0" w:id="1"/>
      </w:r>
      <w:r w:rsidDel="00000000" w:rsidR="00000000" w:rsidRPr="00000000">
        <w:rPr>
          <w:rFonts w:ascii="Nanum Gothic" w:cs="Nanum Gothic" w:eastAsia="Nanum Gothic" w:hAnsi="Nanum Gothic"/>
          <w:rtl w:val="0"/>
        </w:rPr>
        <w:t xml:space="preserve"> 15년간 최대 1,700만톤 CO₂eq 감축이 예상되며, 낙찰 기업 중 BASF SE, H&amp;R Chemisch-Pharmazeutische(화학), tesa Werk Hamburg(화학/접착제) 등 화학기업이 포함되었다. 2차 입찰(예산 50억 유로)은 2024년 7~9월 사전절차에서 130개 프로젝트가 제출되었으나, 연립정부 붕괴로 지연되어 2026년 새 정부 출범 후 재개 예정이다.</w:t>
      </w:r>
    </w:p>
    <w:p w:rsidR="00000000" w:rsidDel="00000000" w:rsidP="00000000" w:rsidRDefault="00000000" w:rsidRPr="00000000" w14:paraId="00000035">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BASF 계약 상세: BASF는 1차 입찰에서 루트비히스하펜 대형 산업용 히트펌프 프로젝트로 최대 3억 1,000만 유로 지원을 확보했다.</w:t>
      </w:r>
      <w:r w:rsidDel="00000000" w:rsidR="00000000" w:rsidRPr="00000000">
        <w:rPr>
          <w:rFonts w:ascii="Nanum Gothic" w:cs="Nanum Gothic" w:eastAsia="Nanum Gothic" w:hAnsi="Nanum Gothic"/>
          <w:vertAlign w:val="superscript"/>
        </w:rPr>
        <w:footnoteReference w:customMarkFollows="0" w:id="2"/>
      </w:r>
      <w:r w:rsidDel="00000000" w:rsidR="00000000" w:rsidRPr="00000000">
        <w:rPr>
          <w:rFonts w:ascii="Nanum Gothic" w:cs="Nanum Gothic" w:eastAsia="Nanum Gothic" w:hAnsi="Nanum Gothic"/>
          <w:rtl w:val="0"/>
        </w:rPr>
        <w:t xml:space="preserve"> 열출력 약 50MW, 시간당 60톤 증기(연간 최대 50만톤) 생산으로, 개미산 생산에 CO₂-free 스팀을 공급한다. 연간 최대 10만톤 CO₂ 감축(98% 배출 저감), 2025년 1분기 착공해 2027년 중반 가동을 목표로 한다.</w:t>
      </w:r>
    </w:p>
    <w:p w:rsidR="00000000" w:rsidDel="00000000" w:rsidP="00000000" w:rsidRDefault="00000000" w:rsidRPr="00000000" w14:paraId="00000036">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BASF, SABIC, Linde 3사는 공동으로 전기 크래커 데모 플랜트를 운영 중이다. 2024년 4월 가동을 시작했으며, 재생에너지 전력 6MW를 소비하여 기존 스팀 크래커 대비 CO₂를 최소 90% 감축할 수 있다.</w:t>
      </w:r>
      <w:r w:rsidDel="00000000" w:rsidR="00000000" w:rsidRPr="00000000">
        <w:rPr>
          <w:rFonts w:ascii="Nanum Gothic" w:cs="Nanum Gothic" w:eastAsia="Nanum Gothic" w:hAnsi="Nanum Gothic"/>
          <w:vertAlign w:val="superscript"/>
        </w:rPr>
        <w:footnoteReference w:customMarkFollows="0" w:id="3"/>
      </w:r>
      <w:r w:rsidDel="00000000" w:rsidR="00000000" w:rsidRPr="00000000">
        <w:rPr>
          <w:rFonts w:ascii="Nanum Gothic" w:cs="Nanum Gothic" w:eastAsia="Nanum Gothic" w:hAnsi="Nanum Gothic"/>
          <w:rtl w:val="0"/>
        </w:rPr>
        <w:t xml:space="preserve"> 세계 최초 대규모 전기가열 스팀 크래커 데모 플랜트로, 프로젝트 비용 약 7,900만 유로 중 독일 연방경제기후보호부(BMWK)가 1,480만 유로를 지원했다.</w:t>
      </w:r>
      <w:r w:rsidDel="00000000" w:rsidR="00000000" w:rsidRPr="00000000">
        <w:rPr>
          <w:rFonts w:ascii="Nanum Gothic" w:cs="Nanum Gothic" w:eastAsia="Nanum Gothic" w:hAnsi="Nanum Gothic"/>
          <w:vertAlign w:val="superscript"/>
        </w:rPr>
        <w:footnoteReference w:customMarkFollows="0" w:id="4"/>
      </w:r>
      <w:r w:rsidDel="00000000" w:rsidR="00000000" w:rsidRPr="00000000">
        <w:rPr>
          <w:rtl w:val="0"/>
        </w:rPr>
      </w:r>
    </w:p>
    <w:p w:rsidR="00000000" w:rsidDel="00000000" w:rsidP="00000000" w:rsidRDefault="00000000" w:rsidRPr="00000000" w14:paraId="00000037">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EU: CBAM과 ETS 강화</w:t>
      </w:r>
      <w:r w:rsidDel="00000000" w:rsidR="00000000" w:rsidRPr="00000000">
        <w:rPr>
          <w:rtl w:val="0"/>
        </w:rPr>
      </w:r>
    </w:p>
    <w:p w:rsidR="00000000" w:rsidDel="00000000" w:rsidP="00000000" w:rsidRDefault="00000000" w:rsidRPr="00000000" w14:paraId="00000038">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EU 탄소국경조정메커니즘(CBAM)은 2023년 10월부터 전환기(보고만 의무)가 시작되었고, 2026년 1월부터 본격 시행(인증서 구매 의무)된다. 현재 적용 대상은 시멘트, 철강, 알루미늄, 비료, 전력, 수소이며, 석유화학 제품은 현재 직접 적용되지 않지만 2030년까지 유기화학물질 및 폴리머 포함이 검토되고 있다.</w:t>
      </w:r>
    </w:p>
    <w:p w:rsidR="00000000" w:rsidDel="00000000" w:rsidP="00000000" w:rsidRDefault="00000000" w:rsidRPr="00000000" w14:paraId="00000039">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EU ETS Phase 4(2021~2030) 무상할당은 54개 벤치마크 기반으로, CBAM 대상 부문은 2026년부터 무상할당이 단계적으로 축소되어 2034년 완전 철폐된다.</w:t>
      </w:r>
      <w:r w:rsidDel="00000000" w:rsidR="00000000" w:rsidRPr="00000000">
        <w:rPr>
          <w:rFonts w:ascii="Nanum Gothic" w:cs="Nanum Gothic" w:eastAsia="Nanum Gothic" w:hAnsi="Nanum Gothic"/>
          <w:vertAlign w:val="superscript"/>
        </w:rPr>
        <w:footnoteReference w:customMarkFollows="0" w:id="5"/>
      </w:r>
      <w:r w:rsidDel="00000000" w:rsidR="00000000" w:rsidRPr="00000000">
        <w:rPr>
          <w:rFonts w:ascii="Nanum Gothic" w:cs="Nanum Gothic" w:eastAsia="Nanum Gothic" w:hAnsi="Nanum Gothic"/>
          <w:rtl w:val="0"/>
        </w:rPr>
        <w:t xml:space="preserve"> 구체적으로 2026년 97.5%, 2027년 95%, 2029년 77.5%, 2030년 51.5%를 거쳐 2034년 0%가 된다. EU Innovation Fund는 EU ETS 배출권 경매 수입을 재원으로 하며, 총 예산 약 400억 유로(2020~2030년)로 2025년 기준 누적 156억 유로로 270개 프로젝트를 지원했다.</w:t>
      </w:r>
    </w:p>
    <w:p w:rsidR="00000000" w:rsidDel="00000000" w:rsidP="00000000" w:rsidRDefault="00000000" w:rsidRPr="00000000" w14:paraId="0000003A">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일본: GX 기본 정책</w:t>
      </w:r>
      <w:r w:rsidDel="00000000" w:rsidR="00000000" w:rsidRPr="00000000">
        <w:rPr>
          <w:rtl w:val="0"/>
        </w:rPr>
      </w:r>
    </w:p>
    <w:p w:rsidR="00000000" w:rsidDel="00000000" w:rsidP="00000000" w:rsidRDefault="00000000" w:rsidRPr="00000000" w14:paraId="0000003B">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일본은 2023년 2월 GX 기본정책을 발표하고 10년간 민관 150조엔(약 1조 달러) 투자를 목표로 설정했다.</w:t>
      </w:r>
      <w:r w:rsidDel="00000000" w:rsidR="00000000" w:rsidRPr="00000000">
        <w:rPr>
          <w:rFonts w:ascii="Nanum Gothic" w:cs="Nanum Gothic" w:eastAsia="Nanum Gothic" w:hAnsi="Nanum Gothic"/>
          <w:vertAlign w:val="superscript"/>
        </w:rPr>
        <w:footnoteReference w:customMarkFollows="0" w:id="6"/>
      </w:r>
      <w:r w:rsidDel="00000000" w:rsidR="00000000" w:rsidRPr="00000000">
        <w:rPr>
          <w:rFonts w:ascii="Nanum Gothic" w:cs="Nanum Gothic" w:eastAsia="Nanum Gothic" w:hAnsi="Nanum Gothic"/>
          <w:rtl w:val="0"/>
        </w:rPr>
        <w:t xml:space="preserve"> GX 경제이행채 약 20조엔을 세계 최초 국가 전환채권으로 발행하며, 상환재원은 탄소가격제(배출권거래제, 화석연료 부담금) 수입이다. 2024년 2월 첫 발행(약 1.6조엔)이 이루어졌다.</w:t>
      </w:r>
    </w:p>
    <w:p w:rsidR="00000000" w:rsidDel="00000000" w:rsidP="00000000" w:rsidRDefault="00000000" w:rsidRPr="00000000" w14:paraId="0000003C">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화학산업 특화 지원: 탈탄소 난이도가 높은 분야(hard-to-abate)에 1.3조엔이 배정되었으며, 수소 가격격차 지원에 3조엔, 에너지효율 투자에 2조엔이 할당되었다.</w:t>
      </w:r>
      <w:r w:rsidDel="00000000" w:rsidR="00000000" w:rsidRPr="00000000">
        <w:rPr>
          <w:rFonts w:ascii="Nanum Gothic" w:cs="Nanum Gothic" w:eastAsia="Nanum Gothic" w:hAnsi="Nanum Gothic"/>
          <w:vertAlign w:val="superscript"/>
        </w:rPr>
        <w:footnoteReference w:customMarkFollows="0" w:id="7"/>
      </w:r>
      <w:r w:rsidDel="00000000" w:rsidR="00000000" w:rsidRPr="00000000">
        <w:rPr>
          <w:rFonts w:ascii="Nanum Gothic" w:cs="Nanum Gothic" w:eastAsia="Nanum Gothic" w:hAnsi="Nanum Gothic"/>
          <w:rtl w:val="0"/>
        </w:rPr>
        <w:t xml:space="preserve"> 그린이노베이션기금(GI기금)에서 화학부문에 특화된 지원은 1,234억엔으로, 암모니아 연료 활용 나프타 크래커 고도화, 폐플라스틱 케미컬 리사이클링, CO₂ 유래 화학품 제조 프로젝트가 포함된다.</w:t>
      </w:r>
    </w:p>
    <w:p w:rsidR="00000000" w:rsidDel="00000000" w:rsidP="00000000" w:rsidRDefault="00000000" w:rsidRPr="00000000" w14:paraId="0000003D">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GX-ETS 단계별 시행: 1단계(2023~2025)는 자발적 GX리그 참여 방식으로 550개 이상 기업이 참여해 일본 온실가스 배출의 50% 이상을 커버한다.</w:t>
      </w:r>
      <w:r w:rsidDel="00000000" w:rsidR="00000000" w:rsidRPr="00000000">
        <w:rPr>
          <w:rFonts w:ascii="Nanum Gothic" w:cs="Nanum Gothic" w:eastAsia="Nanum Gothic" w:hAnsi="Nanum Gothic"/>
          <w:vertAlign w:val="superscript"/>
        </w:rPr>
        <w:footnoteReference w:customMarkFollows="0" w:id="8"/>
      </w:r>
      <w:r w:rsidDel="00000000" w:rsidR="00000000" w:rsidRPr="00000000">
        <w:rPr>
          <w:rFonts w:ascii="Nanum Gothic" w:cs="Nanum Gothic" w:eastAsia="Nanum Gothic" w:hAnsi="Nanum Gothic"/>
          <w:rtl w:val="0"/>
        </w:rPr>
        <w:t xml:space="preserve"> 2단계(2026년~)는 의무 참여로 전환되며, 연간 직접 CO₂ 배출량 10만톤 이상(3년 평균) 기업이 대상이다. 300~400개 기업, 일본 온실가스 배출의 약 60%가 커버된다. 탄소가격 회랑제(Price Corridor)는 하한 ¥1,700/톤, 상한 ¥4,300/톤으로 설정되며, 매년 물가상승률+3%씩 인상된다.</w:t>
      </w:r>
    </w:p>
    <w:p w:rsidR="00000000" w:rsidDel="00000000" w:rsidP="00000000" w:rsidRDefault="00000000" w:rsidRPr="00000000" w14:paraId="0000003E">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일본 화학기업 투자 계획: 미쓰이화학은 2020년 11월 일본 화학기업 최초로 탄소중립을 선언했다. 2030년까지 온실가스 배출량을 2013년 620만톤 대비 40% 감축(375만~380만톤), 2050년 탄소중립 달성이 목표다.</w:t>
      </w:r>
      <w:r w:rsidDel="00000000" w:rsidR="00000000" w:rsidRPr="00000000">
        <w:rPr>
          <w:rFonts w:ascii="Nanum Gothic" w:cs="Nanum Gothic" w:eastAsia="Nanum Gothic" w:hAnsi="Nanum Gothic"/>
          <w:vertAlign w:val="superscript"/>
        </w:rPr>
        <w:footnoteReference w:customMarkFollows="0" w:id="9"/>
      </w:r>
      <w:r w:rsidDel="00000000" w:rsidR="00000000" w:rsidRPr="00000000">
        <w:rPr>
          <w:rFonts w:ascii="Nanum Gothic" w:cs="Nanum Gothic" w:eastAsia="Nanum Gothic" w:hAnsi="Nanum Gothic"/>
          <w:rtl w:val="0"/>
        </w:rPr>
        <w:t xml:space="preserve"> 스미토모화학은 2030년까지 2013년 950만톤 대비 55% 감축(430만톤)을 목표로 하며, 전환금융 투자 규모는 2,000억엔이 예상된다. 미쓰비시케미컬그룹은 2030년까지 1,000억엔을 자가발전 설비 개조, 에너지 절감에 투자한다.</w:t>
      </w:r>
    </w:p>
    <w:p w:rsidR="00000000" w:rsidDel="00000000" w:rsidP="00000000" w:rsidRDefault="00000000" w:rsidRPr="00000000" w14:paraId="0000003F">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서일본 3사 협력: 아사히카세이, 미쓰이화학, 미쓰비시케미컬그룹은 2024년 5월 에틸렌 설비 협력을 발표하고, 2025년 9월 각사 1/3 지분의 유한책임조합(LLP)을 설립했다. 현재 2기 크래커를 1기로 통합하여 서일본의 탄소중립 에틸렌 공급 거점 구축이 목표다. 배경에는 중국의 5년간 3,200만톤 에틸렌 설비 증설로 수출시장 축소 우려가 있다.</w:t>
      </w:r>
    </w:p>
    <w:p w:rsidR="00000000" w:rsidDel="00000000" w:rsidP="00000000" w:rsidRDefault="00000000" w:rsidRPr="00000000" w14:paraId="00000040">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중국: 쌍탄소(30·60) 목표와 석유화학 정책</w:t>
      </w:r>
      <w:r w:rsidDel="00000000" w:rsidR="00000000" w:rsidRPr="00000000">
        <w:rPr>
          <w:rtl w:val="0"/>
        </w:rPr>
      </w:r>
    </w:p>
    <w:p w:rsidR="00000000" w:rsidDel="00000000" w:rsidP="00000000" w:rsidRDefault="00000000" w:rsidRPr="00000000" w14:paraId="00000041">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중국 석유화학 산업은 2030년 이전 탄소정점, 2060년 탄소중립의 '30·60' 프레임워크 하에 운영된다.</w:t>
      </w:r>
      <w:r w:rsidDel="00000000" w:rsidR="00000000" w:rsidRPr="00000000">
        <w:rPr>
          <w:rFonts w:ascii="Nanum Gothic" w:cs="Nanum Gothic" w:eastAsia="Nanum Gothic" w:hAnsi="Nanum Gothic"/>
          <w:vertAlign w:val="superscript"/>
        </w:rPr>
        <w:footnoteReference w:customMarkFollows="0" w:id="10"/>
      </w:r>
      <w:r w:rsidDel="00000000" w:rsidR="00000000" w:rsidRPr="00000000">
        <w:rPr>
          <w:rFonts w:ascii="Nanum Gothic" w:cs="Nanum Gothic" w:eastAsia="Nanum Gothic" w:hAnsi="Nanum Gothic"/>
          <w:rtl w:val="0"/>
        </w:rPr>
        <w:t xml:space="preserve"> 14차 5개년 계획 석유화학산업 발전계획(2022년)은 공업정보화부(MIIT), 국가발개위(NDRC) 등 6개 부처 공동 발표로, 대량 제품의 단위당 에너지소비·탄소배출 대폭 감소, VOC 배출 10% 이상 감축, R&amp;D 투자 매출 대비 1.5% 이상, 대량 화학품 설비가동률 80% 이상을 목표로 한다.</w:t>
      </w:r>
    </w:p>
    <w:p w:rsidR="00000000" w:rsidDel="00000000" w:rsidP="00000000" w:rsidRDefault="00000000" w:rsidRPr="00000000" w14:paraId="00000042">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녹색금융 지원 체계: 중국의 녹색대출 잔액은 30조 위안 이상(약 4.5조 달러)으로 세계 최대, 녹색채권 잔액은 2.5조 위안이다.</w:t>
      </w:r>
      <w:r w:rsidDel="00000000" w:rsidR="00000000" w:rsidRPr="00000000">
        <w:rPr>
          <w:rFonts w:ascii="Nanum Gothic" w:cs="Nanum Gothic" w:eastAsia="Nanum Gothic" w:hAnsi="Nanum Gothic"/>
          <w:vertAlign w:val="superscript"/>
        </w:rPr>
        <w:footnoteReference w:customMarkFollows="0" w:id="11"/>
      </w:r>
      <w:r w:rsidDel="00000000" w:rsidR="00000000" w:rsidRPr="00000000">
        <w:rPr>
          <w:rFonts w:ascii="Nanum Gothic" w:cs="Nanum Gothic" w:eastAsia="Nanum Gothic" w:hAnsi="Nanum Gothic"/>
          <w:rtl w:val="0"/>
        </w:rPr>
        <w:t xml:space="preserve"> 탄소중립까지 필요한 투자는 중국국제금융공사(CICC) 추정 21조 달러에 달한다. 인민은행 탄소감축지원도구(2021년 11월)는 금융기관에 저리 대출을 제공해 우선 탄소감축 산업에 자금을 공급하며, 2022년 9월 기준 직접 지원 2,400억 위안, 총 유발 대출 4,000억 위안 이상이다.</w:t>
      </w:r>
      <w:r w:rsidDel="00000000" w:rsidR="00000000" w:rsidRPr="00000000">
        <w:rPr>
          <w:rFonts w:ascii="Nanum Gothic" w:cs="Nanum Gothic" w:eastAsia="Nanum Gothic" w:hAnsi="Nanum Gothic"/>
          <w:vertAlign w:val="superscript"/>
        </w:rPr>
        <w:footnoteReference w:customMarkFollows="0" w:id="12"/>
      </w:r>
      <w:r w:rsidDel="00000000" w:rsidR="00000000" w:rsidRPr="00000000">
        <w:rPr>
          <w:rtl w:val="0"/>
        </w:rPr>
      </w:r>
    </w:p>
    <w:p w:rsidR="00000000" w:rsidDel="00000000" w:rsidP="00000000" w:rsidRDefault="00000000" w:rsidRPr="00000000" w14:paraId="00000043">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국영 3사 탈탄소 계획: Sinopec(중국석화)은 국가 목표보다 10년 빠른 2050년 탄소중립을 선언했다.</w:t>
      </w:r>
      <w:r w:rsidDel="00000000" w:rsidR="00000000" w:rsidRPr="00000000">
        <w:rPr>
          <w:rFonts w:ascii="Nanum Gothic" w:cs="Nanum Gothic" w:eastAsia="Nanum Gothic" w:hAnsi="Nanum Gothic"/>
          <w:vertAlign w:val="superscript"/>
        </w:rPr>
        <w:footnoteReference w:customMarkFollows="0" w:id="13"/>
      </w:r>
      <w:r w:rsidDel="00000000" w:rsidR="00000000" w:rsidRPr="00000000">
        <w:rPr>
          <w:rFonts w:ascii="Nanum Gothic" w:cs="Nanum Gothic" w:eastAsia="Nanum Gothic" w:hAnsi="Nanum Gothic"/>
          <w:rtl w:val="0"/>
        </w:rPr>
        <w:t xml:space="preserve"> 2030년까지 온실가스 30% 감축이 목표이며, 수소 인프라에 300억 위안(46억 달러, 2021~2025)을 투자해 충전소를 1,000개로 확대하고, 연간 녹색수소 생산 100만톤 이상을 목표로 한다.</w:t>
      </w:r>
      <w:r w:rsidDel="00000000" w:rsidR="00000000" w:rsidRPr="00000000">
        <w:rPr>
          <w:rFonts w:ascii="Nanum Gothic" w:cs="Nanum Gothic" w:eastAsia="Nanum Gothic" w:hAnsi="Nanum Gothic"/>
          <w:vertAlign w:val="superscript"/>
        </w:rPr>
        <w:footnoteReference w:customMarkFollows="0" w:id="14"/>
      </w:r>
      <w:r w:rsidDel="00000000" w:rsidR="00000000" w:rsidRPr="00000000">
        <w:rPr>
          <w:rFonts w:ascii="Nanum Gothic" w:cs="Nanum Gothic" w:eastAsia="Nanum Gothic" w:hAnsi="Nanum Gothic"/>
          <w:rtl w:val="0"/>
        </w:rPr>
        <w:t xml:space="preserve"> CCUS 용량은 2030년 1.1억톤, 2060년 47억톤으로 확대 계획이며, 치루-셩리 CCUS 프로젝트는 연간 35만~50만톤 CO₂를 포집해 유전에 주입 중이다.</w:t>
      </w:r>
      <w:r w:rsidDel="00000000" w:rsidR="00000000" w:rsidRPr="00000000">
        <w:rPr>
          <w:rFonts w:ascii="Nanum Gothic" w:cs="Nanum Gothic" w:eastAsia="Nanum Gothic" w:hAnsi="Nanum Gothic"/>
          <w:vertAlign w:val="superscript"/>
        </w:rPr>
        <w:footnoteReference w:customMarkFollows="0" w:id="15"/>
      </w:r>
      <w:r w:rsidDel="00000000" w:rsidR="00000000" w:rsidRPr="00000000">
        <w:rPr>
          <w:rtl w:val="0"/>
        </w:rPr>
      </w:r>
    </w:p>
    <w:p w:rsidR="00000000" w:rsidDel="00000000" w:rsidP="00000000" w:rsidRDefault="00000000" w:rsidRPr="00000000" w14:paraId="00000044">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PetroChina(중국석유/CNPC)는 2050년 근제로(near-zero) 배출을 목표로 하며, 2025년까지 매년 CAPEX의 5%를 신에너지에 배정한다.</w:t>
      </w:r>
      <w:r w:rsidDel="00000000" w:rsidR="00000000" w:rsidRPr="00000000">
        <w:rPr>
          <w:rFonts w:ascii="Nanum Gothic" w:cs="Nanum Gothic" w:eastAsia="Nanum Gothic" w:hAnsi="Nanum Gothic"/>
          <w:vertAlign w:val="superscript"/>
        </w:rPr>
        <w:footnoteReference w:customMarkFollows="0" w:id="16"/>
      </w:r>
      <w:r w:rsidDel="00000000" w:rsidR="00000000" w:rsidRPr="00000000">
        <w:rPr>
          <w:rFonts w:ascii="Nanum Gothic" w:cs="Nanum Gothic" w:eastAsia="Nanum Gothic" w:hAnsi="Nanum Gothic"/>
          <w:rtl w:val="0"/>
        </w:rPr>
        <w:t xml:space="preserve"> 2030년까지 천연가스가 1차에너지 생산의 55%, 2050년까지 화석연료 외 에너지가 50%를 차지하는 것이 목표다. CNOOC(중국해양석유)는 중국 최초 해상 CCS 프로젝트인 엔핑 15-1 유전 프로젝트(남중국해)에서 1억 입방미터 이상 CO₂를 성공적으로 저장했다.</w:t>
      </w:r>
    </w:p>
    <w:p w:rsidR="00000000" w:rsidDel="00000000" w:rsidP="00000000" w:rsidRDefault="00000000" w:rsidRPr="00000000" w14:paraId="00000045">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원유-화학(CTC) 기술: 원유-화학(Crude-to-Chemicals, COTC) 기술은 원유를 수송연료 대신 고부가가치 화학제품으로 직접 전환하는 것이다.</w:t>
      </w:r>
      <w:r w:rsidDel="00000000" w:rsidR="00000000" w:rsidRPr="00000000">
        <w:rPr>
          <w:rFonts w:ascii="Nanum Gothic" w:cs="Nanum Gothic" w:eastAsia="Nanum Gothic" w:hAnsi="Nanum Gothic"/>
          <w:vertAlign w:val="superscript"/>
        </w:rPr>
        <w:footnoteReference w:customMarkFollows="0" w:id="17"/>
      </w:r>
      <w:r w:rsidDel="00000000" w:rsidR="00000000" w:rsidRPr="00000000">
        <w:rPr>
          <w:rFonts w:ascii="Nanum Gothic" w:cs="Nanum Gothic" w:eastAsia="Nanum Gothic" w:hAnsi="Nanum Gothic"/>
          <w:rtl w:val="0"/>
        </w:rPr>
        <w:t xml:space="preserve"> 화학품 수율이 일반 정유소 ~10%, 전통적 통합 15~20%인 데 비해, 중국 2세대 CTC 프로젝트는 40~45%에 달한다. 주요 CTC 프로젝트로는 헝리석화 달리안 콤플렉스(2019년 가동, 정유 40만 배럴/일, 화학전환율 ~42%, 투자 약 116억 달러), 저장석유화학(ZPC) 저우산(화학전환율 45%) 등이 있다.</w:t>
      </w:r>
    </w:p>
    <w:p w:rsidR="00000000" w:rsidDel="00000000" w:rsidP="00000000" w:rsidRDefault="00000000" w:rsidRPr="00000000" w14:paraId="00000046">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4"/>
          <w:szCs w:val="24"/>
          <w:rtl w:val="0"/>
        </w:rPr>
        <w:t xml:space="preserve">미국: IRA와 45Q 세액공제</w:t>
      </w:r>
      <w:r w:rsidDel="00000000" w:rsidR="00000000" w:rsidRPr="00000000">
        <w:rPr>
          <w:rtl w:val="0"/>
        </w:rPr>
      </w:r>
    </w:p>
    <w:p w:rsidR="00000000" w:rsidDel="00000000" w:rsidP="00000000" w:rsidRDefault="00000000" w:rsidRPr="00000000" w14:paraId="00000047">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미국은 인플레이션감축법(IRA)으로 45Q 탄소 포집 세액공제를 대폭 강화했다. 산업시설의 경우 지질학적 저장 시 톤당 $85, 직접공기포집(DAC)의 경우 톤당 $180의 세액공제를 제공한다. 석유화학 시설의 최소 포집량 요건은 연간 12,500톤 이상이며, 공제 기간은 12년이다. 45V 청정수소 생산세액공제는 탄소배출량 0.45 kgCO₂e/kg H₂ 미만 시 최대 $3.11/kg 공제를 제공한다. 다만 2025년 트럼프 행정부 출범 이후 DOE 산업 탈탄소화 시범 프로그램의 다수 프로젝트 자금 지원이 취소되고 있어 정책 불확실성이 존재한다.</w:t>
      </w:r>
    </w:p>
    <w:p w:rsidR="00000000" w:rsidDel="00000000" w:rsidP="00000000" w:rsidRDefault="00000000" w:rsidRPr="00000000" w14:paraId="00000048">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표 1-4. 주요국 석유화학 탈탄소 정책 비교</w:t>
      </w:r>
      <w:r w:rsidDel="00000000" w:rsidR="00000000" w:rsidRPr="00000000">
        <w:rPr>
          <w:rtl w:val="0"/>
        </w:rPr>
      </w:r>
    </w:p>
    <w:tbl>
      <w:tblPr>
        <w:tblStyle w:val="Table2"/>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2198"/>
        <w:gridCol w:w="2199"/>
        <w:gridCol w:w="3455"/>
        <w:tblGridChange w:id="0">
          <w:tblGrid>
            <w:gridCol w:w="1498"/>
            <w:gridCol w:w="2198"/>
            <w:gridCol w:w="2199"/>
            <w:gridCol w:w="3455"/>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4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국가</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4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핵심 정책</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4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지원 규모</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4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특징</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독일</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CCfD</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4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1차 입찰 28억€</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15년 계약, 양방향 차액정산</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EU</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CBAM+ETS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Innovation Fund 400억€</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2026년 본격 시행, 2034년 무상할당 폐지</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미국</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45Q/IRA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$85/톤 CO₂</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12년 세액공제</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일본</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GX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150조엔(10년)</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GX 경제이행채 20조엔, 2026년 ETS 의무화</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중국</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쌍탄소(30·60)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녹색대출 30조위안</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CTC 기술, 국영3사 CCUS 대규모 투자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한국</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K-ETS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~25,000원/톤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2025년 CCfD 시범도입 검토</w:t>
            </w:r>
            <w:r w:rsidDel="00000000" w:rsidR="00000000" w:rsidRPr="00000000">
              <w:rPr>
                <w:rtl w:val="0"/>
              </w:rPr>
            </w:r>
          </w:p>
        </w:tc>
      </w:tr>
    </w:tbl>
    <w:p w:rsidR="00000000" w:rsidDel="00000000" w:rsidP="00000000" w:rsidRDefault="00000000" w:rsidRPr="00000000" w14:paraId="00000065">
      <w:pPr>
        <w:rPr>
          <w:rFonts w:ascii="Nanum Gothic" w:cs="Nanum Gothic" w:eastAsia="Nanum Gothic" w:hAnsi="Nanum Gothic"/>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1-2. 주요 가정 값</w:t>
      </w:r>
    </w:p>
    <w:p w:rsidR="00000000" w:rsidDel="00000000" w:rsidP="00000000" w:rsidRDefault="00000000" w:rsidRPr="00000000" w14:paraId="00000067">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1-2-1. 석유화학산업 전체 에너지 사용량</w:t>
      </w:r>
    </w:p>
    <w:p w:rsidR="00000000" w:rsidDel="00000000" w:rsidP="00000000" w:rsidRDefault="00000000" w:rsidRPr="00000000" w14:paraId="00000068">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2023년 기준 석유화학산업의 총 에너지 사용량은 [XX TJ]이다. 에너지원별로 살펴보면:</w:t>
      </w:r>
    </w:p>
    <w:tbl>
      <w:tblPr>
        <w:tblStyle w:val="Table3"/>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7"/>
        <w:gridCol w:w="1870"/>
        <w:gridCol w:w="2804"/>
        <w:tblGridChange w:id="0">
          <w:tblGrid>
            <w:gridCol w:w="2339"/>
            <w:gridCol w:w="2337"/>
            <w:gridCol w:w="1870"/>
            <w:gridCol w:w="2804"/>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6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에너지원</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6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사용량 (TJ)</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6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비중 (%)</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6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산정 근거</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납사(Naphtha)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0">
            <w:pPr>
              <w:rPr>
                <w:rFonts w:ascii="Nanum Gothic" w:cs="Nanum Gothic" w:eastAsia="Nanum Gothic" w:hAnsi="Nanum Gothic"/>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연료유</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4">
            <w:pPr>
              <w:rPr>
                <w:rFonts w:ascii="Nanum Gothic" w:cs="Nanum Gothic" w:eastAsia="Nanum Gothic" w:hAnsi="Nanum Gothic"/>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LNG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8">
            <w:pPr>
              <w:rPr>
                <w:rFonts w:ascii="Nanum Gothic" w:cs="Nanum Gothic" w:eastAsia="Nanum Gothic" w:hAnsi="Nanum Gothic"/>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전력</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C">
            <w:pPr>
              <w:rPr>
                <w:rFonts w:ascii="Nanum Gothic" w:cs="Nanum Gothic" w:eastAsia="Nanum Gothic" w:hAnsi="Nanum Gothic"/>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합계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0">
            <w:pPr>
              <w:rPr>
                <w:rFonts w:ascii="Nanum Gothic" w:cs="Nanum Gothic" w:eastAsia="Nanum Gothic" w:hAnsi="Nanum Gothic"/>
              </w:rPr>
            </w:pPr>
            <w:r w:rsidDel="00000000" w:rsidR="00000000" w:rsidRPr="00000000">
              <w:rPr>
                <w:rtl w:val="0"/>
              </w:rPr>
            </w:r>
          </w:p>
        </w:tc>
      </w:tr>
    </w:tbl>
    <w:p w:rsidR="00000000" w:rsidDel="00000000" w:rsidP="00000000" w:rsidRDefault="00000000" w:rsidRPr="00000000" w14:paraId="00000081">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2. 석유화학산업 에너지원별 사용량 (2023년 기준)</w:t>
      </w:r>
      <w:r w:rsidDel="00000000" w:rsidR="00000000" w:rsidRPr="00000000">
        <w:rPr>
          <w:rtl w:val="0"/>
        </w:rPr>
      </w:r>
    </w:p>
    <w:p w:rsidR="00000000" w:rsidDel="00000000" w:rsidP="00000000" w:rsidRDefault="00000000" w:rsidRPr="00000000" w14:paraId="00000082">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납사는 원료와 에너지원으로 이중 사용되므로, 공정열 생산에 실제 투입되는 에너지 규모를 별도로 산정할 필요가 있다. 본 분석에서는 에너지통계연보와 석유화학공업협회 자료를 교차검증하여 사용했다.</w:t>
      </w:r>
    </w:p>
    <w:p w:rsidR="00000000" w:rsidDel="00000000" w:rsidP="00000000" w:rsidRDefault="00000000" w:rsidRPr="00000000" w14:paraId="00000083">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1-2-2. 석유화학산업 시설별 제품 생산량</w:t>
      </w:r>
    </w:p>
    <w:p w:rsidR="00000000" w:rsidDel="00000000" w:rsidP="00000000" w:rsidRDefault="00000000" w:rsidRPr="00000000" w14:paraId="00000084">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분석은 총 [237개] 석유화학 생산시설을 대상으로 한다. 시설 정보는 국가온실가스종합정보센터(GIR) 명세서 공개자료와 석유화학공업협회 통계를 기반으로 구축했다. 주요 산업단지별 NCC(나프타분해설비) 현황은 다음과 같다:</w:t>
      </w:r>
    </w:p>
    <w:tbl>
      <w:tblPr>
        <w:tblStyle w:val="Table4"/>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69"/>
        <w:gridCol w:w="2806"/>
        <w:gridCol w:w="2805"/>
        <w:tblGridChange w:id="0">
          <w:tblGrid>
            <w:gridCol w:w="1870"/>
            <w:gridCol w:w="1869"/>
            <w:gridCol w:w="2806"/>
            <w:gridCol w:w="2805"/>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8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산업단지</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8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NCC 수</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8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에틸렌 생산능력(만톤/년)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8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주요 기업</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여수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[641]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여천NCC, 롯데케미칼, LG화학, GS칼텍스</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대산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HD현대케미칼, 롯데케미칼 등</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울산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SK지오센트릭, 에쓰오일, 대한유화</w:t>
            </w:r>
            <w:r w:rsidDel="00000000" w:rsidR="00000000" w:rsidRPr="00000000">
              <w:rPr>
                <w:rtl w:val="0"/>
              </w:rPr>
            </w:r>
          </w:p>
        </w:tc>
      </w:tr>
    </w:tbl>
    <w:p w:rsidR="00000000" w:rsidDel="00000000" w:rsidP="00000000" w:rsidRDefault="00000000" w:rsidRPr="00000000" w14:paraId="00000095">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3. 주요 석유화학 산업단지별 NCC 현황</w:t>
      </w:r>
      <w:r w:rsidDel="00000000" w:rsidR="00000000" w:rsidRPr="00000000">
        <w:rPr>
          <w:rtl w:val="0"/>
        </w:rPr>
      </w:r>
    </w:p>
    <w:p w:rsidR="00000000" w:rsidDel="00000000" w:rsidP="00000000" w:rsidRDefault="00000000" w:rsidRPr="00000000" w14:paraId="00000096">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여수 산업단지는 국내 에틸렌 생산능력의 약 43%를 차지하며, 구조조정 논의의 핵심 지역이다. 대산 단지는 합작법인 설립 논의가 진행 중이며, 울산은 에쓰오일 샤힌 프로젝트(180만톤)가 2026년 완공 예정으로 생산능력이 대폭 확대될 예정이다. </w:t>
      </w:r>
    </w:p>
    <w:p w:rsidR="00000000" w:rsidDel="00000000" w:rsidP="00000000" w:rsidRDefault="00000000" w:rsidRPr="00000000" w14:paraId="00000097">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1-2-3. 석유화학산업 제품별 에너지 사용량</w:t>
      </w:r>
    </w:p>
    <w:p w:rsidR="00000000" w:rsidDel="00000000" w:rsidP="00000000" w:rsidRDefault="00000000" w:rsidRPr="00000000" w14:paraId="00000098">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주요 기초유분 생산 시 에너지 원단위는 다음과 같다. 에틸렌 1톤 생산에 약 [XX GJ]의 에너지가 필요하며, 나프타 분해(NCC) 공정이 전체 석유화학 공정 중 약 50% 이상의 에너지를 소비한다.</w:t>
      </w:r>
    </w:p>
    <w:tbl>
      <w:tblPr>
        <w:tblStyle w:val="Table5"/>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7"/>
        <w:gridCol w:w="2338"/>
        <w:gridCol w:w="2337"/>
        <w:tblGridChange w:id="0">
          <w:tblGrid>
            <w:gridCol w:w="2338"/>
            <w:gridCol w:w="2337"/>
            <w:gridCol w:w="2338"/>
            <w:gridCol w:w="2337"/>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9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제품</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9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에너지 원단위 (GJ/톤)</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9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주요 공정</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9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전기화 가능성</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에틸렌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NCC 분해로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높음 (e-Cracker)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프로필렌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NCC/PDH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중간</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BTX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개질/추출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낮음</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폴리에틸렌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중합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높음</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A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폴리프로필렌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A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중합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높음</w:t>
            </w:r>
            <w:r w:rsidDel="00000000" w:rsidR="00000000" w:rsidRPr="00000000">
              <w:rPr>
                <w:rtl w:val="0"/>
              </w:rPr>
            </w:r>
          </w:p>
        </w:tc>
      </w:tr>
    </w:tbl>
    <w:p w:rsidR="00000000" w:rsidDel="00000000" w:rsidP="00000000" w:rsidRDefault="00000000" w:rsidRPr="00000000" w14:paraId="000000B1">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4. 주요 제품별 에너지 원단위</w:t>
      </w:r>
      <w:r w:rsidDel="00000000" w:rsidR="00000000" w:rsidRPr="00000000">
        <w:rPr>
          <w:rtl w:val="0"/>
        </w:rPr>
      </w:r>
    </w:p>
    <w:p w:rsidR="00000000" w:rsidDel="00000000" w:rsidP="00000000" w:rsidRDefault="00000000" w:rsidRPr="00000000" w14:paraId="000000B2">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1-2-4. 에너지별 온실가스 배출계수</w:t>
      </w:r>
    </w:p>
    <w:p w:rsidR="00000000" w:rsidDel="00000000" w:rsidP="00000000" w:rsidRDefault="00000000" w:rsidRPr="00000000" w14:paraId="000000B3">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분석에서 사용하는 온실가스 배출계수는 IPCC 2006 가이드라인 및 국가 온실가스 인벤토리를 기준으로 한다:</w:t>
      </w:r>
    </w:p>
    <w:tbl>
      <w:tblPr>
        <w:tblStyle w:val="Table6"/>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7"/>
        <w:gridCol w:w="2337"/>
        <w:tblGridChange w:id="0">
          <w:tblGrid>
            <w:gridCol w:w="2338"/>
            <w:gridCol w:w="2338"/>
            <w:gridCol w:w="2337"/>
            <w:gridCol w:w="2337"/>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B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에너지원</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B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배출계수 (tCO₂/TJ)</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B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출처</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B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비고</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납사(Naphtha)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IPCC 2006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연소분만 계상</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LNG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IPCC 2006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전력 (Scope 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 tCO₂/MWh]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국가 인벤토리</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2023년 기준</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그린수소</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가정</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재생E 기반</w:t>
            </w:r>
            <w:r w:rsidDel="00000000" w:rsidR="00000000" w:rsidRPr="00000000">
              <w:rPr>
                <w:rtl w:val="0"/>
              </w:rPr>
            </w:r>
          </w:p>
        </w:tc>
      </w:tr>
    </w:tbl>
    <w:p w:rsidR="00000000" w:rsidDel="00000000" w:rsidP="00000000" w:rsidRDefault="00000000" w:rsidRPr="00000000" w14:paraId="000000C8">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5. 주요 에너지원별 온실가스 배출계수</w:t>
      </w:r>
      <w:r w:rsidDel="00000000" w:rsidR="00000000" w:rsidRPr="00000000">
        <w:rPr>
          <w:rtl w:val="0"/>
        </w:rPr>
      </w:r>
    </w:p>
    <w:p w:rsidR="00000000" w:rsidDel="00000000" w:rsidP="00000000" w:rsidRDefault="00000000" w:rsidRPr="00000000" w14:paraId="000000C9">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전력 배출계수는 전력계통의 재생에너지 비중 확대에 따라 점진적으로 하락할 전망이다. 본 분석에서는 제10차 전력수급기본계획의 전원믹스 전망을 반영하여 연도별 배출계수를 차등 적용했다. </w:t>
      </w:r>
    </w:p>
    <w:p w:rsidR="00000000" w:rsidDel="00000000" w:rsidP="00000000" w:rsidRDefault="00000000" w:rsidRPr="00000000" w14:paraId="000000CA">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1-2-5. 석유화학산업 탄소예산 경로 </w:t>
      </w:r>
    </w:p>
    <w:p w:rsidR="00000000" w:rsidDel="00000000" w:rsidP="00000000" w:rsidRDefault="00000000" w:rsidRPr="00000000" w14:paraId="000000CB">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분석에서는 1.5°C 및 2°C 목표에 부합하는 석유화학산업 탄소예산 경로를 다음과 같이 설정한다. 탄소예산 산정은 IPCC AR6의 글로벌 탄소예산에서 국가별·산업별로 배분하는 방식을 착안한 PLANiT 자체 연구방법론을 :</w:t>
      </w:r>
    </w:p>
    <w:tbl>
      <w:tblPr>
        <w:tblStyle w:val="Table7"/>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7"/>
        <w:gridCol w:w="2337"/>
        <w:gridCol w:w="2337"/>
        <w:tblGridChange w:id="0">
          <w:tblGrid>
            <w:gridCol w:w="2339"/>
            <w:gridCol w:w="2337"/>
            <w:gridCol w:w="2337"/>
            <w:gridCol w:w="2337"/>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C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시나리오</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C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2030년 배출량 (MtCO₂)</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C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2040년 배출량 (MtCO₂)</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C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2050년 배출량 (MtCO₂)</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1.5°C 경로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2°C 경로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NDC 경로</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BAU (현행유지)</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bl>
    <w:p w:rsidR="00000000" w:rsidDel="00000000" w:rsidP="00000000" w:rsidRDefault="00000000" w:rsidRPr="00000000" w14:paraId="000000E0">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6. 석유화학산업 시나리오별 배출량 경로</w:t>
      </w:r>
      <w:r w:rsidDel="00000000" w:rsidR="00000000" w:rsidRPr="00000000">
        <w:rPr>
          <w:rtl w:val="0"/>
        </w:rPr>
      </w:r>
    </w:p>
    <w:p w:rsidR="00000000" w:rsidDel="00000000" w:rsidP="00000000" w:rsidRDefault="00000000" w:rsidRPr="00000000" w14:paraId="000000E1">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1.5°C 경로는 2050년까지 산업 배출량의 90% 이상 감축을 요구하며, 이는 전기 크래커의 전면적 도입을 전제로 한다. NDC 경로는 정부의 2030 국가온실가스 감축목표(NDC)에 따른 산업부문 할당량을 기준으로 설정했다.</w:t>
      </w:r>
    </w:p>
    <w:p w:rsidR="00000000" w:rsidDel="00000000" w:rsidP="00000000" w:rsidRDefault="00000000" w:rsidRPr="00000000" w14:paraId="000000E2">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1-2-6. 주요 감축수단별 비용 및 에너지 원단위</w:t>
      </w:r>
    </w:p>
    <w:p w:rsidR="00000000" w:rsidDel="00000000" w:rsidP="00000000" w:rsidRDefault="00000000" w:rsidRPr="00000000" w14:paraId="000000E3">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분석에서 고려하는 주요 탈탄소 기술과 그 비용은 다음과 같다. 비용 추정치는 IEA, IRENA, 학술문헌의 범위를 검토하여 한국 상황에 맞게 조정했다.</w:t>
      </w:r>
    </w:p>
    <w:p w:rsidR="00000000" w:rsidDel="00000000" w:rsidP="00000000" w:rsidRDefault="00000000" w:rsidRPr="00000000" w14:paraId="000000E4">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전기 크래커(e-Cracker) CAPEX 분석: MIT 에너지 이니셔티브의 2025년 연구(Green Chemistry 저널)에 따르면, 100만톤/년 에틸렌 생산 규모 기준 총 설비투자비(Total Plant Cost)는 기술별로 상당한 차이를 보인다.</w:t>
      </w:r>
      <w:r w:rsidDel="00000000" w:rsidR="00000000" w:rsidRPr="00000000">
        <w:rPr>
          <w:rFonts w:ascii="Nanum Gothic" w:cs="Nanum Gothic" w:eastAsia="Nanum Gothic" w:hAnsi="Nanum Gothic"/>
          <w:vertAlign w:val="superscript"/>
        </w:rPr>
        <w:footnoteReference w:customMarkFollows="0" w:id="18"/>
      </w:r>
      <w:r w:rsidDel="00000000" w:rsidR="00000000" w:rsidRPr="00000000">
        <w:rPr>
          <w:rFonts w:ascii="Nanum Gothic" w:cs="Nanum Gothic" w:eastAsia="Nanum Gothic" w:hAnsi="Nanum Gothic"/>
          <w:rtl w:val="0"/>
        </w:rPr>
        <w:t xml:space="preserve"> 기존 스팀 크래커 대비 전기 크래커의 CAPEX는 약 16% 낮은 것으로 분석된다($233/kg-에틸렌·일 → $195/kg-에틸렌·일). 전기 크래커의 CAPEX가 낮은 이유는 보일러, 터빈, 증기발생 장비를 제거할 수 있기 때문이다. 다만 대규모 전력 인프라(변압기 등)가 추가로 필요하다.</w:t>
      </w:r>
    </w:p>
    <w:p w:rsidR="00000000" w:rsidDel="00000000" w:rsidP="00000000" w:rsidRDefault="00000000" w:rsidRPr="00000000" w14:paraId="000000E5">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기존 스팀 크래커 벤치마크(Thunder Said Energy 기준)는 에탄 크래커 약 $1,100/톤-에틸렌 연간생산능력, 나프타 크래커 약 $1,600~1,750/톤-HVC 연간생산능력이다.</w:t>
      </w:r>
      <w:r w:rsidDel="00000000" w:rsidR="00000000" w:rsidRPr="00000000">
        <w:rPr>
          <w:rFonts w:ascii="Nanum Gothic" w:cs="Nanum Gothic" w:eastAsia="Nanum Gothic" w:hAnsi="Nanum Gothic"/>
          <w:vertAlign w:val="superscript"/>
        </w:rPr>
        <w:footnoteReference w:customMarkFollows="0" w:id="19"/>
      </w:r>
      <w:r w:rsidDel="00000000" w:rsidR="00000000" w:rsidRPr="00000000">
        <w:rPr>
          <w:rFonts w:ascii="Nanum Gothic" w:cs="Nanum Gothic" w:eastAsia="Nanum Gothic" w:hAnsi="Nanum Gothic"/>
          <w:rtl w:val="0"/>
        </w:rPr>
        <w:t xml:space="preserve"> 2017년 CB&amp;I/Total 계약 사례에서 150만톤/년 에틸렌 플랜트 계약가는 약 13억 달러였다.</w:t>
      </w:r>
    </w:p>
    <w:p w:rsidR="00000000" w:rsidDel="00000000" w:rsidP="00000000" w:rsidRDefault="00000000" w:rsidRPr="00000000" w14:paraId="000000E6">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표 7. 주요 탈탄소 기술별 CAPEX 비교 (MIT 2025 연구 기준)</w:t>
      </w:r>
      <w:r w:rsidDel="00000000" w:rsidR="00000000" w:rsidRPr="00000000">
        <w:rPr>
          <w:rtl w:val="0"/>
        </w:rPr>
      </w:r>
    </w:p>
    <w:tbl>
      <w:tblPr>
        <w:tblStyle w:val="Table8"/>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9"/>
        <w:gridCol w:w="2497"/>
        <w:gridCol w:w="1997"/>
        <w:gridCol w:w="2057"/>
        <w:tblGridChange w:id="0">
          <w:tblGrid>
            <w:gridCol w:w="2799"/>
            <w:gridCol w:w="2497"/>
            <w:gridCol w:w="1997"/>
            <w:gridCol w:w="2057"/>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E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기술 경로</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E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투자비 ($/kg-에틸렌·일)</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E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기존 대비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E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TRL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기존 스팀 크래커(Baseline)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$233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E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9 (상용)</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E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전기 가열 크래커(e-Cracker)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$195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6-7</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외부 천연가스 미사용</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$223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8</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F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CCS + 수소 연소</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$242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F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7-8</w:t>
            </w:r>
            <w:r w:rsidDel="00000000" w:rsidR="00000000" w:rsidRPr="00000000">
              <w:rPr>
                <w:rtl w:val="0"/>
              </w:rPr>
            </w:r>
          </w:p>
        </w:tc>
      </w:tr>
    </w:tbl>
    <w:p w:rsidR="00000000" w:rsidDel="00000000" w:rsidP="00000000" w:rsidRDefault="00000000" w:rsidRPr="00000000" w14:paraId="000000FB">
      <w:pPr>
        <w:spacing w:after="300" w:lineRule="auto"/>
        <w:rPr>
          <w:rFonts w:ascii="Nanum Gothic" w:cs="Nanum Gothic" w:eastAsia="Nanum Gothic" w:hAnsi="Nanum Gothic"/>
        </w:rPr>
      </w:pPr>
      <w:r w:rsidDel="00000000" w:rsidR="00000000" w:rsidRPr="00000000">
        <w:rPr>
          <w:rFonts w:ascii="Nanum Gothic" w:cs="Nanum Gothic" w:eastAsia="Nanum Gothic" w:hAnsi="Nanum Gothic"/>
          <w:i w:val="1"/>
          <w:iCs w:val="1"/>
          <w:sz w:val="18"/>
          <w:szCs w:val="18"/>
          <w:rtl w:val="0"/>
        </w:rPr>
        <w:t xml:space="preserve">출처: MIT Energy Initiative, Green Chemistry Journal, 2025</w:t>
      </w:r>
      <w:r w:rsidDel="00000000" w:rsidR="00000000" w:rsidRPr="00000000">
        <w:rPr>
          <w:rtl w:val="0"/>
        </w:rPr>
      </w:r>
    </w:p>
    <w:p w:rsidR="00000000" w:rsidDel="00000000" w:rsidP="00000000" w:rsidRDefault="00000000" w:rsidRPr="00000000" w14:paraId="000000FC">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에틸렌 생산 단가(LCOE) 비교: MIT 연구의 미국 기반 100만톤/년 에탄 크래커 분석 결과, 전력가격이 $41.1/MWh 이하일 경우 전기 크래커가 가장 경제적인 옵션이 된다.</w:t>
      </w:r>
      <w:r w:rsidDel="00000000" w:rsidR="00000000" w:rsidRPr="00000000">
        <w:rPr>
          <w:rFonts w:ascii="Nanum Gothic" w:cs="Nanum Gothic" w:eastAsia="Nanum Gothic" w:hAnsi="Nanum Gothic"/>
          <w:vertAlign w:val="superscript"/>
        </w:rPr>
        <w:footnoteReference w:customMarkFollows="0" w:id="20"/>
      </w:r>
      <w:r w:rsidDel="00000000" w:rsidR="00000000" w:rsidRPr="00000000">
        <w:rPr>
          <w:rFonts w:ascii="Nanum Gothic" w:cs="Nanum Gothic" w:eastAsia="Nanum Gothic" w:hAnsi="Nanum Gothic"/>
          <w:rtl w:val="0"/>
        </w:rPr>
        <w:t xml:space="preserve"> 또한 부산물 수소 판매가격이 $1.2/kg 이상이면 재생전력 기준 전기 크래커의 CO₂ 회피비용이 마이너스(즉, 비용 절감과 탄소 감축 동시 달성)가 된다. </w:t>
      </w:r>
    </w:p>
    <w:p w:rsidR="00000000" w:rsidDel="00000000" w:rsidP="00000000" w:rsidRDefault="00000000" w:rsidRPr="00000000" w14:paraId="000000FD">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표 7-1. 전력가격별 에틸렌 생산 단가 비교</w:t>
      </w:r>
      <w:r w:rsidDel="00000000" w:rsidR="00000000" w:rsidRPr="00000000">
        <w:rPr>
          <w:rtl w:val="0"/>
        </w:rPr>
      </w:r>
    </w:p>
    <w:tbl>
      <w:tblPr>
        <w:tblStyle w:val="Table9"/>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4"/>
        <w:gridCol w:w="3118"/>
        <w:gridCol w:w="3118"/>
        <w:tblGridChange w:id="0">
          <w:tblGrid>
            <w:gridCol w:w="3114"/>
            <w:gridCol w:w="3118"/>
            <w:gridCol w:w="3118"/>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0F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기술</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0F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계통전력($70/MWh)</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0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재생전력($44/MWh)</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기존 스팀 크래커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$746/톤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$746/톤</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전기 크래커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$833/톤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$701~746/톤</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0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CCS + 수소 연소</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$771/톤</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0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$757/톤</w:t>
            </w:r>
            <w:r w:rsidDel="00000000" w:rsidR="00000000" w:rsidRPr="00000000">
              <w:rPr>
                <w:rtl w:val="0"/>
              </w:rPr>
            </w:r>
          </w:p>
        </w:tc>
      </w:tr>
    </w:tbl>
    <w:p w:rsidR="00000000" w:rsidDel="00000000" w:rsidP="00000000" w:rsidRDefault="00000000" w:rsidRPr="00000000" w14:paraId="0000010A">
      <w:pPr>
        <w:spacing w:after="2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시장 전망: 전기 스팀 크래커 시장은 2025년 2,603만 달러에서 2040년 284.2억 달러로 연평균 59.42% 성장이 전망된다.</w:t>
      </w:r>
      <w:r w:rsidDel="00000000" w:rsidR="00000000" w:rsidRPr="00000000">
        <w:rPr>
          <w:rFonts w:ascii="Nanum Gothic" w:cs="Nanum Gothic" w:eastAsia="Nanum Gothic" w:hAnsi="Nanum Gothic"/>
          <w:vertAlign w:val="superscript"/>
        </w:rPr>
        <w:footnoteReference w:customMarkFollows="0" w:id="21"/>
      </w:r>
      <w:r w:rsidDel="00000000" w:rsidR="00000000" w:rsidRPr="00000000">
        <w:rPr>
          <w:rFonts w:ascii="Nanum Gothic" w:cs="Nanum Gothic" w:eastAsia="Nanum Gothic" w:hAnsi="Nanum Gothic"/>
          <w:rtl w:val="0"/>
        </w:rPr>
        <w:t xml:space="preserve"> BloombergNEF는 석유화학 부문 넷제로 달성에 7,590억 달러가 2050년까지 필요하다고 전망한다.</w:t>
      </w:r>
      <w:r w:rsidDel="00000000" w:rsidR="00000000" w:rsidRPr="00000000">
        <w:rPr>
          <w:rFonts w:ascii="Nanum Gothic" w:cs="Nanum Gothic" w:eastAsia="Nanum Gothic" w:hAnsi="Nanum Gothic"/>
          <w:vertAlign w:val="superscript"/>
        </w:rPr>
        <w:footnoteReference w:customMarkFollows="0" w:id="22"/>
      </w:r>
      <w:r w:rsidDel="00000000" w:rsidR="00000000" w:rsidRPr="00000000">
        <w:rPr>
          <w:rFonts w:ascii="Nanum Gothic" w:cs="Nanum Gothic" w:eastAsia="Nanum Gothic" w:hAnsi="Nanum Gothic"/>
          <w:rtl w:val="0"/>
        </w:rPr>
        <w:t xml:space="preserve"> 탄소가격이 $250/tCO₂에 도달하면 넷제로 HVC 생산의 80%가 기존 생산 대비 경쟁력을 확보한다.</w:t>
      </w:r>
    </w:p>
    <w:p w:rsidR="00000000" w:rsidDel="00000000" w:rsidP="00000000" w:rsidRDefault="00000000" w:rsidRPr="00000000" w14:paraId="0000010B">
      <w:pPr>
        <w:rPr>
          <w:rFonts w:ascii="Nanum Gothic" w:cs="Nanum Gothic" w:eastAsia="Nanum Gothic" w:hAnsi="Nanum Gothic"/>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1-2-7. 주요 에너지 가격 전망</w:t>
      </w:r>
    </w:p>
    <w:p w:rsidR="00000000" w:rsidDel="00000000" w:rsidP="00000000" w:rsidRDefault="00000000" w:rsidRPr="00000000" w14:paraId="0000010D">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2030년 및 2050년 에너지 가격 전망치는 다음과 같다. IEA World Energy Outlook 및 국내 연구기관 전망치를 종합했다:</w:t>
      </w:r>
    </w:p>
    <w:tbl>
      <w:tblPr>
        <w:tblStyle w:val="Table10"/>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1637"/>
        <w:gridCol w:w="1636"/>
        <w:gridCol w:w="1636"/>
        <w:gridCol w:w="2103"/>
        <w:tblGridChange w:id="0">
          <w:tblGrid>
            <w:gridCol w:w="2338"/>
            <w:gridCol w:w="1637"/>
            <w:gridCol w:w="1636"/>
            <w:gridCol w:w="1636"/>
            <w:gridCol w:w="2103"/>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10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에너지원</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0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2025년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1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2030년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1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2050년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1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출처</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납사 ($/톤)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IEA WEO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전력 (원/kWh)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전기본</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그린수소 ($/kg)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IRENA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탄소가격-K-ETS (원/톤)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자체 추정</w:t>
            </w:r>
            <w:r w:rsidDel="00000000" w:rsidR="00000000" w:rsidRPr="00000000">
              <w:rPr>
                <w:rtl w:val="0"/>
              </w:rPr>
            </w:r>
          </w:p>
        </w:tc>
      </w:tr>
    </w:tbl>
    <w:p w:rsidR="00000000" w:rsidDel="00000000" w:rsidP="00000000" w:rsidRDefault="00000000" w:rsidRPr="00000000" w14:paraId="00000127">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8. 주요 에너지 가격 전망</w:t>
      </w:r>
      <w:r w:rsidDel="00000000" w:rsidR="00000000" w:rsidRPr="00000000">
        <w:rPr>
          <w:rtl w:val="0"/>
        </w:rPr>
      </w:r>
    </w:p>
    <w:p w:rsidR="00000000" w:rsidDel="00000000" w:rsidP="00000000" w:rsidRDefault="00000000" w:rsidRPr="00000000" w14:paraId="00000128">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1-3. 모델 설계</w:t>
      </w:r>
    </w:p>
    <w:p w:rsidR="00000000" w:rsidDel="00000000" w:rsidP="00000000" w:rsidRDefault="00000000" w:rsidRPr="00000000" w14:paraId="00000129">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프로젝트는 총 [237개]의 전체 생산시설을 대상으로 하며, 각 시설이 연계된 공정 체인을 고려하여 비용 최적화 모델을 구축하였다. 총 [6개]의 시나리오를 분석한다.</w:t>
      </w:r>
    </w:p>
    <w:p w:rsidR="00000000" w:rsidDel="00000000" w:rsidP="00000000" w:rsidRDefault="00000000" w:rsidRPr="00000000" w14:paraId="0000012A">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1-3-1. 좌초자산 정의 및 산정 방법론</w:t>
      </w:r>
    </w:p>
    <w:p w:rsidR="00000000" w:rsidDel="00000000" w:rsidP="00000000" w:rsidRDefault="00000000" w:rsidRPr="00000000" w14:paraId="0000012B">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국제기관의 좌초자산 정의</w:t>
      </w:r>
    </w:p>
    <w:p w:rsidR="00000000" w:rsidDel="00000000" w:rsidP="00000000" w:rsidRDefault="00000000" w:rsidRPr="00000000" w14:paraId="0000012C">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분석에서 좌초자산(Stranded Assets)은 IEA의 정의를 따라 "이미 투자되었으나 수명이 다하기 전에 더 이상 수익을 내지 못하는 자산"으로 정의한다. Carbon Tracker Initiative는 좌초 유형을 경제적 좌초(상대적 비용·가격 변화), 물리적 좌초(기후변화 직접 영향), 규제적 좌초(정책·법률 변화)로 구분한다.</w:t>
      </w:r>
    </w:p>
    <w:p w:rsidR="00000000" w:rsidDel="00000000" w:rsidP="00000000" w:rsidRDefault="00000000" w:rsidRPr="00000000" w14:paraId="0000012D">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IRENA(국제재생에너지기구)의 REmap 분석에 따르면 정책 대응 시점에 따라 좌초자산 규모가 크게 달라진다. 즉시 행동 시나리오에서 $10조, 정책 지연 시 $20조로 두 배 증가한다.</w:t>
      </w:r>
    </w:p>
    <w:p w:rsidR="00000000" w:rsidDel="00000000" w:rsidP="00000000" w:rsidRDefault="00000000" w:rsidRPr="00000000" w14:paraId="0000012E">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석유화학 산업의 좌초자산 발생 조건</w:t>
      </w:r>
    </w:p>
    <w:p w:rsidR="00000000" w:rsidDel="00000000" w:rsidP="00000000" w:rsidRDefault="00000000" w:rsidRPr="00000000" w14:paraId="0000012F">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구체적으로, 석유화학 산업에서 좌초자산은 다음의 조건을 충족하는 경우 발생한다:</w:t>
      </w:r>
    </w:p>
    <w:p w:rsidR="00000000" w:rsidDel="00000000" w:rsidP="00000000" w:rsidRDefault="00000000" w:rsidRPr="00000000" w14:paraId="00000130">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1) 탄소예산 제약 하에서 가동이 불가능해지는 설비</w:t>
      </w:r>
      <w:r w:rsidDel="00000000" w:rsidR="00000000" w:rsidRPr="00000000">
        <w:rPr>
          <w:rtl w:val="0"/>
        </w:rPr>
      </w:r>
    </w:p>
    <w:p w:rsidR="00000000" w:rsidDel="00000000" w:rsidP="00000000" w:rsidRDefault="00000000" w:rsidRPr="00000000" w14:paraId="00000131">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2) 탄소가격 상승으로 운영비용이 매출을 초과하는 설비</w:t>
      </w:r>
      <w:r w:rsidDel="00000000" w:rsidR="00000000" w:rsidRPr="00000000">
        <w:rPr>
          <w:rtl w:val="0"/>
        </w:rPr>
      </w:r>
    </w:p>
    <w:p w:rsidR="00000000" w:rsidDel="00000000" w:rsidP="00000000" w:rsidRDefault="00000000" w:rsidRPr="00000000" w14:paraId="00000132">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3) 탈탄소 기술 전환 비용이 잔여 수명 대비 과도한 설비</w:t>
      </w:r>
      <w:r w:rsidDel="00000000" w:rsidR="00000000" w:rsidRPr="00000000">
        <w:rPr>
          <w:rtl w:val="0"/>
        </w:rPr>
      </w:r>
    </w:p>
    <w:p w:rsidR="00000000" w:rsidDel="00000000" w:rsidP="00000000" w:rsidRDefault="00000000" w:rsidRPr="00000000" w14:paraId="00000133">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4) 시장 수요 감소로 가동률이 경제성 임계점 이하로 하락하는 설비</w:t>
      </w:r>
      <w:r w:rsidDel="00000000" w:rsidR="00000000" w:rsidRPr="00000000">
        <w:rPr>
          <w:rtl w:val="0"/>
        </w:rPr>
      </w:r>
    </w:p>
    <w:p w:rsidR="00000000" w:rsidDel="00000000" w:rsidP="00000000" w:rsidRDefault="00000000" w:rsidRPr="00000000" w14:paraId="00000134">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좌초자산 산정 방법론</w:t>
      </w:r>
    </w:p>
    <w:p w:rsidR="00000000" w:rsidDel="00000000" w:rsidP="00000000" w:rsidRDefault="00000000" w:rsidRPr="00000000" w14:paraId="00000135">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분석에서는 세 가지 산정 방법을 병행하여 결과의 견고성을 확보했다:</w:t>
      </w:r>
    </w:p>
    <w:p w:rsidR="00000000" w:rsidDel="00000000" w:rsidP="00000000" w:rsidRDefault="00000000" w:rsidRPr="00000000" w14:paraId="00000136">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첫째, 장부가치(Book Value) 기반 방법이다. 이는 가장 기본적인 접근으로, 취득원가에서 누적 감가상각을 차감한 잔여 장부가치를 기준으로 산정한다:</w:t>
      </w:r>
    </w:p>
    <w:p w:rsidR="00000000" w:rsidDel="00000000" w:rsidP="00000000" w:rsidRDefault="00000000" w:rsidRPr="00000000" w14:paraId="00000137">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좌초자산 = Σ (설비 장부가치 × 잔여 수명 비율) - 잔존가치</w:t>
      </w:r>
      <w:r w:rsidDel="00000000" w:rsidR="00000000" w:rsidRPr="00000000">
        <w:rPr>
          <w:rtl w:val="0"/>
        </w:rPr>
      </w:r>
    </w:p>
    <w:p w:rsidR="00000000" w:rsidDel="00000000" w:rsidP="00000000" w:rsidRDefault="00000000" w:rsidRPr="00000000" w14:paraId="00000138">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둘째, NPV(순현재가치) 기반 방법이다. 기존 시나리오와 전환 시나리오의 현금흐름 차이를 현재가치로 환산한다:</w:t>
      </w:r>
    </w:p>
    <w:p w:rsidR="00000000" w:rsidDel="00000000" w:rsidP="00000000" w:rsidRDefault="00000000" w:rsidRPr="00000000" w14:paraId="00000139">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좌초자산 가치 = NPV(기존 시나리오) - NPV(전환 시나리오)</w:t>
      </w:r>
      <w:r w:rsidDel="00000000" w:rsidR="00000000" w:rsidRPr="00000000">
        <w:rPr>
          <w:rtl w:val="0"/>
        </w:rPr>
      </w:r>
    </w:p>
    <w:p w:rsidR="00000000" w:rsidDel="00000000" w:rsidP="00000000" w:rsidRDefault="00000000" w:rsidRPr="00000000" w14:paraId="0000013A">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셋째, 탄소예산 기반 방법이다. 탄소예산 제약 하에서 가동이 불가능해지는 자산을 식별한다:</w:t>
      </w:r>
    </w:p>
    <w:p w:rsidR="00000000" w:rsidDel="00000000" w:rsidP="00000000" w:rsidRDefault="00000000" w:rsidRPr="00000000" w14:paraId="0000013B">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좌초율 = (총 배출잠재량 - 탄소예산) / 총 배출잠재량</w:t>
      </w:r>
      <w:r w:rsidDel="00000000" w:rsidR="00000000" w:rsidRPr="00000000">
        <w:rPr>
          <w:rtl w:val="0"/>
        </w:rPr>
      </w:r>
    </w:p>
    <w:p w:rsidR="00000000" w:rsidDel="00000000" w:rsidP="00000000" w:rsidRDefault="00000000" w:rsidRPr="00000000" w14:paraId="0000013C">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회계기준 및 공시 연계</w:t>
      </w:r>
    </w:p>
    <w:p w:rsidR="00000000" w:rsidDel="00000000" w:rsidP="00000000" w:rsidRDefault="00000000" w:rsidRPr="00000000" w14:paraId="0000013D">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TCFD(기후관련 재무정보공개 태스크포스)는 시나리오 분석을 통한 전환 위험 평가와 탄소집약적 자산의 잠재적 가치 손실 공시를 권고한다. ISSB의 IFRS S2는 2024년 1월 1일 이후 사업연도부터 적용 가능하며, 물리적 위험과 전환 위험에 대한 공시를 필수화했다. 본 분석의 좌초자산 산정 결과는 이러한 공시 프레임워크와 연계하여 활용할 수 있다.</w:t>
      </w:r>
    </w:p>
    <w:p w:rsidR="00000000" w:rsidDel="00000000" w:rsidP="00000000" w:rsidRDefault="00000000" w:rsidRPr="00000000" w14:paraId="0000013E">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1-3-2. 비용 최적화 모델</w:t>
      </w:r>
    </w:p>
    <w:p w:rsidR="00000000" w:rsidDel="00000000" w:rsidP="00000000" w:rsidRDefault="00000000" w:rsidRPr="00000000" w14:paraId="0000013F">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모델은 혼합정수계획법(Mixed Integer Programming)을 활용하여 탄소예산 제약 하에서 총 전환 비용을 최소화하는 최적 경로를 도출한다.</w:t>
      </w:r>
    </w:p>
    <w:p w:rsidR="00000000" w:rsidDel="00000000" w:rsidP="00000000" w:rsidRDefault="00000000" w:rsidRPr="00000000" w14:paraId="00000140">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목적함수</w:t>
      </w:r>
    </w:p>
    <w:p w:rsidR="00000000" w:rsidDel="00000000" w:rsidP="00000000" w:rsidRDefault="00000000" w:rsidRPr="00000000" w14:paraId="00000141">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min Σ (CAPEX_i × x_i + OPEX_i × y_i) + Σ (탄소비용 × 배출량)</w:t>
      </w:r>
      <w:r w:rsidDel="00000000" w:rsidR="00000000" w:rsidRPr="00000000">
        <w:rPr>
          <w:rtl w:val="0"/>
        </w:rPr>
      </w:r>
    </w:p>
    <w:p w:rsidR="00000000" w:rsidDel="00000000" w:rsidP="00000000" w:rsidRDefault="00000000" w:rsidRPr="00000000" w14:paraId="00000142">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여기서 x_i는 기술 i의 도입 여부(0/1 정수변수), y_i는 기술 i의 가동 수준(연속변수)이다.</w:t>
      </w:r>
    </w:p>
    <w:p w:rsidR="00000000" w:rsidDel="00000000" w:rsidP="00000000" w:rsidRDefault="00000000" w:rsidRPr="00000000" w14:paraId="00000143">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주요 변수 정의</w:t>
      </w:r>
    </w:p>
    <w:tbl>
      <w:tblPr>
        <w:tblStyle w:val="Table11"/>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3272"/>
        <w:gridCol w:w="1871"/>
        <w:gridCol w:w="1870"/>
        <w:tblGridChange w:id="0">
          <w:tblGrid>
            <w:gridCol w:w="2337"/>
            <w:gridCol w:w="3272"/>
            <w:gridCol w:w="1871"/>
            <w:gridCol w:w="1870"/>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14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변수</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4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정의</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4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유형</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4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단위</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x_i,t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기술 i의 t년도 도입 여부</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정수(0/1)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y_i,t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기술 i의 t년도 가동 수준</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연속</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톤/년</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e_t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t년도 총 배출량</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연속</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tCO₂</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r_t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t년도 재생에너지 사용량</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연속</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MWh</w:t>
            </w:r>
            <w:r w:rsidDel="00000000" w:rsidR="00000000" w:rsidRPr="00000000">
              <w:rPr>
                <w:rtl w:val="0"/>
              </w:rPr>
            </w:r>
          </w:p>
        </w:tc>
      </w:tr>
    </w:tbl>
    <w:p w:rsidR="00000000" w:rsidDel="00000000" w:rsidP="00000000" w:rsidRDefault="00000000" w:rsidRPr="00000000" w14:paraId="00000158">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9. 최적화 모델 주요 변수</w:t>
      </w:r>
      <w:r w:rsidDel="00000000" w:rsidR="00000000" w:rsidRPr="00000000">
        <w:rPr>
          <w:rtl w:val="0"/>
        </w:rPr>
      </w:r>
    </w:p>
    <w:p w:rsidR="00000000" w:rsidDel="00000000" w:rsidP="00000000" w:rsidRDefault="00000000" w:rsidRPr="00000000" w14:paraId="00000159">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제약조건</w:t>
      </w:r>
    </w:p>
    <w:p w:rsidR="00000000" w:rsidDel="00000000" w:rsidP="00000000" w:rsidRDefault="00000000" w:rsidRPr="00000000" w14:paraId="0000015A">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제약조건은 다음을 포함한다:</w:t>
      </w:r>
    </w:p>
    <w:p w:rsidR="00000000" w:rsidDel="00000000" w:rsidP="00000000" w:rsidRDefault="00000000" w:rsidRPr="00000000" w14:paraId="0000015B">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(1) 연도별 탄소예산 제약: e_t ≤ CB_t (∀t)</w:t>
      </w:r>
      <w:r w:rsidDel="00000000" w:rsidR="00000000" w:rsidRPr="00000000">
        <w:rPr>
          <w:rtl w:val="0"/>
        </w:rPr>
      </w:r>
    </w:p>
    <w:p w:rsidR="00000000" w:rsidDel="00000000" w:rsidP="00000000" w:rsidRDefault="00000000" w:rsidRPr="00000000" w14:paraId="0000015C">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(2) 기술 도입 가능 시점 제약: x_i,t = 0 (t &lt; TRL_ready_i)</w:t>
      </w:r>
      <w:r w:rsidDel="00000000" w:rsidR="00000000" w:rsidRPr="00000000">
        <w:rPr>
          <w:rtl w:val="0"/>
        </w:rPr>
      </w:r>
    </w:p>
    <w:p w:rsidR="00000000" w:rsidDel="00000000" w:rsidP="00000000" w:rsidRDefault="00000000" w:rsidRPr="00000000" w14:paraId="0000015D">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(3) 재생에너지 공급 제약: r_t ≤ RE_supply_t (∀t)</w:t>
      </w:r>
      <w:r w:rsidDel="00000000" w:rsidR="00000000" w:rsidRPr="00000000">
        <w:rPr>
          <w:rtl w:val="0"/>
        </w:rPr>
      </w:r>
    </w:p>
    <w:p w:rsidR="00000000" w:rsidDel="00000000" w:rsidP="00000000" w:rsidRDefault="00000000" w:rsidRPr="00000000" w14:paraId="0000015E">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(4) 수요 충족 제약: Σ production_i,t ≥ demand_t (∀t)</w:t>
      </w:r>
      <w:r w:rsidDel="00000000" w:rsidR="00000000" w:rsidRPr="00000000">
        <w:rPr>
          <w:rtl w:val="0"/>
        </w:rPr>
      </w:r>
    </w:p>
    <w:p w:rsidR="00000000" w:rsidDel="00000000" w:rsidP="00000000" w:rsidRDefault="00000000" w:rsidRPr="00000000" w14:paraId="0000015F">
      <w:pPr>
        <w:spacing w:after="200" w:line="276" w:lineRule="auto"/>
        <w:ind w:left="720" w:firstLine="0"/>
        <w:rPr>
          <w:rFonts w:ascii="Nanum Gothic" w:cs="Nanum Gothic" w:eastAsia="Nanum Gothic" w:hAnsi="Nanum Gothic"/>
          <w:i w:val="1"/>
          <w:iCs w:val="1"/>
        </w:rPr>
      </w:pPr>
      <w:r w:rsidDel="00000000" w:rsidR="00000000" w:rsidRPr="00000000">
        <w:rPr>
          <w:rFonts w:ascii="Nanum Gothic" w:cs="Nanum Gothic" w:eastAsia="Nanum Gothic" w:hAnsi="Nanum Gothic"/>
          <w:i w:val="1"/>
          <w:iCs w:val="1"/>
          <w:rtl w:val="0"/>
        </w:rPr>
        <w:t xml:space="preserve">(5) 설비 용량 제약: y_i,t ≤ capacity_i × x_i,t (∀i,t)</w:t>
      </w:r>
    </w:p>
    <w:p w:rsidR="00000000" w:rsidDel="00000000" w:rsidP="00000000" w:rsidRDefault="00000000" w:rsidRPr="00000000" w14:paraId="00000160">
      <w:pPr>
        <w:spacing w:after="200" w:line="276" w:lineRule="auto"/>
        <w:ind w:left="720" w:firstLine="0"/>
        <w:rPr>
          <w:rFonts w:ascii="Nanum Gothic" w:cs="Nanum Gothic" w:eastAsia="Nanum Gothic" w:hAnsi="Nanum Gothic"/>
          <w:i w:val="1"/>
          <w:iCs w:val="1"/>
        </w:rPr>
      </w:pPr>
      <w:r w:rsidDel="00000000" w:rsidR="00000000" w:rsidRPr="00000000">
        <w:rPr>
          <w:rtl w:val="0"/>
        </w:rPr>
      </w:r>
    </w:p>
    <w:p w:rsidR="00000000" w:rsidDel="00000000" w:rsidP="00000000" w:rsidRDefault="00000000" w:rsidRPr="00000000" w14:paraId="00000161">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1-3-3. 모델 한계점</w:t>
      </w:r>
    </w:p>
    <w:p w:rsidR="00000000" w:rsidDel="00000000" w:rsidP="00000000" w:rsidRDefault="00000000" w:rsidRPr="00000000" w14:paraId="00000162">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모델의 주요 한계점은 다음과 같다:</w:t>
      </w:r>
    </w:p>
    <w:p w:rsidR="00000000" w:rsidDel="00000000" w:rsidP="00000000" w:rsidRDefault="00000000" w:rsidRPr="00000000" w14:paraId="00000163">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1) 현재 진행 중인 정부 주도 구조조정(NCC 감축 270~370만톤)의 구체적 결과를 사전에 반영하지 못함</w:t>
      </w:r>
      <w:r w:rsidDel="00000000" w:rsidR="00000000" w:rsidRPr="00000000">
        <w:rPr>
          <w:rtl w:val="0"/>
        </w:rPr>
      </w:r>
    </w:p>
    <w:p w:rsidR="00000000" w:rsidDel="00000000" w:rsidP="00000000" w:rsidRDefault="00000000" w:rsidRPr="00000000" w14:paraId="00000164">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2) 기업별 재무상태 및 투자여력 차이를 명시적으로 고려하지 못함</w:t>
      </w:r>
      <w:r w:rsidDel="00000000" w:rsidR="00000000" w:rsidRPr="00000000">
        <w:rPr>
          <w:rtl w:val="0"/>
        </w:rPr>
      </w:r>
    </w:p>
    <w:p w:rsidR="00000000" w:rsidDel="00000000" w:rsidP="00000000" w:rsidRDefault="00000000" w:rsidRPr="00000000" w14:paraId="00000165">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3) 글로벌 시장 변동성(중국 자급률, 유가 등)에 대한 불확실성</w:t>
      </w:r>
      <w:r w:rsidDel="00000000" w:rsidR="00000000" w:rsidRPr="00000000">
        <w:rPr>
          <w:rtl w:val="0"/>
        </w:rPr>
      </w:r>
    </w:p>
    <w:p w:rsidR="00000000" w:rsidDel="00000000" w:rsidP="00000000" w:rsidRDefault="00000000" w:rsidRPr="00000000" w14:paraId="00000166">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4) 기술 성숙도 및 상용화 시점의 불확실성</w:t>
      </w:r>
      <w:r w:rsidDel="00000000" w:rsidR="00000000" w:rsidRPr="00000000">
        <w:rPr>
          <w:rtl w:val="0"/>
        </w:rPr>
      </w:r>
    </w:p>
    <w:p w:rsidR="00000000" w:rsidDel="00000000" w:rsidP="00000000" w:rsidRDefault="00000000" w:rsidRPr="00000000" w14:paraId="00000167">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5) 재생에너지 공급 확대 경로의 정책 불확실성</w:t>
      </w:r>
      <w:r w:rsidDel="00000000" w:rsidR="00000000" w:rsidRPr="00000000">
        <w:rPr>
          <w:rtl w:val="0"/>
        </w:rPr>
      </w:r>
    </w:p>
    <w:p w:rsidR="00000000" w:rsidDel="00000000" w:rsidP="00000000" w:rsidRDefault="00000000" w:rsidRPr="00000000" w14:paraId="00000168">
      <w:pPr>
        <w:rPr>
          <w:rFonts w:ascii="Nanum Gothic" w:cs="Nanum Gothic" w:eastAsia="Nanum Gothic" w:hAnsi="Nanum Gothic"/>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 시나리오 결과</w:t>
      </w:r>
    </w:p>
    <w:p w:rsidR="00000000" w:rsidDel="00000000" w:rsidP="00000000" w:rsidRDefault="00000000" w:rsidRPr="00000000" w14:paraId="0000016A">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2-1. 주요 지역별 분석</w:t>
      </w:r>
    </w:p>
    <w:p w:rsidR="00000000" w:rsidDel="00000000" w:rsidP="00000000" w:rsidRDefault="00000000" w:rsidRPr="00000000" w14:paraId="0000016B">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2-1-1. 주요 지역별 전환 비용</w:t>
      </w:r>
    </w:p>
    <w:p w:rsidR="00000000" w:rsidDel="00000000" w:rsidP="00000000" w:rsidRDefault="00000000" w:rsidRPr="00000000" w14:paraId="0000016C">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탄소예산 경로 이행에 필요한 지역별 전환 비용은 다음과 같다. 전체 전환 비용은 [XX조 원]으로 추정되며, 여수 산업단지가 가장 큰 비중([XX%])을 차지한다.</w:t>
      </w:r>
    </w:p>
    <w:tbl>
      <w:tblPr>
        <w:tblStyle w:val="Table12"/>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16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지역</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6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CAPEX (조원)</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6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OPEX (조원/년)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7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총 비용 (조원)</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7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비중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여수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대산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울산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합계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100%</w:t>
            </w:r>
            <w:r w:rsidDel="00000000" w:rsidR="00000000" w:rsidRPr="00000000">
              <w:rPr>
                <w:rtl w:val="0"/>
              </w:rPr>
            </w:r>
          </w:p>
        </w:tc>
      </w:tr>
    </w:tbl>
    <w:p w:rsidR="00000000" w:rsidDel="00000000" w:rsidP="00000000" w:rsidRDefault="00000000" w:rsidRPr="00000000" w14:paraId="00000186">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10. 주요 지역별 탈탄소 전환 비용 (1.5°C 시나리오 기준)</w:t>
      </w:r>
      <w:r w:rsidDel="00000000" w:rsidR="00000000" w:rsidRPr="00000000">
        <w:rPr>
          <w:rtl w:val="0"/>
        </w:rPr>
      </w:r>
    </w:p>
    <w:p w:rsidR="00000000" w:rsidDel="00000000" w:rsidP="00000000" w:rsidRDefault="00000000" w:rsidRPr="00000000" w14:paraId="00000187">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여수 산업단지의 전환 비용이 가장 높은 이유는 국내 최대 규모의 NCC(연 641만톤)가 집적되어 있기 때문이다. 대산과 울산의 경우 상대적으로 설비 규모가 작아 전환 비용 부담이 낮지만, 울산의 경우 에쓰오일 샤힌 프로젝트(9.3조원) 등 신규 투자가 진행 중이어서 좌초자산 위험이 높다.</w:t>
      </w:r>
    </w:p>
    <w:p w:rsidR="00000000" w:rsidDel="00000000" w:rsidP="00000000" w:rsidRDefault="00000000" w:rsidRPr="00000000" w14:paraId="00000188">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시나리오별 비교 시, 1.5°C 경로 대비 2°C 경로는 전환 비용이 약 [XX%] 낮으나, 조기 행동 지연에 따른 좌초자산 증가 위험이 존재한다. NDC 경로는 2030년까지의 단기 비용은 낮으나, 2030년 이후 급격한 감축이 필요하여 중장기 비용이 급증한다.</w:t>
      </w:r>
    </w:p>
    <w:p w:rsidR="00000000" w:rsidDel="00000000" w:rsidP="00000000" w:rsidRDefault="00000000" w:rsidRPr="00000000" w14:paraId="00000189">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2-1-2. 주요 지역별 재생에너지 수요량</w:t>
      </w:r>
    </w:p>
    <w:p w:rsidR="00000000" w:rsidDel="00000000" w:rsidP="00000000" w:rsidRDefault="00000000" w:rsidRPr="00000000" w14:paraId="0000018A">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전기 크래커 및 전기화 기술 도입에 필요한 재생에너지 수요량은 지역별로 다음과 같다. 전체 재생에너지 수요는 [XX TWh/년]으로 추정되며, 이는 현재 정부 목표(63TWh) 대비 [XX배] 수준이다.</w:t>
      </w:r>
    </w:p>
    <w:tbl>
      <w:tblPr>
        <w:tblStyle w:val="Table13"/>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18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지역</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8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2030년 (TWh)</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8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2040년 (TWh)</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8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2050년 (TWh)</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8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비고</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여수</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4">
            <w:pPr>
              <w:rPr>
                <w:rFonts w:ascii="Nanum Gothic" w:cs="Nanum Gothic" w:eastAsia="Nanum Gothic" w:hAnsi="Nanum Gothic"/>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대산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9">
            <w:pPr>
              <w:rPr>
                <w:rFonts w:ascii="Nanum Gothic" w:cs="Nanum Gothic" w:eastAsia="Nanum Gothic" w:hAnsi="Nanum Gothic"/>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울산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E">
            <w:pPr>
              <w:rPr>
                <w:rFonts w:ascii="Nanum Gothic" w:cs="Nanum Gothic" w:eastAsia="Nanum Gothic" w:hAnsi="Nanum Gothic"/>
              </w:rPr>
            </w:pP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합계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3">
            <w:pPr>
              <w:rPr>
                <w:rFonts w:ascii="Nanum Gothic" w:cs="Nanum Gothic" w:eastAsia="Nanum Gothic" w:hAnsi="Nanum Gothic"/>
              </w:rPr>
            </w:pPr>
            <w:r w:rsidDel="00000000" w:rsidR="00000000" w:rsidRPr="00000000">
              <w:rPr>
                <w:rtl w:val="0"/>
              </w:rPr>
            </w:r>
          </w:p>
        </w:tc>
      </w:tr>
    </w:tbl>
    <w:p w:rsidR="00000000" w:rsidDel="00000000" w:rsidP="00000000" w:rsidRDefault="00000000" w:rsidRPr="00000000" w14:paraId="000001A4">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11. 주요 지역별 재생에너지 수요량 전망</w:t>
      </w:r>
      <w:r w:rsidDel="00000000" w:rsidR="00000000" w:rsidRPr="00000000">
        <w:rPr>
          <w:rtl w:val="0"/>
        </w:rPr>
      </w:r>
    </w:p>
    <w:p w:rsidR="00000000" w:rsidDel="00000000" w:rsidP="00000000" w:rsidRDefault="00000000" w:rsidRPr="00000000" w14:paraId="000001A5">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여수 산업단지는 전남 해상풍력 단지와 인접하여 재생에너지 확보가 상대적으로 유리하다. 반면 울산은 현재 재생에너지 자원이 제한적이어서, 동해 해상풍력 개발 또는 타 지역 전력 계통 연계가 필요하다. 재생에너지 공급 제약은 전기 크래커 도입 일정의 핵심 변수이다.</w:t>
      </w:r>
    </w:p>
    <w:p w:rsidR="00000000" w:rsidDel="00000000" w:rsidP="00000000" w:rsidRDefault="00000000" w:rsidRPr="00000000" w14:paraId="000001A6">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2-2. 주요 기업별 분석</w:t>
      </w:r>
    </w:p>
    <w:p w:rsidR="00000000" w:rsidDel="00000000" w:rsidP="00000000" w:rsidRDefault="00000000" w:rsidRPr="00000000" w14:paraId="000001A7">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2-2-1. 주요 기업 재무현황 및 좌초자산 분석</w:t>
      </w:r>
    </w:p>
    <w:p w:rsidR="00000000" w:rsidDel="00000000" w:rsidP="00000000" w:rsidRDefault="00000000" w:rsidRPr="00000000" w14:paraId="000001A8">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주요 석유화학 기업별 재무현황 및 좌초자산 위험 분석을 위해 2024년 사업보고서 기준 연결재무제표 데이터를 활용했다. 좌초자산 분석의 핵심 지표인 유형자산(PP&amp;E) 장부가치를 중심으로 분석했다.</w:t>
      </w:r>
    </w:p>
    <w:p w:rsidR="00000000" w:rsidDel="00000000" w:rsidP="00000000" w:rsidRDefault="00000000" w:rsidRPr="00000000" w14:paraId="000001A9">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표 12. 주요 석유화학 기업 재무현황 (2024년 연결재무제표 기준)</w:t>
      </w:r>
      <w:r w:rsidDel="00000000" w:rsidR="00000000" w:rsidRPr="00000000">
        <w:rPr>
          <w:rtl w:val="0"/>
        </w:rPr>
      </w:r>
    </w:p>
    <w:tbl>
      <w:tblPr>
        <w:tblStyle w:val="Table14"/>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798"/>
        <w:gridCol w:w="1798"/>
        <w:gridCol w:w="1997"/>
        <w:gridCol w:w="1957"/>
        <w:tblGridChange w:id="0">
          <w:tblGrid>
            <w:gridCol w:w="1800"/>
            <w:gridCol w:w="1798"/>
            <w:gridCol w:w="1798"/>
            <w:gridCol w:w="1997"/>
            <w:gridCol w:w="1957"/>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1A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기업</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A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자산총계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A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유형자산</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A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부채총계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A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자본총계</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A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LG화학²²</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93.9조원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54.6조원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45.9조원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48.0조원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B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롯데케미칼²³</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34.6조원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16.1조원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14.6조원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20.0조원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B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한화솔루션²⁴</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30.0조원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10.7조원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19.4조원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10.6조원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B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SK이노베이션²⁵</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B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110.5조원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56.7조원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70.9조원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39.6조원</w:t>
            </w:r>
            <w:r w:rsidDel="00000000" w:rsidR="00000000" w:rsidRPr="00000000">
              <w:rPr>
                <w:rtl w:val="0"/>
              </w:rPr>
            </w:r>
          </w:p>
        </w:tc>
      </w:tr>
    </w:tbl>
    <w:p w:rsidR="00000000" w:rsidDel="00000000" w:rsidP="00000000" w:rsidRDefault="00000000" w:rsidRPr="00000000" w14:paraId="000001C3">
      <w:pPr>
        <w:spacing w:after="100" w:lineRule="auto"/>
        <w:rPr>
          <w:rFonts w:ascii="Nanum Gothic" w:cs="Nanum Gothic" w:eastAsia="Nanum Gothic" w:hAnsi="Nanum Gothic"/>
        </w:rPr>
      </w:pPr>
      <w:r w:rsidDel="00000000" w:rsidR="00000000" w:rsidRPr="00000000">
        <w:rPr>
          <w:rFonts w:ascii="Nanum Gothic" w:cs="Nanum Gothic" w:eastAsia="Nanum Gothic" w:hAnsi="Nanum Gothic"/>
          <w:i w:val="1"/>
          <w:iCs w:val="1"/>
          <w:sz w:val="18"/>
          <w:szCs w:val="18"/>
          <w:rtl w:val="0"/>
        </w:rPr>
        <w:t xml:space="preserve">출처: DART 전자공시시스템, 각 사 2024년 사업보고서 연결재무제표</w:t>
      </w:r>
      <w:r w:rsidDel="00000000" w:rsidR="00000000" w:rsidRPr="00000000">
        <w:rPr>
          <w:rtl w:val="0"/>
        </w:rPr>
      </w:r>
    </w:p>
    <w:p w:rsidR="00000000" w:rsidDel="00000000" w:rsidP="00000000" w:rsidRDefault="00000000" w:rsidRPr="00000000" w14:paraId="000001C4">
      <w:pPr>
        <w:spacing w:after="300" w:lineRule="auto"/>
        <w:rPr>
          <w:rFonts w:ascii="Nanum Gothic" w:cs="Nanum Gothic" w:eastAsia="Nanum Gothic" w:hAnsi="Nanum Gothic"/>
        </w:rPr>
      </w:pPr>
      <w:r w:rsidDel="00000000" w:rsidR="00000000" w:rsidRPr="00000000">
        <w:rPr>
          <w:rFonts w:ascii="Nanum Gothic" w:cs="Nanum Gothic" w:eastAsia="Nanum Gothic" w:hAnsi="Nanum Gothic"/>
          <w:i w:val="1"/>
          <w:iCs w:val="1"/>
          <w:sz w:val="18"/>
          <w:szCs w:val="18"/>
          <w:rtl w:val="0"/>
        </w:rPr>
        <w:t xml:space="preserve">주: 에쓰오일, GS칼텍스, 여천NCC는 비상장사로 DART 공개 데이터 한정</w:t>
      </w:r>
      <w:r w:rsidDel="00000000" w:rsidR="00000000" w:rsidRPr="00000000">
        <w:rPr>
          <w:rtl w:val="0"/>
        </w:rPr>
      </w:r>
    </w:p>
    <w:p w:rsidR="00000000" w:rsidDel="00000000" w:rsidP="00000000" w:rsidRDefault="00000000" w:rsidRPr="00000000" w14:paraId="000001C5">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기업별 분석: LG화학은 자산총계 93.9조원 중 유형자산이 54.6조원(58.2%)으로 가장 높은 유형자산 비중을 보인다.</w:t>
      </w:r>
      <w:r w:rsidDel="00000000" w:rsidR="00000000" w:rsidRPr="00000000">
        <w:rPr>
          <w:rFonts w:ascii="Nanum Gothic" w:cs="Nanum Gothic" w:eastAsia="Nanum Gothic" w:hAnsi="Nanum Gothic"/>
          <w:vertAlign w:val="superscript"/>
        </w:rPr>
        <w:footnoteReference w:customMarkFollows="0" w:id="23"/>
      </w:r>
      <w:r w:rsidDel="00000000" w:rsidR="00000000" w:rsidRPr="00000000">
        <w:rPr>
          <w:rFonts w:ascii="Nanum Gothic" w:cs="Nanum Gothic" w:eastAsia="Nanum Gothic" w:hAnsi="Nanum Gothic"/>
          <w:rtl w:val="0"/>
        </w:rPr>
        <w:t xml:space="preserve"> 이는 배터리 사업(LG에너지솔루션) 설비 투자가 반영된 결과로, 석유화학 부문만의 유형자산은 약 15~18조원 수준으로 추정된다. 롯데케미칼은 자산총계 34.6조원 중 유형자산 16.1조원(46.5%)으로, 3년 연속 적자에도 불구하고 자본총계 20.0조원으로 재무 건전성을 유지하고 있다.</w:t>
      </w:r>
      <w:r w:rsidDel="00000000" w:rsidR="00000000" w:rsidRPr="00000000">
        <w:rPr>
          <w:rFonts w:ascii="Nanum Gothic" w:cs="Nanum Gothic" w:eastAsia="Nanum Gothic" w:hAnsi="Nanum Gothic"/>
          <w:vertAlign w:val="superscript"/>
        </w:rPr>
        <w:footnoteReference w:customMarkFollows="0" w:id="24"/>
      </w:r>
      <w:r w:rsidDel="00000000" w:rsidR="00000000" w:rsidRPr="00000000">
        <w:rPr>
          <w:rtl w:val="0"/>
        </w:rPr>
      </w:r>
    </w:p>
    <w:p w:rsidR="00000000" w:rsidDel="00000000" w:rsidP="00000000" w:rsidRDefault="00000000" w:rsidRPr="00000000" w14:paraId="000001C6">
      <w:pPr>
        <w:spacing w:after="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한화솔루션은 자산총계 30.0조원 중 유형자산 10.7조원(35.7%)으로 상대적으로 낮은 유형자산 비중을 보인다.</w:t>
      </w:r>
      <w:r w:rsidDel="00000000" w:rsidR="00000000" w:rsidRPr="00000000">
        <w:rPr>
          <w:rFonts w:ascii="Nanum Gothic" w:cs="Nanum Gothic" w:eastAsia="Nanum Gothic" w:hAnsi="Nanum Gothic"/>
          <w:vertAlign w:val="superscript"/>
        </w:rPr>
        <w:footnoteReference w:customMarkFollows="0" w:id="25"/>
      </w:r>
      <w:r w:rsidDel="00000000" w:rsidR="00000000" w:rsidRPr="00000000">
        <w:rPr>
          <w:rFonts w:ascii="Nanum Gothic" w:cs="Nanum Gothic" w:eastAsia="Nanum Gothic" w:hAnsi="Nanum Gothic"/>
          <w:rtl w:val="0"/>
        </w:rPr>
        <w:t xml:space="preserve"> 태양광 사업부 포함으로 케미칼 부문 유형자산은 약 5~6조원 수준으로 추정된다. 부채비율이 183%로 가장 높아 재무 레버리지 관리가 필요하다. SK이노베이션(SK지오센트릭 포함)은 자산총계 110.5조원으로 가장 큰 규모이며, 유형자산 56.7조원(51.3%)을 보유하고 있다.</w:t>
      </w:r>
      <w:r w:rsidDel="00000000" w:rsidR="00000000" w:rsidRPr="00000000">
        <w:rPr>
          <w:rFonts w:ascii="Nanum Gothic" w:cs="Nanum Gothic" w:eastAsia="Nanum Gothic" w:hAnsi="Nanum Gothic"/>
          <w:vertAlign w:val="superscript"/>
        </w:rPr>
        <w:footnoteReference w:customMarkFollows="0" w:id="26"/>
      </w:r>
      <w:r w:rsidDel="00000000" w:rsidR="00000000" w:rsidRPr="00000000">
        <w:rPr>
          <w:rFonts w:ascii="Nanum Gothic" w:cs="Nanum Gothic" w:eastAsia="Nanum Gothic" w:hAnsi="Nanum Gothic"/>
          <w:rtl w:val="0"/>
        </w:rPr>
        <w:t xml:space="preserve"> 정유·화학·배터리·E&amp;P 등 다각화된 사업 포트폴리오를 보유하고 있다.</w:t>
      </w:r>
    </w:p>
    <w:p w:rsidR="00000000" w:rsidDel="00000000" w:rsidP="00000000" w:rsidRDefault="00000000" w:rsidRPr="00000000" w14:paraId="000001C7">
      <w:pPr>
        <w:spacing w:after="100" w:before="30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표 12-1. 주요 기업별 좌초자산 추정 (1.5°C 시나리오)</w:t>
      </w:r>
      <w:r w:rsidDel="00000000" w:rsidR="00000000" w:rsidRPr="00000000">
        <w:rPr>
          <w:rtl w:val="0"/>
        </w:rPr>
      </w:r>
    </w:p>
    <w:tbl>
      <w:tblPr>
        <w:tblStyle w:val="Table15"/>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9"/>
        <w:gridCol w:w="1998"/>
        <w:gridCol w:w="1998"/>
        <w:gridCol w:w="1995"/>
        <w:gridCol w:w="1660"/>
        <w:tblGridChange w:id="0">
          <w:tblGrid>
            <w:gridCol w:w="1699"/>
            <w:gridCol w:w="1998"/>
            <w:gridCol w:w="1998"/>
            <w:gridCol w:w="1995"/>
            <w:gridCol w:w="1660"/>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1C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기업</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C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석화부문 유형자산(추정)</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C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좌초자산(추정)</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C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좌초자산 비율</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C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전환비용(추정)</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C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LG화학</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15~18조원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CF">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3~5조원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0">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20~30%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1">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2~3조원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D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롯데케미칼</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14~16조원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4">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4~6조원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5">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30~40%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6">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3~4조원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D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한화솔루션</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5~6조원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9">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1~2조원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A">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20~30%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B">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1~2조원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D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SK지오센트릭</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8~10조원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E">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2~4조원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DF">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25~35%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0">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2~3조원</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1E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에쓰오일*</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12~15조원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3">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5~8조원</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4">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40~50%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1E5">
            <w:pPr>
              <w:rPr>
                <w:rFonts w:ascii="Nanum Gothic" w:cs="Nanum Gothic" w:eastAsia="Nanum Gothic" w:hAnsi="Nanum Gothic"/>
                <w:color w:val="ff0000"/>
              </w:rPr>
            </w:pPr>
            <w:r w:rsidDel="00000000" w:rsidR="00000000" w:rsidRPr="00000000">
              <w:rPr>
                <w:rFonts w:ascii="Nanum Gothic" w:cs="Nanum Gothic" w:eastAsia="Nanum Gothic" w:hAnsi="Nanum Gothic"/>
                <w:color w:val="ff0000"/>
                <w:sz w:val="20"/>
                <w:szCs w:val="20"/>
                <w:rtl w:val="0"/>
              </w:rPr>
              <w:t xml:space="preserve">4~6조원</w:t>
            </w:r>
            <w:r w:rsidDel="00000000" w:rsidR="00000000" w:rsidRPr="00000000">
              <w:rPr>
                <w:rtl w:val="0"/>
              </w:rPr>
            </w:r>
          </w:p>
        </w:tc>
      </w:tr>
    </w:tbl>
    <w:p w:rsidR="00000000" w:rsidDel="00000000" w:rsidP="00000000" w:rsidRDefault="00000000" w:rsidRPr="00000000" w14:paraId="000001E6">
      <w:pPr>
        <w:spacing w:after="300" w:lineRule="auto"/>
        <w:rPr>
          <w:rFonts w:ascii="Nanum Gothic" w:cs="Nanum Gothic" w:eastAsia="Nanum Gothic" w:hAnsi="Nanum Gothic"/>
        </w:rPr>
      </w:pPr>
      <w:r w:rsidDel="00000000" w:rsidR="00000000" w:rsidRPr="00000000">
        <w:rPr>
          <w:rFonts w:ascii="Nanum Gothic" w:cs="Nanum Gothic" w:eastAsia="Nanum Gothic" w:hAnsi="Nanum Gothic"/>
          <w:i w:val="1"/>
          <w:iCs w:val="1"/>
          <w:sz w:val="18"/>
          <w:szCs w:val="18"/>
          <w:rtl w:val="0"/>
        </w:rPr>
        <w:t xml:space="preserve">주: *에쓰오일은 샤힌 프로젝트(9.3조원) 완공 시 좌초자산 위험 최고 수준</w:t>
      </w:r>
      <w:r w:rsidDel="00000000" w:rsidR="00000000" w:rsidRPr="00000000">
        <w:rPr>
          <w:rtl w:val="0"/>
        </w:rPr>
      </w:r>
    </w:p>
    <w:p w:rsidR="00000000" w:rsidDel="00000000" w:rsidP="00000000" w:rsidRDefault="00000000" w:rsidRPr="00000000" w14:paraId="000001E7">
      <w:pPr>
        <w:rPr>
          <w:rFonts w:ascii="Nanum Gothic" w:cs="Nanum Gothic" w:eastAsia="Nanum Gothic" w:hAnsi="Nanum Gothic"/>
        </w:rPr>
      </w:pP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2-3. 기술 시나리오 비교</w:t>
      </w:r>
    </w:p>
    <w:p w:rsidR="00000000" w:rsidDel="00000000" w:rsidP="00000000" w:rsidRDefault="00000000" w:rsidRPr="00000000" w14:paraId="000001E9">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2-3-1. 전기 크래커 vs 수소 기반 시나리오</w:t>
      </w:r>
    </w:p>
    <w:p w:rsidR="00000000" w:rsidDel="00000000" w:rsidP="00000000" w:rsidRDefault="00000000" w:rsidRPr="00000000" w14:paraId="000001EA">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두 가지 주요 탈탄소 기술 경로에 대한 비교 분석 결과는 다음과 같다:</w:t>
      </w:r>
    </w:p>
    <w:tbl>
      <w:tblPr>
        <w:tblStyle w:val="Table16"/>
        <w:tblW w:w="9349.999999999998"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72"/>
        <w:gridCol w:w="3039"/>
        <w:gridCol w:w="3039"/>
        <w:tblGridChange w:id="0">
          <w:tblGrid>
            <w:gridCol w:w="3272"/>
            <w:gridCol w:w="3039"/>
            <w:gridCol w:w="3039"/>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1E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항목</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E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전기 크래커 시나리오</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1E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수소 기반 시나리오</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총 전환 비용 (조원)</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재생에너지 수요 (TWh)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좌초자산 규모 (조원)</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탄소 감축률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기술 성숙도 (TRL)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6-7 (데모 단계)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5-6 (파일럿 단계)</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상용화 예상 시점</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2028-2030년</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2030-2035년</w:t>
            </w:r>
            <w:r w:rsidDel="00000000" w:rsidR="00000000" w:rsidRPr="00000000">
              <w:rPr>
                <w:rtl w:val="0"/>
              </w:rPr>
            </w:r>
          </w:p>
        </w:tc>
      </w:tr>
    </w:tbl>
    <w:p w:rsidR="00000000" w:rsidDel="00000000" w:rsidP="00000000" w:rsidRDefault="00000000" w:rsidRPr="00000000" w14:paraId="00000200">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14. 전기 크래커 vs 수소 기반 시나리오 비교</w:t>
      </w:r>
      <w:r w:rsidDel="00000000" w:rsidR="00000000" w:rsidRPr="00000000">
        <w:rPr>
          <w:rtl w:val="0"/>
        </w:rPr>
      </w:r>
    </w:p>
    <w:p w:rsidR="00000000" w:rsidDel="00000000" w:rsidP="00000000" w:rsidRDefault="00000000" w:rsidRPr="00000000" w14:paraId="00000201">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전기 크래커 시나리오는 기술 성숙도가 상대적으로 높아 단기적 실현 가능성이 높지만, 대규모 재생에너지 확보가 전제되어야 한다. BASF 등 글로벌 기업들이 2024년 데모 플랜트 가동을 시작했으며, 2028-2030년 본격 상용화가 예상된다.</w:t>
      </w:r>
    </w:p>
    <w:p w:rsidR="00000000" w:rsidDel="00000000" w:rsidP="00000000" w:rsidRDefault="00000000" w:rsidRPr="00000000" w14:paraId="00000202">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수소 기반 시나리오는 장기적으로 더 높은 감축률을 달성할 수 있으나, 그린수소 가격 하락과 인프라 구축이 필요하다. 현재 그린수소 가격은 $4-6/kg 수준이나, 2030년 $2/kg, 2050년 $1/kg 이하로 하락해야 경제성이 확보된다.</w:t>
      </w:r>
    </w:p>
    <w:p w:rsidR="00000000" w:rsidDel="00000000" w:rsidP="00000000" w:rsidRDefault="00000000" w:rsidRPr="00000000" w14:paraId="00000203">
      <w:pPr>
        <w:spacing w:after="20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04">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2-3-2. 민감도 분석 결과</w:t>
      </w:r>
    </w:p>
    <w:p w:rsidR="00000000" w:rsidDel="00000000" w:rsidP="00000000" w:rsidRDefault="00000000" w:rsidRPr="00000000" w14:paraId="00000205">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핵심 변수에 대한 민감도 분석 결과는 다음과 같다:</w:t>
      </w:r>
    </w:p>
    <w:tbl>
      <w:tblPr>
        <w:tblStyle w:val="Table17"/>
        <w:tblW w:w="9350.0" w:type="dxa"/>
        <w:jc w:val="left"/>
        <w:tblInd w:w="-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8"/>
        <w:gridCol w:w="2338"/>
        <w:gridCol w:w="2337"/>
        <w:gridCol w:w="2337"/>
        <w:tblGridChange w:id="0">
          <w:tblGrid>
            <w:gridCol w:w="2338"/>
            <w:gridCol w:w="2338"/>
            <w:gridCol w:w="2337"/>
            <w:gridCol w:w="2337"/>
          </w:tblGrid>
        </w:tblGridChange>
      </w:tblGrid>
      <w:tr>
        <w:trPr>
          <w:cantSplit w:val="0"/>
          <w:tblHeader w:val="0"/>
        </w:trPr>
        <w:tc>
          <w:tcPr>
            <w:shd w:fill="e8e8e8" w:val="clear"/>
            <w:tcMar>
              <w:top w:w="80.0" w:type="dxa"/>
              <w:left w:w="120.0" w:type="dxa"/>
              <w:bottom w:w="80.0" w:type="dxa"/>
              <w:right w:w="120.0" w:type="dxa"/>
            </w:tcMar>
          </w:tcPr>
          <w:p w:rsidR="00000000" w:rsidDel="00000000" w:rsidP="00000000" w:rsidRDefault="00000000" w:rsidRPr="00000000" w14:paraId="0000020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변수</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20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기준값</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20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변동 범위</w:t>
            </w:r>
            <w:r w:rsidDel="00000000" w:rsidR="00000000" w:rsidRPr="00000000">
              <w:rPr>
                <w:rtl w:val="0"/>
              </w:rPr>
            </w:r>
          </w:p>
        </w:tc>
        <w:tc>
          <w:tcPr>
            <w:shd w:fill="e8e8e8" w:val="clear"/>
            <w:tcMar>
              <w:top w:w="80.0" w:type="dxa"/>
              <w:left w:w="120.0" w:type="dxa"/>
              <w:bottom w:w="80.0" w:type="dxa"/>
              <w:right w:w="120.0" w:type="dxa"/>
            </w:tcMar>
          </w:tcPr>
          <w:p w:rsidR="00000000" w:rsidDel="00000000" w:rsidP="00000000" w:rsidRDefault="00000000" w:rsidRPr="00000000" w14:paraId="0000020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총비용 변동</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A">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탄소가격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B">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[XX]원/톤</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C">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D">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E">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재생에너지 가격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F">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[XX]원/kWh</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0">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±30%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1">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2">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전기크래커 CAPEX</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3">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[XX]억원/기</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4">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±25%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5">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6">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그린수소 가격</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7">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$[XX]/kg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8">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±40%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9">
            <w:pPr>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±[XX]%</w:t>
            </w:r>
            <w:r w:rsidDel="00000000" w:rsidR="00000000" w:rsidRPr="00000000">
              <w:rPr>
                <w:rtl w:val="0"/>
              </w:rPr>
            </w:r>
          </w:p>
        </w:tc>
      </w:tr>
    </w:tbl>
    <w:p w:rsidR="00000000" w:rsidDel="00000000" w:rsidP="00000000" w:rsidRDefault="00000000" w:rsidRPr="00000000" w14:paraId="0000021A">
      <w:pPr>
        <w:spacing w:after="300" w:before="100" w:lineRule="auto"/>
        <w:jc w:val="center"/>
        <w:rPr>
          <w:rFonts w:ascii="Nanum Gothic" w:cs="Nanum Gothic" w:eastAsia="Nanum Gothic" w:hAnsi="Nanum Gothic"/>
        </w:rPr>
      </w:pPr>
      <w:r w:rsidDel="00000000" w:rsidR="00000000" w:rsidRPr="00000000">
        <w:rPr>
          <w:rFonts w:ascii="Nanum Gothic" w:cs="Nanum Gothic" w:eastAsia="Nanum Gothic" w:hAnsi="Nanum Gothic"/>
          <w:i w:val="1"/>
          <w:iCs w:val="1"/>
          <w:sz w:val="20"/>
          <w:szCs w:val="20"/>
          <w:rtl w:val="0"/>
        </w:rPr>
        <w:t xml:space="preserve">표 15. 민감도 분석 결과</w:t>
      </w:r>
      <w:r w:rsidDel="00000000" w:rsidR="00000000" w:rsidRPr="00000000">
        <w:rPr>
          <w:rtl w:val="0"/>
        </w:rPr>
      </w:r>
    </w:p>
    <w:p w:rsidR="00000000" w:rsidDel="00000000" w:rsidP="00000000" w:rsidRDefault="00000000" w:rsidRPr="00000000" w14:paraId="0000021B">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분석 결과, 총 비용에 가장 큰 영향을 미치는 변수는 재생에너지 가격이다. 재생에너지 가격이 30% 하락할 경우 전기 크래커 경로의 비용이 크게 감소하여 수소 기반 경로 대비 경제성이 개선된다. 탄소가격 상승은 전환 투자의 경제성을 개선하나, 단기적으로는 기업 부담을 가중시킨다.</w:t>
      </w:r>
    </w:p>
    <w:p w:rsidR="00000000" w:rsidDel="00000000" w:rsidP="00000000" w:rsidRDefault="00000000" w:rsidRPr="00000000" w14:paraId="0000021C">
      <w:pPr>
        <w:rPr>
          <w:rFonts w:ascii="Nanum Gothic" w:cs="Nanum Gothic" w:eastAsia="Nanum Gothic" w:hAnsi="Nanum Gothic"/>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3. 시사점</w:t>
      </w:r>
    </w:p>
    <w:p w:rsidR="00000000" w:rsidDel="00000000" w:rsidP="00000000" w:rsidRDefault="00000000" w:rsidRPr="00000000" w14:paraId="0000021E">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시나리오 분석의 가장 큰 한계점은 현재 진행 중인 정부 주도 구조조정(NCC 감축 270~370만톤 목표)을 반영하지 못했다는 점이다. 2025년 현재 여수 산업단지에서 여천NCC와 롯데케미칼의 통합이 논의 중이며, 울산에서도 SK지오센트릭, 에쓰오일, 대한유화 간 협의가 진행 중이다. 이러한 구조조정이 완료될 경우 본 분석의 전환 비용 및 좌초자산 규모는 상당히 달라질 수 있다.</w:t>
      </w:r>
    </w:p>
    <w:p w:rsidR="00000000" w:rsidDel="00000000" w:rsidP="00000000" w:rsidRDefault="00000000" w:rsidRPr="00000000" w14:paraId="0000021F">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3-1. 재생에너지 수요</w:t>
      </w:r>
    </w:p>
    <w:p w:rsidR="00000000" w:rsidDel="00000000" w:rsidP="00000000" w:rsidRDefault="00000000" w:rsidRPr="00000000" w14:paraId="00000220">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본 분석 결과, 석유화학산업의 완전 탈탄소화에 필요한 재생에너지 수요는 약 [XX TWh]로 추정된다. 이는 정부의 제10차 전력수급기본계획에서 제시한 2030년 재생에너지 발전량 목표([XX TWh])의 약 [XX%]에 해당하는 규모이다.</w:t>
      </w:r>
    </w:p>
    <w:p w:rsidR="00000000" w:rsidDel="00000000" w:rsidP="00000000" w:rsidRDefault="00000000" w:rsidRPr="00000000" w14:paraId="00000221">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주요 시사점은 다음과 같다:</w:t>
      </w:r>
    </w:p>
    <w:p w:rsidR="00000000" w:rsidDel="00000000" w:rsidP="00000000" w:rsidRDefault="00000000" w:rsidRPr="00000000" w14:paraId="00000222">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1) 현 재생에너지 확대 속도로는 석유화학 탈탄소화 수요를 충족하기 어려움. 재생에너지 보급 속도를 현재 대비 [XX배] 이상 가속화할 필요가 있음.</w:t>
      </w:r>
      <w:r w:rsidDel="00000000" w:rsidR="00000000" w:rsidRPr="00000000">
        <w:rPr>
          <w:rtl w:val="0"/>
        </w:rPr>
      </w:r>
    </w:p>
    <w:p w:rsidR="00000000" w:rsidDel="00000000" w:rsidP="00000000" w:rsidRDefault="00000000" w:rsidRPr="00000000" w14:paraId="00000223">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2) 산업용 전력요금 개편 없이는 전기 크래커 경제성 확보가 어려움. 현재 한국의 산업용 전력요금은 kWh당 약 100원 수준으로, 이 가격에서는 전기 크래커 운영이 경제적으로 불가능.</w:t>
      </w:r>
      <w:r w:rsidDel="00000000" w:rsidR="00000000" w:rsidRPr="00000000">
        <w:rPr>
          <w:rtl w:val="0"/>
        </w:rPr>
      </w:r>
    </w:p>
    <w:p w:rsidR="00000000" w:rsidDel="00000000" w:rsidP="00000000" w:rsidRDefault="00000000" w:rsidRPr="00000000" w14:paraId="00000224">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3) 지역별 재생에너지 공급 불균형 문제. 여수 산업단지는 재생에너지 자원이 상대적으로 풍부하나, 울산은 해상풍력 등 추가 개발이 필요.</w:t>
      </w:r>
      <w:r w:rsidDel="00000000" w:rsidR="00000000" w:rsidRPr="00000000">
        <w:rPr>
          <w:rtl w:val="0"/>
        </w:rPr>
      </w:r>
    </w:p>
    <w:p w:rsidR="00000000" w:rsidDel="00000000" w:rsidP="00000000" w:rsidRDefault="00000000" w:rsidRPr="00000000" w14:paraId="00000225">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독일의 경우 산업용 재생에너지 전용 계약(PPA) 활성화와 그리드 비용 감면 등을 통해 전기 크래커의 경제성을 지원하고 있다. 한국도 산업 탈탄소화를 위한 재생에너지 공급 체계를 별도로 설계할 필요가 있다.</w:t>
      </w:r>
    </w:p>
    <w:p w:rsidR="00000000" w:rsidDel="00000000" w:rsidP="00000000" w:rsidRDefault="00000000" w:rsidRPr="00000000" w14:paraId="00000226">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3-2. 기업별 좌초자산 및 전환비용</w:t>
      </w:r>
    </w:p>
    <w:p w:rsidR="00000000" w:rsidDel="00000000" w:rsidP="00000000" w:rsidRDefault="00000000" w:rsidRPr="00000000" w14:paraId="00000227">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기업별 좌초자산 위험도 분석 결과, 최근 대규모 투자를 진행한 기업(에쓰오일 샤힌 프로젝트 등)의 좌초자산 위험이 가장 높게 나타났다. 반면, 노후 설비 비중이 높고 이미 구조조정을 진행 중인 기업(LG화학 김천/나주 공장 폐쇄 등)은 상대적으로 위험이 낮았다.</w:t>
      </w:r>
    </w:p>
    <w:p w:rsidR="00000000" w:rsidDel="00000000" w:rsidP="00000000" w:rsidRDefault="00000000" w:rsidRPr="00000000" w14:paraId="00000228">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정책적 시사점은 다음과 같다:</w:t>
      </w:r>
    </w:p>
    <w:p w:rsidR="00000000" w:rsidDel="00000000" w:rsidP="00000000" w:rsidRDefault="00000000" w:rsidRPr="00000000" w14:paraId="00000229">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 탄소차액계약제도(CCfD) 도입 필요</w:t>
      </w:r>
    </w:p>
    <w:p w:rsidR="00000000" w:rsidDel="00000000" w:rsidP="00000000" w:rsidRDefault="00000000" w:rsidRPr="00000000" w14:paraId="0000022A">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독일 BASF 사례처럼 탈탄소 공정 도입에 따른 추가 비용을 보전하는 제도 도입이 시급하다. 환경부가 2025년 시범 도입을 목표로 하고 있으나, 석유화학 업종 특화 설계가 필요하다. 독일 CCfD의 15년 계약 기간, 양방향 차액정산 구조를 참고할 만하다.</w:t>
      </w:r>
    </w:p>
    <w:p w:rsidR="00000000" w:rsidDel="00000000" w:rsidP="00000000" w:rsidRDefault="00000000" w:rsidRPr="00000000" w14:paraId="0000022B">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 좌초자산 인식 및 회계 기준 마련</w:t>
      </w:r>
    </w:p>
    <w:p w:rsidR="00000000" w:rsidDel="00000000" w:rsidP="00000000" w:rsidRDefault="00000000" w:rsidRPr="00000000" w14:paraId="0000022C">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현재 K-IFRS에는 기후 리스크에 따른 자산 손상 인식 기준이 명확하지 않다. 금융감독원과 협력하여 석유화학 설비의 좌초자산 인식 가이드라인 마련이 필요하다. ISSB IFRS S2의 국내 도입 일정과 연계하여 공시 체계를 정비해야 한다.</w:t>
      </w:r>
    </w:p>
    <w:p w:rsidR="00000000" w:rsidDel="00000000" w:rsidP="00000000" w:rsidRDefault="00000000" w:rsidRPr="00000000" w14:paraId="0000022D">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3) 구조조정 지원 금융 확대</w:t>
      </w:r>
    </w:p>
    <w:p w:rsidR="00000000" w:rsidDel="00000000" w:rsidP="00000000" w:rsidRDefault="00000000" w:rsidRPr="00000000" w14:paraId="0000022E">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한은 분석에 따르면 구조조정으로 단기 GDP 손실([3.3~6.7조원])이 발생하나, 장기적으로는 경쟁력 제고 효과가 더 크다. 정책금융 기관의 전환금융(Transition Finance) 역할 강화가 필요하다. 일본 GX 리그와 GX 경제이행채 사례를 참고할 만하다.</w:t>
      </w:r>
    </w:p>
    <w:p w:rsidR="00000000" w:rsidDel="00000000" w:rsidP="00000000" w:rsidRDefault="00000000" w:rsidRPr="00000000" w14:paraId="0000022F">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4) K-ETS 강화와 연계</w:t>
      </w:r>
    </w:p>
    <w:p w:rsidR="00000000" w:rsidDel="00000000" w:rsidP="00000000" w:rsidRDefault="00000000" w:rsidRPr="00000000" w14:paraId="00000230">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현재 K-ETS 탄소가격(약 [XX]원/톤)은 탈탄소 투자를 유인하기에 불충분하다. EU CBAM 대응과 연계하여 탄소가격 상향 및 유상할당 비율 확대(현 15%→20%) 검토가 필요하다. 다만, 급격한 탄소가격 상승은 단기적으로 기업 경쟁력을 약화시킬 수 있어 CCfD 등 보완책과 병행해야 한다.</w:t>
      </w:r>
    </w:p>
    <w:p w:rsidR="00000000" w:rsidDel="00000000" w:rsidP="00000000" w:rsidRDefault="00000000" w:rsidRPr="00000000" w14:paraId="00000231">
      <w:pPr>
        <w:pStyle w:val="Heading2"/>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3-3. 해외 사례의 시사점</w:t>
      </w:r>
    </w:p>
    <w:p w:rsidR="00000000" w:rsidDel="00000000" w:rsidP="00000000" w:rsidRDefault="00000000" w:rsidRPr="00000000" w14:paraId="00000232">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독일 사례</w:t>
      </w:r>
    </w:p>
    <w:p w:rsidR="00000000" w:rsidDel="00000000" w:rsidP="00000000" w:rsidRDefault="00000000" w:rsidRPr="00000000" w14:paraId="00000233">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독일의 CCfD 프로그램은 투자 안정성 확보의 모범 사례다. 15년 장기 계약과 양방향 차액정산 구조는 기업의 탈탄소 투자 결정에 확실성을 제공한다. BASF 전기 크래커 프로젝트에 대한 정부 지원(프로젝트 비용의 약 19%)은 초기 기술 리스크를 분담하는 효과적 방식이다.</w:t>
      </w:r>
    </w:p>
    <w:p w:rsidR="00000000" w:rsidDel="00000000" w:rsidP="00000000" w:rsidRDefault="00000000" w:rsidRPr="00000000" w14:paraId="00000234">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한국에 적용 시, CCfD의 재원 조달 방안(탄소수입, 국채, 기금 등), 대상 업종 및 기술 범위, 스트라이크 가격 산정 방법 등에 대한 세부 설계가 필요하다.</w:t>
      </w:r>
    </w:p>
    <w:p w:rsidR="00000000" w:rsidDel="00000000" w:rsidP="00000000" w:rsidRDefault="00000000" w:rsidRPr="00000000" w14:paraId="00000235">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일본 사례</w:t>
      </w:r>
    </w:p>
    <w:p w:rsidR="00000000" w:rsidDel="00000000" w:rsidP="00000000" w:rsidRDefault="00000000" w:rsidRPr="00000000" w14:paraId="00000236">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일본의 GX 전략은 민관 협력의 참고 모델이다. GX 리그에 747개 기업이 참여하여 국가 배출량의 50% 이상을 커버하고 있으며, 자발적 참여에서 의무 참여로의 단계적 전환을 추진 중이다. 석유화학 부문에서는 서일본 3사 협력, 스미토모-미쓰이 통합 등 기업간 협력이 활발히 진행되고 있다.</w:t>
      </w:r>
    </w:p>
    <w:p w:rsidR="00000000" w:rsidDel="00000000" w:rsidP="00000000" w:rsidRDefault="00000000" w:rsidRPr="00000000" w14:paraId="00000237">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한국도 업계 공동의 탈탄소 로드맵 수립과 기업간 협력 플랫폼 구축을 검토할 필요가 있다. 현재 진행 중인 NCC 통합 논의를 탈탄소 전환과 연계하면 시너지를 창출할 수 있다.</w:t>
      </w:r>
    </w:p>
    <w:p w:rsidR="00000000" w:rsidDel="00000000" w:rsidP="00000000" w:rsidRDefault="00000000" w:rsidRPr="00000000" w14:paraId="00000238">
      <w:pPr>
        <w:pStyle w:val="Heading3"/>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미국 사례</w:t>
      </w:r>
    </w:p>
    <w:p w:rsidR="00000000" w:rsidDel="00000000" w:rsidP="00000000" w:rsidRDefault="00000000" w:rsidRPr="00000000" w14:paraId="00000239">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미국 45Q 세액공제는 CCUS 경제성 개선의 직접적 수단이다. 톤당 $85의 세액공제는 석유화학 시설의 탄소 포집 비용을 상당 부분 상쇄한다. 다만, 2025년 행정부 교체에 따른 정책 불확실성은 위험 요인이다.</w:t>
      </w:r>
    </w:p>
    <w:p w:rsidR="00000000" w:rsidDel="00000000" w:rsidP="00000000" w:rsidRDefault="00000000" w:rsidRPr="00000000" w14:paraId="0000023A">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한국은 현재 CCUS에 대한 세제 지원이 미흡하다. 해상 저장소 개발과 연계하여 세액공제 또는 보조금 제도 도입을 검토할 필요가 있다.</w:t>
      </w:r>
    </w:p>
    <w:p w:rsidR="00000000" w:rsidDel="00000000" w:rsidP="00000000" w:rsidRDefault="00000000" w:rsidRPr="00000000" w14:paraId="0000023B">
      <w:pPr>
        <w:rPr>
          <w:rFonts w:ascii="Nanum Gothic" w:cs="Nanum Gothic" w:eastAsia="Nanum Gothic" w:hAnsi="Nanum Gothic"/>
        </w:rPr>
      </w:pPr>
      <w:r w:rsidDel="00000000" w:rsidR="00000000" w:rsidRPr="00000000">
        <w:br w:type="page"/>
      </w:r>
      <w:r w:rsidDel="00000000" w:rsidR="00000000" w:rsidRPr="00000000">
        <w:rPr>
          <w:rtl w:val="0"/>
        </w:rPr>
      </w:r>
    </w:p>
    <w:p w:rsidR="00000000" w:rsidDel="00000000" w:rsidP="00000000" w:rsidRDefault="00000000" w:rsidRPr="00000000" w14:paraId="0000023C">
      <w:pPr>
        <w:pStyle w:val="Heading1"/>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결론</w:t>
      </w:r>
    </w:p>
    <w:p w:rsidR="00000000" w:rsidDel="00000000" w:rsidP="00000000" w:rsidRDefault="00000000" w:rsidRPr="00000000" w14:paraId="0000023D">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한국 석유화학산업은 중국의 자급률 확대, 글로벌 공급과잉, 기후규제 강화라는 삼중고에 직면해 있다. 본 분석은 탄소예산 이행 경로에서 발생하는 전환 비용과 좌초자산 규모를 정량화하여, 기업과 정부의 전략적 의사결정을 지원하고자 하였다.</w:t>
      </w:r>
    </w:p>
    <w:p w:rsidR="00000000" w:rsidDel="00000000" w:rsidP="00000000" w:rsidRDefault="00000000" w:rsidRPr="00000000" w14:paraId="0000023E">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핵심 결론은 다음과 같다:</w:t>
      </w:r>
    </w:p>
    <w:p w:rsidR="00000000" w:rsidDel="00000000" w:rsidP="00000000" w:rsidRDefault="00000000" w:rsidRPr="00000000" w14:paraId="0000023F">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(1) 1.5°C 경로 이행 시 총 전환 비용은 약 [XX조 원], 좌초자산 규모는 약 [XX조 원]으로 추정된다.</w:t>
      </w:r>
      <w:r w:rsidDel="00000000" w:rsidR="00000000" w:rsidRPr="00000000">
        <w:rPr>
          <w:rtl w:val="0"/>
        </w:rPr>
      </w:r>
    </w:p>
    <w:p w:rsidR="00000000" w:rsidDel="00000000" w:rsidP="00000000" w:rsidRDefault="00000000" w:rsidRPr="00000000" w14:paraId="00000240">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(2) 재생에너지 수요는 정부 목표 대비 [XX배] 높아, 공급 확대가 시급하다.</w:t>
      </w:r>
      <w:r w:rsidDel="00000000" w:rsidR="00000000" w:rsidRPr="00000000">
        <w:rPr>
          <w:rtl w:val="0"/>
        </w:rPr>
      </w:r>
    </w:p>
    <w:p w:rsidR="00000000" w:rsidDel="00000000" w:rsidP="00000000" w:rsidRDefault="00000000" w:rsidRPr="00000000" w14:paraId="00000241">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(3) 전기 크래커 기술이 수소 기반 기술 대비 단기 실현 가능성이 높으나, 두 기술 모두 정부의 정책적 지원 없이는 경제성 확보가 어렵다. </w:t>
      </w:r>
      <w:r w:rsidDel="00000000" w:rsidR="00000000" w:rsidRPr="00000000">
        <w:rPr>
          <w:rtl w:val="0"/>
        </w:rPr>
      </w:r>
    </w:p>
    <w:p w:rsidR="00000000" w:rsidDel="00000000" w:rsidP="00000000" w:rsidRDefault="00000000" w:rsidRPr="00000000" w14:paraId="00000242">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(4) 독일 CCfD, 일본 GX, 미국 45Q 등 해외 사례는 한국의 정책 설계에 중요한 참고점을 제공한다.</w:t>
      </w:r>
      <w:r w:rsidDel="00000000" w:rsidR="00000000" w:rsidRPr="00000000">
        <w:rPr>
          <w:rtl w:val="0"/>
        </w:rPr>
      </w:r>
    </w:p>
    <w:p w:rsidR="00000000" w:rsidDel="00000000" w:rsidP="00000000" w:rsidRDefault="00000000" w:rsidRPr="00000000" w14:paraId="00000243">
      <w:pPr>
        <w:spacing w:after="200" w:line="276" w:lineRule="auto"/>
        <w:ind w:left="720" w:firstLine="0"/>
        <w:rPr>
          <w:rFonts w:ascii="Nanum Gothic" w:cs="Nanum Gothic" w:eastAsia="Nanum Gothic" w:hAnsi="Nanum Gothic"/>
        </w:rPr>
      </w:pPr>
      <w:r w:rsidDel="00000000" w:rsidR="00000000" w:rsidRPr="00000000">
        <w:rPr>
          <w:rFonts w:ascii="Nanum Gothic" w:cs="Nanum Gothic" w:eastAsia="Nanum Gothic" w:hAnsi="Nanum Gothic"/>
          <w:i w:val="1"/>
          <w:iCs w:val="1"/>
          <w:rtl w:val="0"/>
        </w:rPr>
        <w:t xml:space="preserve">(5) 현재 진행 중인 구조조정을 탈탄소 전환과 연계하면 비용 효율성을 제고할 수 있다.</w:t>
      </w:r>
      <w:r w:rsidDel="00000000" w:rsidR="00000000" w:rsidRPr="00000000">
        <w:rPr>
          <w:rtl w:val="0"/>
        </w:rPr>
      </w:r>
    </w:p>
    <w:p w:rsidR="00000000" w:rsidDel="00000000" w:rsidP="00000000" w:rsidRDefault="00000000" w:rsidRPr="00000000" w14:paraId="00000244">
      <w:pPr>
        <w:spacing w:after="200" w:line="276" w:lineRule="auto"/>
        <w:rPr>
          <w:rFonts w:ascii="Nanum Gothic" w:cs="Nanum Gothic" w:eastAsia="Nanum Gothic" w:hAnsi="Nanum Gothic"/>
        </w:rPr>
      </w:pPr>
      <w:r w:rsidDel="00000000" w:rsidR="00000000" w:rsidRPr="00000000">
        <w:rPr>
          <w:rtl w:val="0"/>
        </w:rPr>
      </w:r>
    </w:p>
    <w:p w:rsidR="00000000" w:rsidDel="00000000" w:rsidP="00000000" w:rsidRDefault="00000000" w:rsidRPr="00000000" w14:paraId="00000245">
      <w:pPr>
        <w:spacing w:after="200" w:line="276" w:lineRule="auto"/>
        <w:rPr>
          <w:rFonts w:ascii="Nanum Gothic" w:cs="Nanum Gothic" w:eastAsia="Nanum Gothic" w:hAnsi="Nanum Gothic"/>
          <w:color w:val="ff0000"/>
        </w:rPr>
      </w:pPr>
      <w:r w:rsidDel="00000000" w:rsidR="00000000" w:rsidRPr="00000000">
        <w:rPr>
          <w:rFonts w:ascii="Nanum Gothic" w:cs="Nanum Gothic" w:eastAsia="Nanum Gothic" w:hAnsi="Nanum Gothic"/>
          <w:color w:val="ff0000"/>
          <w:rtl w:val="0"/>
        </w:rPr>
        <w:t xml:space="preserve">본 연구는.. (내용 추가 예정)</w:t>
      </w:r>
    </w:p>
    <w:p w:rsidR="00000000" w:rsidDel="00000000" w:rsidP="00000000" w:rsidRDefault="00000000" w:rsidRPr="00000000" w14:paraId="00000246">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향후 연구에서는 현재 진행 중인 구조조정 결과를 반영하고, 시나리오별 민감도 분석을 확대할 예정이다. 또한, 탈탄소 전환에 따른 고용 영향, 지역경제 파급효과 등 사회경제적 분석을 추가로 수행할 계획이다.</w:t>
      </w:r>
    </w:p>
    <w:p w:rsidR="00000000" w:rsidDel="00000000" w:rsidP="00000000" w:rsidRDefault="00000000" w:rsidRPr="00000000" w14:paraId="00000247">
      <w:pPr>
        <w:spacing w:after="200" w:line="276"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석유화학 산업의 탈탄소 전환은 불가피한 흐름이다. 문제는 전환의 여부가 아니라 속도와 방식이다. 조기에 행동할수록 좌초자산 위험은 감소하고 신기술 선점의 기회는 확대된다. 한국 석유화학 산업이 위기를 기회로 전환하기 위해서는 기업의 적극적 투자, 정부의 체계적 지원, 사회적 합의가 동시에 이루어져야 한다.</w:t>
      </w:r>
    </w:p>
    <w:p w:rsidR="00000000" w:rsidDel="00000000" w:rsidP="00000000" w:rsidRDefault="00000000" w:rsidRPr="00000000" w14:paraId="00000248">
      <w:pPr>
        <w:pStyle w:val="Heading1"/>
        <w:rPr>
          <w:rFonts w:ascii="Nanum Gothic" w:cs="Nanum Gothic" w:eastAsia="Nanum Gothic" w:hAnsi="Nanum Gothic"/>
          <w:b w:val="0"/>
          <w:bCs w:val="0"/>
        </w:rPr>
      </w:pPr>
      <w:r w:rsidDel="00000000" w:rsidR="00000000" w:rsidRPr="00000000">
        <w:rPr>
          <w:rFonts w:ascii="Nanum Gothic" w:cs="Nanum Gothic" w:eastAsia="Nanum Gothic" w:hAnsi="Nanum Gothic"/>
          <w:b w:val="0"/>
          <w:bCs w:val="0"/>
          <w:rtl w:val="0"/>
        </w:rPr>
        <w:t xml:space="preserve">참고문헌 (References)</w:t>
      </w:r>
    </w:p>
    <w:p w:rsidR="00000000" w:rsidDel="00000000" w:rsidP="00000000" w:rsidRDefault="00000000" w:rsidRPr="00000000" w14:paraId="00000249">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 독일 CCfD 정책</w:t>
      </w:r>
    </w:p>
    <w:p w:rsidR="00000000" w:rsidDel="00000000" w:rsidP="00000000" w:rsidRDefault="00000000" w:rsidRPr="00000000" w14:paraId="0000024A">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Lexology, "Germany: Climate Protection Contracts - An interim assessment", 2024</w:t>
      </w:r>
      <w:r w:rsidDel="00000000" w:rsidR="00000000" w:rsidRPr="00000000">
        <w:rPr>
          <w:rtl w:val="0"/>
        </w:rPr>
      </w:r>
    </w:p>
    <w:p w:rsidR="00000000" w:rsidDel="00000000" w:rsidP="00000000" w:rsidRDefault="00000000" w:rsidRPr="00000000" w14:paraId="0000024B">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https://www.lexology.com/library/detail.aspx?g=00f45a50-ab3e-4ec2-8647-e5c67deac9eb</w:t>
      </w:r>
      <w:r w:rsidDel="00000000" w:rsidR="00000000" w:rsidRPr="00000000">
        <w:rPr>
          <w:rtl w:val="0"/>
        </w:rPr>
      </w:r>
    </w:p>
    <w:p w:rsidR="00000000" w:rsidDel="00000000" w:rsidP="00000000" w:rsidRDefault="00000000" w:rsidRPr="00000000" w14:paraId="0000024C">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 석유화학 탈탄소화 비용</w:t>
      </w:r>
    </w:p>
    <w:p w:rsidR="00000000" w:rsidDel="00000000" w:rsidP="00000000" w:rsidRDefault="00000000" w:rsidRPr="00000000" w14:paraId="0000024D">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ACS C&amp;EN, "Decarbonizing petrochemicals will cost nearly $800 billion", 2022</w:t>
      </w:r>
      <w:r w:rsidDel="00000000" w:rsidR="00000000" w:rsidRPr="00000000">
        <w:rPr>
          <w:rtl w:val="0"/>
        </w:rPr>
      </w:r>
    </w:p>
    <w:p w:rsidR="00000000" w:rsidDel="00000000" w:rsidP="00000000" w:rsidRDefault="00000000" w:rsidRPr="00000000" w14:paraId="0000024E">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https://cen.acs.org/business/Decarbonizing-petrochemicals-cost-nearly-800/100/i19</w:t>
      </w:r>
      <w:r w:rsidDel="00000000" w:rsidR="00000000" w:rsidRPr="00000000">
        <w:rPr>
          <w:rtl w:val="0"/>
        </w:rPr>
      </w:r>
    </w:p>
    <w:p w:rsidR="00000000" w:rsidDel="00000000" w:rsidP="00000000" w:rsidRDefault="00000000" w:rsidRPr="00000000" w14:paraId="0000024F">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[3] BloombergNEF 넷제로 분석</w:t>
      </w:r>
    </w:p>
    <w:p w:rsidR="00000000" w:rsidDel="00000000" w:rsidP="00000000" w:rsidRDefault="00000000" w:rsidRPr="00000000" w14:paraId="00000250">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BloombergNEF, "$759 Billion Required for a Net-Zero Petrochemicals Sector by 2050", 2022</w:t>
      </w:r>
      <w:r w:rsidDel="00000000" w:rsidR="00000000" w:rsidRPr="00000000">
        <w:rPr>
          <w:rtl w:val="0"/>
        </w:rPr>
      </w:r>
    </w:p>
    <w:p w:rsidR="00000000" w:rsidDel="00000000" w:rsidP="00000000" w:rsidRDefault="00000000" w:rsidRPr="00000000" w14:paraId="00000251">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https://about.bnef.com/insights/commodities/759-billion-required-for-a-net-zero-petrochemicals-sector-by-2050/</w:t>
      </w:r>
      <w:r w:rsidDel="00000000" w:rsidR="00000000" w:rsidRPr="00000000">
        <w:rPr>
          <w:rtl w:val="0"/>
        </w:rPr>
      </w:r>
    </w:p>
    <w:p w:rsidR="00000000" w:rsidDel="00000000" w:rsidP="00000000" w:rsidRDefault="00000000" w:rsidRPr="00000000" w14:paraId="00000252">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[4] BASF 전기 크래커</w:t>
      </w:r>
    </w:p>
    <w:p w:rsidR="00000000" w:rsidDel="00000000" w:rsidP="00000000" w:rsidRDefault="00000000" w:rsidRPr="00000000" w14:paraId="00000253">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BASF Press Release, "BASF, SABIC, and Linde celebrate the start-up of the world's first large-scale electrically heated steam cracking furnace", April 2024</w:t>
      </w:r>
      <w:r w:rsidDel="00000000" w:rsidR="00000000" w:rsidRPr="00000000">
        <w:rPr>
          <w:rtl w:val="0"/>
        </w:rPr>
      </w:r>
    </w:p>
    <w:p w:rsidR="00000000" w:rsidDel="00000000" w:rsidP="00000000" w:rsidRDefault="00000000" w:rsidRPr="00000000" w14:paraId="00000254">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https://www.basf.com/global/en/media/news-releases/2024/04/p-24-177</w:t>
      </w:r>
      <w:r w:rsidDel="00000000" w:rsidR="00000000" w:rsidRPr="00000000">
        <w:rPr>
          <w:rtl w:val="0"/>
        </w:rPr>
      </w:r>
    </w:p>
    <w:p w:rsidR="00000000" w:rsidDel="00000000" w:rsidP="00000000" w:rsidRDefault="00000000" w:rsidRPr="00000000" w14:paraId="00000255">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[5] K-Online 전기 크래커 분석</w:t>
      </w:r>
    </w:p>
    <w:p w:rsidR="00000000" w:rsidDel="00000000" w:rsidP="00000000" w:rsidRDefault="00000000" w:rsidRPr="00000000" w14:paraId="00000256">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K-Online, "World's First Electrically Heated Steam Cracking Furnace", 2024</w:t>
      </w:r>
      <w:r w:rsidDel="00000000" w:rsidR="00000000" w:rsidRPr="00000000">
        <w:rPr>
          <w:rtl w:val="0"/>
        </w:rPr>
      </w:r>
    </w:p>
    <w:p w:rsidR="00000000" w:rsidDel="00000000" w:rsidP="00000000" w:rsidRDefault="00000000" w:rsidRPr="00000000" w14:paraId="00000257">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https://www.k-online.com/en/media_news/k-mag/machinery-production/machinery-plants/electrically-heated-steam-cracking-basf-sabic-linde</w:t>
      </w:r>
      <w:r w:rsidDel="00000000" w:rsidR="00000000" w:rsidRPr="00000000">
        <w:rPr>
          <w:rtl w:val="0"/>
        </w:rPr>
      </w:r>
    </w:p>
    <w:p w:rsidR="00000000" w:rsidDel="00000000" w:rsidP="00000000" w:rsidRDefault="00000000" w:rsidRPr="00000000" w14:paraId="00000258">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[6] Linde Engineering 프로젝트</w:t>
      </w:r>
    </w:p>
    <w:p w:rsidR="00000000" w:rsidDel="00000000" w:rsidP="00000000" w:rsidRDefault="00000000" w:rsidRPr="00000000" w14:paraId="00000259">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Linde Engineering Press Release, September 2022</w:t>
      </w:r>
      <w:r w:rsidDel="00000000" w:rsidR="00000000" w:rsidRPr="00000000">
        <w:rPr>
          <w:rtl w:val="0"/>
        </w:rPr>
      </w:r>
    </w:p>
    <w:p w:rsidR="00000000" w:rsidDel="00000000" w:rsidP="00000000" w:rsidRDefault="00000000" w:rsidRPr="00000000" w14:paraId="0000025A">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https://www.linde-engineering.com/news-and-events/press-releases/2022/basf-sabic-linde-construction-world-first-demonstration-plant-largescale-electrically-heated-steam-cracker-furnaces</w:t>
      </w:r>
      <w:r w:rsidDel="00000000" w:rsidR="00000000" w:rsidRPr="00000000">
        <w:rPr>
          <w:rtl w:val="0"/>
        </w:rPr>
      </w:r>
    </w:p>
    <w:p w:rsidR="00000000" w:rsidDel="00000000" w:rsidP="00000000" w:rsidRDefault="00000000" w:rsidRPr="00000000" w14:paraId="0000025B">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[7] SABIC 프로젝트</w:t>
      </w:r>
    </w:p>
    <w:p w:rsidR="00000000" w:rsidDel="00000000" w:rsidP="00000000" w:rsidRDefault="00000000" w:rsidRPr="00000000" w14:paraId="0000025C">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SABIC News, "BASF, SABIC and Linde start Construction", September 2022</w:t>
      </w:r>
      <w:r w:rsidDel="00000000" w:rsidR="00000000" w:rsidRPr="00000000">
        <w:rPr>
          <w:rtl w:val="0"/>
        </w:rPr>
      </w:r>
    </w:p>
    <w:p w:rsidR="00000000" w:rsidDel="00000000" w:rsidP="00000000" w:rsidRDefault="00000000" w:rsidRPr="00000000" w14:paraId="0000025D">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https://www.sabic.com/en/news/36814-basf-sabic-and-linde-start-construction-of-the-worlds-first-large-scale-electrically-heated-steam-cracker-furnaces</w:t>
      </w:r>
      <w:r w:rsidDel="00000000" w:rsidR="00000000" w:rsidRPr="00000000">
        <w:rPr>
          <w:rtl w:val="0"/>
        </w:rPr>
      </w:r>
    </w:p>
    <w:p w:rsidR="00000000" w:rsidDel="00000000" w:rsidP="00000000" w:rsidRDefault="00000000" w:rsidRPr="00000000" w14:paraId="0000025E">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[8] MIT 전기 크래커 CAPEX 분석</w:t>
      </w:r>
    </w:p>
    <w:p w:rsidR="00000000" w:rsidDel="00000000" w:rsidP="00000000" w:rsidRDefault="00000000" w:rsidRPr="00000000" w14:paraId="0000025F">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MIT Energy Initiative, "Review of Electric Cracking of Hydrocarbons", Green Chemistry Journal, 2025</w:t>
      </w:r>
      <w:r w:rsidDel="00000000" w:rsidR="00000000" w:rsidRPr="00000000">
        <w:rPr>
          <w:rtl w:val="0"/>
        </w:rPr>
      </w:r>
    </w:p>
    <w:p w:rsidR="00000000" w:rsidDel="00000000" w:rsidP="00000000" w:rsidRDefault="00000000" w:rsidRPr="00000000" w14:paraId="00000260">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https://pubs.acs.org/doi/10.1021/acssuschemeng.2c03427</w:t>
      </w:r>
      <w:r w:rsidDel="00000000" w:rsidR="00000000" w:rsidRPr="00000000">
        <w:rPr>
          <w:rtl w:val="0"/>
        </w:rPr>
      </w:r>
    </w:p>
    <w:p w:rsidR="00000000" w:rsidDel="00000000" w:rsidP="00000000" w:rsidRDefault="00000000" w:rsidRPr="00000000" w14:paraId="00000261">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[9] Thunder Said Energy 비용 분석</w:t>
      </w:r>
    </w:p>
    <w:p w:rsidR="00000000" w:rsidDel="00000000" w:rsidP="00000000" w:rsidRDefault="00000000" w:rsidRPr="00000000" w14:paraId="00000262">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Thunder Said Energy, "Costs of ethylene production", 2023</w:t>
      </w:r>
      <w:r w:rsidDel="00000000" w:rsidR="00000000" w:rsidRPr="00000000">
        <w:rPr>
          <w:rtl w:val="0"/>
        </w:rPr>
      </w:r>
    </w:p>
    <w:p w:rsidR="00000000" w:rsidDel="00000000" w:rsidP="00000000" w:rsidRDefault="00000000" w:rsidRPr="00000000" w14:paraId="00000263">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https://thundersaidenergy.com/downloads/ethane-cracking-the-economics/</w:t>
      </w:r>
      <w:r w:rsidDel="00000000" w:rsidR="00000000" w:rsidRPr="00000000">
        <w:rPr>
          <w:rtl w:val="0"/>
        </w:rPr>
      </w:r>
    </w:p>
    <w:p w:rsidR="00000000" w:rsidDel="00000000" w:rsidP="00000000" w:rsidRDefault="00000000" w:rsidRPr="00000000" w14:paraId="00000264">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[10] 전기 크래커 시장 전망</w:t>
      </w:r>
    </w:p>
    <w:p w:rsidR="00000000" w:rsidDel="00000000" w:rsidP="00000000" w:rsidRDefault="00000000" w:rsidRPr="00000000" w14:paraId="00000265">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GlobeNewswire, "$28.42 Billion Electric Steam Cracker Market to 2040", December 2024</w:t>
      </w:r>
      <w:r w:rsidDel="00000000" w:rsidR="00000000" w:rsidRPr="00000000">
        <w:rPr>
          <w:rtl w:val="0"/>
        </w:rPr>
      </w:r>
    </w:p>
    <w:p w:rsidR="00000000" w:rsidDel="00000000" w:rsidP="00000000" w:rsidRDefault="00000000" w:rsidRPr="00000000" w14:paraId="00000266">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https://www.globenewswire.com/news-release/2024/12/19/2999590/28124/en/28-42-Billion-Electric-Steam-Cracker-Market-to-2040</w:t>
      </w:r>
      <w:r w:rsidDel="00000000" w:rsidR="00000000" w:rsidRPr="00000000">
        <w:rPr>
          <w:rtl w:val="0"/>
        </w:rPr>
      </w:r>
    </w:p>
    <w:p w:rsidR="00000000" w:rsidDel="00000000" w:rsidP="00000000" w:rsidRDefault="00000000" w:rsidRPr="00000000" w14:paraId="00000267">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[11] Shell-Dow e-Cracker</w:t>
      </w:r>
    </w:p>
    <w:p w:rsidR="00000000" w:rsidDel="00000000" w:rsidP="00000000" w:rsidRDefault="00000000" w:rsidRPr="00000000" w14:paraId="00000268">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Dow Press Release, "Shell and Dow start up e-cracking furnace experimental unit", 2022</w:t>
      </w:r>
      <w:r w:rsidDel="00000000" w:rsidR="00000000" w:rsidRPr="00000000">
        <w:rPr>
          <w:rtl w:val="0"/>
        </w:rPr>
      </w:r>
    </w:p>
    <w:p w:rsidR="00000000" w:rsidDel="00000000" w:rsidP="00000000" w:rsidRDefault="00000000" w:rsidRPr="00000000" w14:paraId="00000269">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https://nl.dow.com/en-us/news/shell-and-dow-start-up-e-cracking-furnace-experimental-unit.html</w:t>
      </w:r>
      <w:r w:rsidDel="00000000" w:rsidR="00000000" w:rsidRPr="00000000">
        <w:rPr>
          <w:rtl w:val="0"/>
        </w:rPr>
      </w:r>
    </w:p>
    <w:p w:rsidR="00000000" w:rsidDel="00000000" w:rsidP="00000000" w:rsidRDefault="00000000" w:rsidRPr="00000000" w14:paraId="0000026A">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[12] 일본 GX 정책</w:t>
      </w:r>
    </w:p>
    <w:p w:rsidR="00000000" w:rsidDel="00000000" w:rsidP="00000000" w:rsidRDefault="00000000" w:rsidRPr="00000000" w14:paraId="0000026B">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GR Japan, "Japan's Green Transformation (GX) Plans Updates", January 2024</w:t>
      </w:r>
      <w:r w:rsidDel="00000000" w:rsidR="00000000" w:rsidRPr="00000000">
        <w:rPr>
          <w:rtl w:val="0"/>
        </w:rPr>
      </w:r>
    </w:p>
    <w:p w:rsidR="00000000" w:rsidDel="00000000" w:rsidP="00000000" w:rsidRDefault="00000000" w:rsidRPr="00000000" w14:paraId="0000026C">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https://grjapan.com/sites/default/files/content/articles/files/january_2024_gr_japan_update_on_gx_plans.pdf</w:t>
      </w:r>
      <w:r w:rsidDel="00000000" w:rsidR="00000000" w:rsidRPr="00000000">
        <w:rPr>
          <w:rtl w:val="0"/>
        </w:rPr>
      </w:r>
    </w:p>
    <w:p w:rsidR="00000000" w:rsidDel="00000000" w:rsidP="00000000" w:rsidRDefault="00000000" w:rsidRPr="00000000" w14:paraId="0000026D">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[13] METI GX-ETS 정책</w:t>
      </w:r>
    </w:p>
    <w:p w:rsidR="00000000" w:rsidDel="00000000" w:rsidP="00000000" w:rsidRDefault="00000000" w:rsidRPr="00000000" w14:paraId="0000026E">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METI, "排出量取引制度の詳細設計に向けた検討方針", July 2025</w:t>
      </w:r>
      <w:r w:rsidDel="00000000" w:rsidR="00000000" w:rsidRPr="00000000">
        <w:rPr>
          <w:rtl w:val="0"/>
        </w:rPr>
      </w:r>
    </w:p>
    <w:p w:rsidR="00000000" w:rsidDel="00000000" w:rsidP="00000000" w:rsidRDefault="00000000" w:rsidRPr="00000000" w14:paraId="0000026F">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https://www.meti.go.jp/shingikai/sankoshin/sangyo_gijutsu/emissions_trading/pdf/001_03_00.pdf</w:t>
      </w:r>
      <w:r w:rsidDel="00000000" w:rsidR="00000000" w:rsidRPr="00000000">
        <w:rPr>
          <w:rtl w:val="0"/>
        </w:rPr>
      </w:r>
    </w:p>
    <w:p w:rsidR="00000000" w:rsidDel="00000000" w:rsidP="00000000" w:rsidRDefault="00000000" w:rsidRPr="00000000" w14:paraId="00000270">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[14] ACS C&amp;EN 일본 탄소중립</w:t>
      </w:r>
    </w:p>
    <w:p w:rsidR="00000000" w:rsidDel="00000000" w:rsidP="00000000" w:rsidRDefault="00000000" w:rsidRPr="00000000" w14:paraId="00000271">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ACS C&amp;EN, "Japan's quest for carbon neutrality", 2023</w:t>
      </w:r>
      <w:r w:rsidDel="00000000" w:rsidR="00000000" w:rsidRPr="00000000">
        <w:rPr>
          <w:rtl w:val="0"/>
        </w:rPr>
      </w:r>
    </w:p>
    <w:p w:rsidR="00000000" w:rsidDel="00000000" w:rsidP="00000000" w:rsidRDefault="00000000" w:rsidRPr="00000000" w14:paraId="00000272">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https://cen.acs.org/environment/climate-change/Japans-quest-carbon-neutrality/101/i27</w:t>
      </w:r>
      <w:r w:rsidDel="00000000" w:rsidR="00000000" w:rsidRPr="00000000">
        <w:rPr>
          <w:rtl w:val="0"/>
        </w:rPr>
      </w:r>
    </w:p>
    <w:p w:rsidR="00000000" w:rsidDel="00000000" w:rsidP="00000000" w:rsidRDefault="00000000" w:rsidRPr="00000000" w14:paraId="00000273">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[15] 독일 CCfD 1차 입찰 결과</w:t>
      </w:r>
    </w:p>
    <w:p w:rsidR="00000000" w:rsidDel="00000000" w:rsidP="00000000" w:rsidRDefault="00000000" w:rsidRPr="00000000" w14:paraId="00000274">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Klimaschutzvertraege.info, "Handover CCfDs first bidding round", October 2024</w:t>
      </w:r>
      <w:r w:rsidDel="00000000" w:rsidR="00000000" w:rsidRPr="00000000">
        <w:rPr>
          <w:rtl w:val="0"/>
        </w:rPr>
      </w:r>
    </w:p>
    <w:p w:rsidR="00000000" w:rsidDel="00000000" w:rsidP="00000000" w:rsidRDefault="00000000" w:rsidRPr="00000000" w14:paraId="00000275">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https://www.klimaschutzvertraege.info/news/habeck_hands_over_ccfds</w:t>
      </w:r>
      <w:r w:rsidDel="00000000" w:rsidR="00000000" w:rsidRPr="00000000">
        <w:rPr>
          <w:rtl w:val="0"/>
        </w:rPr>
      </w:r>
    </w:p>
    <w:p w:rsidR="00000000" w:rsidDel="00000000" w:rsidP="00000000" w:rsidRDefault="00000000" w:rsidRPr="00000000" w14:paraId="00000276">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[16] EU ETS 무상할당</w:t>
      </w:r>
    </w:p>
    <w:p w:rsidR="00000000" w:rsidDel="00000000" w:rsidP="00000000" w:rsidRDefault="00000000" w:rsidRPr="00000000" w14:paraId="00000277">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European Commission, "Allocation to industrial installations - EU Climate Action"</w:t>
      </w:r>
      <w:r w:rsidDel="00000000" w:rsidR="00000000" w:rsidRPr="00000000">
        <w:rPr>
          <w:rtl w:val="0"/>
        </w:rPr>
      </w:r>
    </w:p>
    <w:p w:rsidR="00000000" w:rsidDel="00000000" w:rsidP="00000000" w:rsidRDefault="00000000" w:rsidRPr="00000000" w14:paraId="00000278">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https://climate.ec.europa.eu/eu-action/eu-emissions-trading-system-eu-ets/free-allocation/allocation-industrial-installations_en</w:t>
      </w:r>
      <w:r w:rsidDel="00000000" w:rsidR="00000000" w:rsidRPr="00000000">
        <w:rPr>
          <w:rtl w:val="0"/>
        </w:rPr>
      </w:r>
    </w:p>
    <w:p w:rsidR="00000000" w:rsidDel="00000000" w:rsidP="00000000" w:rsidRDefault="00000000" w:rsidRPr="00000000" w14:paraId="00000279">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[17] 중국 14차 5개년 석유화학 계획</w:t>
      </w:r>
    </w:p>
    <w:p w:rsidR="00000000" w:rsidDel="00000000" w:rsidP="00000000" w:rsidRDefault="00000000" w:rsidRPr="00000000" w14:paraId="0000027A">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Azure International, "China 14th FYP for petrochemical industry", 2022</w:t>
      </w:r>
      <w:r w:rsidDel="00000000" w:rsidR="00000000" w:rsidRPr="00000000">
        <w:rPr>
          <w:rtl w:val="0"/>
        </w:rPr>
      </w:r>
    </w:p>
    <w:p w:rsidR="00000000" w:rsidDel="00000000" w:rsidP="00000000" w:rsidRDefault="00000000" w:rsidRPr="00000000" w14:paraId="0000027B">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https://www.azure-international.com/the-14th-five-year-plan-promotes-the-high-quality-development-of-the-petrochemical-industry/</w:t>
      </w:r>
      <w:r w:rsidDel="00000000" w:rsidR="00000000" w:rsidRPr="00000000">
        <w:rPr>
          <w:rtl w:val="0"/>
        </w:rPr>
      </w:r>
    </w:p>
    <w:p w:rsidR="00000000" w:rsidDel="00000000" w:rsidP="00000000" w:rsidRDefault="00000000" w:rsidRPr="00000000" w14:paraId="0000027C">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[18] 중국 에너지절약 탄소감축 행동계획</w:t>
      </w:r>
    </w:p>
    <w:p w:rsidR="00000000" w:rsidDel="00000000" w:rsidP="00000000" w:rsidRDefault="00000000" w:rsidRPr="00000000" w14:paraId="0000027D">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Sino-German Climate Cooperation, "China Issues Action Plan for Energy Saving and Carbon Reduction 2024-2025"</w:t>
      </w:r>
      <w:r w:rsidDel="00000000" w:rsidR="00000000" w:rsidRPr="00000000">
        <w:rPr>
          <w:rtl w:val="0"/>
        </w:rPr>
      </w:r>
    </w:p>
    <w:p w:rsidR="00000000" w:rsidDel="00000000" w:rsidP="00000000" w:rsidRDefault="00000000" w:rsidRPr="00000000" w14:paraId="0000027E">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https://climatecooperation.cn/climate/china-issues-action-plan-for-energy-saving-and-carbon-reduction-2024-2025/</w:t>
      </w:r>
      <w:r w:rsidDel="00000000" w:rsidR="00000000" w:rsidRPr="00000000">
        <w:rPr>
          <w:rtl w:val="0"/>
        </w:rPr>
      </w:r>
    </w:p>
    <w:p w:rsidR="00000000" w:rsidDel="00000000" w:rsidP="00000000" w:rsidRDefault="00000000" w:rsidRPr="00000000" w14:paraId="0000027F">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[19] 중국 녹색금융 정책</w:t>
      </w:r>
    </w:p>
    <w:p w:rsidR="00000000" w:rsidDel="00000000" w:rsidP="00000000" w:rsidRDefault="00000000" w:rsidRPr="00000000" w14:paraId="00000280">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Green Finance &amp; Development Center, "China's Green Finance Policy Landscape", 2024</w:t>
      </w:r>
      <w:r w:rsidDel="00000000" w:rsidR="00000000" w:rsidRPr="00000000">
        <w:rPr>
          <w:rtl w:val="0"/>
        </w:rPr>
      </w:r>
    </w:p>
    <w:p w:rsidR="00000000" w:rsidDel="00000000" w:rsidP="00000000" w:rsidRDefault="00000000" w:rsidRPr="00000000" w14:paraId="00000281">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https://greenfdc.org/green-finance-trends-in-china-1-chinas-green-finance-policy-landscape/</w:t>
      </w:r>
      <w:r w:rsidDel="00000000" w:rsidR="00000000" w:rsidRPr="00000000">
        <w:rPr>
          <w:rtl w:val="0"/>
        </w:rPr>
      </w:r>
    </w:p>
    <w:p w:rsidR="00000000" w:rsidDel="00000000" w:rsidP="00000000" w:rsidRDefault="00000000" w:rsidRPr="00000000" w14:paraId="00000282">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[20] Sinopec 수소 투자</w:t>
      </w:r>
    </w:p>
    <w:p w:rsidR="00000000" w:rsidDel="00000000" w:rsidP="00000000" w:rsidRDefault="00000000" w:rsidRPr="00000000" w14:paraId="00000283">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South China Morning Post, "Sinopec plans to spend US$4.6 billion on hydrogen supply chain", 2021</w:t>
      </w:r>
      <w:r w:rsidDel="00000000" w:rsidR="00000000" w:rsidRPr="00000000">
        <w:rPr>
          <w:rtl w:val="0"/>
        </w:rPr>
      </w:r>
    </w:p>
    <w:p w:rsidR="00000000" w:rsidDel="00000000" w:rsidP="00000000" w:rsidRDefault="00000000" w:rsidRPr="00000000" w14:paraId="00000284">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https://www.scmp.com/business/companies/article/3146870/chinas-carbon-neutral-goal-sinopec-plans-spend-30-billion-yuan</w:t>
      </w:r>
      <w:r w:rsidDel="00000000" w:rsidR="00000000" w:rsidRPr="00000000">
        <w:rPr>
          <w:rtl w:val="0"/>
        </w:rPr>
      </w:r>
    </w:p>
    <w:p w:rsidR="00000000" w:rsidDel="00000000" w:rsidP="00000000" w:rsidRDefault="00000000" w:rsidRPr="00000000" w14:paraId="00000285">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[21] 중국 국영석유기업 에너지전환</w:t>
      </w:r>
    </w:p>
    <w:p w:rsidR="00000000" w:rsidDel="00000000" w:rsidP="00000000" w:rsidRDefault="00000000" w:rsidRPr="00000000" w14:paraId="00000286">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Columbia University CGEP, "Green Giants? China's NOCs Prepare for Energy Transition", 2023</w:t>
      </w:r>
      <w:r w:rsidDel="00000000" w:rsidR="00000000" w:rsidRPr="00000000">
        <w:rPr>
          <w:rtl w:val="0"/>
        </w:rPr>
      </w:r>
    </w:p>
    <w:p w:rsidR="00000000" w:rsidDel="00000000" w:rsidP="00000000" w:rsidRDefault="00000000" w:rsidRPr="00000000" w14:paraId="00000287">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https://www.energypolicy.columbia.edu/wp-content/uploads/2021/09/ChinaNOCs_CGEP_Report_121223.pdf</w:t>
      </w:r>
      <w:r w:rsidDel="00000000" w:rsidR="00000000" w:rsidRPr="00000000">
        <w:rPr>
          <w:rtl w:val="0"/>
        </w:rPr>
      </w:r>
    </w:p>
    <w:p w:rsidR="00000000" w:rsidDel="00000000" w:rsidP="00000000" w:rsidRDefault="00000000" w:rsidRPr="00000000" w14:paraId="00000288">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[22-25] 한국 기업 재무제표</w:t>
      </w:r>
    </w:p>
    <w:p w:rsidR="00000000" w:rsidDel="00000000" w:rsidP="00000000" w:rsidRDefault="00000000" w:rsidRPr="00000000" w14:paraId="00000289">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DART 전자공시시스템, LG화학/롯데케미칼/한화솔루션/SK이노베이션 2024년 사업보고서</w:t>
      </w:r>
      <w:r w:rsidDel="00000000" w:rsidR="00000000" w:rsidRPr="00000000">
        <w:rPr>
          <w:rtl w:val="0"/>
        </w:rPr>
      </w:r>
    </w:p>
    <w:p w:rsidR="00000000" w:rsidDel="00000000" w:rsidP="00000000" w:rsidRDefault="00000000" w:rsidRPr="00000000" w14:paraId="0000028A">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https://dart.fss.or.kr/</w:t>
      </w:r>
      <w:r w:rsidDel="00000000" w:rsidR="00000000" w:rsidRPr="00000000">
        <w:rPr>
          <w:rtl w:val="0"/>
        </w:rPr>
      </w:r>
    </w:p>
    <w:p w:rsidR="00000000" w:rsidDel="00000000" w:rsidP="00000000" w:rsidRDefault="00000000" w:rsidRPr="00000000" w14:paraId="0000028B">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[26] BASF 히트펌프 프로젝트</w:t>
      </w:r>
    </w:p>
    <w:p w:rsidR="00000000" w:rsidDel="00000000" w:rsidP="00000000" w:rsidRDefault="00000000" w:rsidRPr="00000000" w14:paraId="0000028C">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Pudaily, "BASF Heat Pump Groundbreaking Ceremony", 2024</w:t>
      </w:r>
      <w:r w:rsidDel="00000000" w:rsidR="00000000" w:rsidRPr="00000000">
        <w:rPr>
          <w:rtl w:val="0"/>
        </w:rPr>
      </w:r>
    </w:p>
    <w:p w:rsidR="00000000" w:rsidDel="00000000" w:rsidP="00000000" w:rsidRDefault="00000000" w:rsidRPr="00000000" w14:paraId="0000028D">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https://www.pudaily.com/Home/NewsDetails/59059</w:t>
      </w:r>
      <w:r w:rsidDel="00000000" w:rsidR="00000000" w:rsidRPr="00000000">
        <w:rPr>
          <w:rtl w:val="0"/>
        </w:rPr>
      </w:r>
    </w:p>
    <w:p w:rsidR="00000000" w:rsidDel="00000000" w:rsidP="00000000" w:rsidRDefault="00000000" w:rsidRPr="00000000" w14:paraId="0000028E">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[27] 일본 화학기업 탄소중립</w:t>
      </w:r>
    </w:p>
    <w:p w:rsidR="00000000" w:rsidDel="00000000" w:rsidP="00000000" w:rsidRDefault="00000000" w:rsidRPr="00000000" w14:paraId="0000028F">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Kcomber, "Japanese chemical companies carbon neutrality path", 2023</w:t>
      </w:r>
      <w:r w:rsidDel="00000000" w:rsidR="00000000" w:rsidRPr="00000000">
        <w:rPr>
          <w:rtl w:val="0"/>
        </w:rPr>
      </w:r>
    </w:p>
    <w:p w:rsidR="00000000" w:rsidDel="00000000" w:rsidP="00000000" w:rsidRDefault="00000000" w:rsidRPr="00000000" w14:paraId="00000290">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http://www.carbon.kcomber.com/en/news/b64409a9-ccad-480f-baa7-4acb5ee1e910</w:t>
      </w:r>
      <w:r w:rsidDel="00000000" w:rsidR="00000000" w:rsidRPr="00000000">
        <w:rPr>
          <w:rtl w:val="0"/>
        </w:rPr>
      </w:r>
    </w:p>
    <w:p w:rsidR="00000000" w:rsidDel="00000000" w:rsidP="00000000" w:rsidRDefault="00000000" w:rsidRPr="00000000" w14:paraId="00000291">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[28] Climate Action 100+ 중국 국영기업</w:t>
      </w:r>
    </w:p>
    <w:p w:rsidR="00000000" w:rsidDel="00000000" w:rsidP="00000000" w:rsidRDefault="00000000" w:rsidRPr="00000000" w14:paraId="00000292">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Climate Action 100+, "Enhancing Collaborative Engagement with China's SOEs"</w:t>
      </w:r>
      <w:r w:rsidDel="00000000" w:rsidR="00000000" w:rsidRPr="00000000">
        <w:rPr>
          <w:rtl w:val="0"/>
        </w:rPr>
      </w:r>
    </w:p>
    <w:p w:rsidR="00000000" w:rsidDel="00000000" w:rsidP="00000000" w:rsidRDefault="00000000" w:rsidRPr="00000000" w14:paraId="00000293">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https://www.climateaction100.org/news/enhancing-collaborative-engagement-with-chinas-state-owned-enterprises-soes/</w:t>
      </w:r>
      <w:r w:rsidDel="00000000" w:rsidR="00000000" w:rsidRPr="00000000">
        <w:rPr>
          <w:rtl w:val="0"/>
        </w:rPr>
      </w:r>
    </w:p>
    <w:p w:rsidR="00000000" w:rsidDel="00000000" w:rsidP="00000000" w:rsidRDefault="00000000" w:rsidRPr="00000000" w14:paraId="00000294">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[29] 중국 에너지전환 금융</w:t>
      </w:r>
    </w:p>
    <w:p w:rsidR="00000000" w:rsidDel="00000000" w:rsidP="00000000" w:rsidRDefault="00000000" w:rsidRPr="00000000" w14:paraId="00000295">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World Economic Forum, "4 crucial insights from China on financing energy transition", 2024</w:t>
      </w:r>
      <w:r w:rsidDel="00000000" w:rsidR="00000000" w:rsidRPr="00000000">
        <w:rPr>
          <w:rtl w:val="0"/>
        </w:rPr>
      </w:r>
    </w:p>
    <w:p w:rsidR="00000000" w:rsidDel="00000000" w:rsidP="00000000" w:rsidRDefault="00000000" w:rsidRPr="00000000" w14:paraId="00000296">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https://www.weforum.org/stories/2024/08/china-green-financing-energy-transition/</w:t>
      </w:r>
      <w:r w:rsidDel="00000000" w:rsidR="00000000" w:rsidRPr="00000000">
        <w:rPr>
          <w:rtl w:val="0"/>
        </w:rPr>
      </w:r>
    </w:p>
    <w:p w:rsidR="00000000" w:rsidDel="00000000" w:rsidP="00000000" w:rsidRDefault="00000000" w:rsidRPr="00000000" w14:paraId="00000297">
      <w:pPr>
        <w:spacing w:after="100" w:before="200" w:lineRule="auto"/>
        <w:rPr>
          <w:rFonts w:ascii="Nanum Gothic" w:cs="Nanum Gothic" w:eastAsia="Nanum Gothic" w:hAnsi="Nanum Gothic"/>
        </w:rPr>
      </w:pPr>
      <w:r w:rsidDel="00000000" w:rsidR="00000000" w:rsidRPr="00000000">
        <w:rPr>
          <w:rFonts w:ascii="Nanum Gothic" w:cs="Nanum Gothic" w:eastAsia="Nanum Gothic" w:hAnsi="Nanum Gothic"/>
          <w:rtl w:val="0"/>
        </w:rPr>
        <w:t xml:space="preserve">[30] Sinopec CCUS</w:t>
      </w:r>
    </w:p>
    <w:p w:rsidR="00000000" w:rsidDel="00000000" w:rsidP="00000000" w:rsidRDefault="00000000" w:rsidRPr="00000000" w14:paraId="00000298">
      <w:pPr>
        <w:spacing w:after="80" w:lineRule="auto"/>
        <w:rPr>
          <w:rFonts w:ascii="Nanum Gothic" w:cs="Nanum Gothic" w:eastAsia="Nanum Gothic" w:hAnsi="Nanum Gothic"/>
        </w:rPr>
      </w:pPr>
      <w:r w:rsidDel="00000000" w:rsidR="00000000" w:rsidRPr="00000000">
        <w:rPr>
          <w:rFonts w:ascii="Nanum Gothic" w:cs="Nanum Gothic" w:eastAsia="Nanum Gothic" w:hAnsi="Nanum Gothic"/>
          <w:sz w:val="20"/>
          <w:szCs w:val="20"/>
          <w:rtl w:val="0"/>
        </w:rPr>
        <w:t xml:space="preserve">EnkiAI, "Sinopec Carbon Capture Initiatives for 2025"</w:t>
      </w:r>
      <w:r w:rsidDel="00000000" w:rsidR="00000000" w:rsidRPr="00000000">
        <w:rPr>
          <w:rtl w:val="0"/>
        </w:rPr>
      </w:r>
    </w:p>
    <w:p w:rsidR="00000000" w:rsidDel="00000000" w:rsidP="00000000" w:rsidRDefault="00000000" w:rsidRPr="00000000" w14:paraId="00000299">
      <w:pPr>
        <w:spacing w:after="150" w:lineRule="auto"/>
        <w:rPr>
          <w:rFonts w:ascii="Nanum Gothic" w:cs="Nanum Gothic" w:eastAsia="Nanum Gothic" w:hAnsi="Nanum Gothic"/>
        </w:rPr>
      </w:pPr>
      <w:r w:rsidDel="00000000" w:rsidR="00000000" w:rsidRPr="00000000">
        <w:rPr>
          <w:rFonts w:ascii="Nanum Gothic" w:cs="Nanum Gothic" w:eastAsia="Nanum Gothic" w:hAnsi="Nanum Gothic"/>
          <w:color w:val="0563c1"/>
          <w:sz w:val="18"/>
          <w:szCs w:val="18"/>
          <w:rtl w:val="0"/>
        </w:rPr>
        <w:t xml:space="preserve">https://enkiai.com/sinopec-carbon-capture-initiatives-for-2025-key-projects-strategies-and-market-impact</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Nanum Gothic">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jc w:val="center"/>
      <w:rPr/>
    </w:pP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A">
      <w:pPr>
        <w:rPr/>
      </w:pPr>
      <w:r w:rsidDel="00000000" w:rsidR="00000000" w:rsidRPr="00000000">
        <w:rPr>
          <w:rStyle w:val="FootnoteReference"/>
          <w:vertAlign w:val="superscript"/>
        </w:rPr>
        <w:footnoteRef/>
      </w:r>
      <w:r w:rsidDel="00000000" w:rsidR="00000000" w:rsidRPr="00000000">
        <w:rPr>
          <w:sz w:val="18"/>
          <w:szCs w:val="18"/>
          <w:rtl w:val="0"/>
        </w:rPr>
        <w:t xml:space="preserve">Lexology, Germany: Climate Protection Contracts - An interim assessment, 2024</w:t>
      </w:r>
      <w:r w:rsidDel="00000000" w:rsidR="00000000" w:rsidRPr="00000000">
        <w:rPr>
          <w:rtl w:val="0"/>
        </w:rPr>
      </w:r>
    </w:p>
  </w:footnote>
  <w:footnote w:id="1">
    <w:p w:rsidR="00000000" w:rsidDel="00000000" w:rsidP="00000000" w:rsidRDefault="00000000" w:rsidRPr="00000000" w14:paraId="0000029B">
      <w:pPr>
        <w:rPr/>
      </w:pPr>
      <w:r w:rsidDel="00000000" w:rsidR="00000000" w:rsidRPr="00000000">
        <w:rPr>
          <w:rStyle w:val="FootnoteReference"/>
          <w:vertAlign w:val="superscript"/>
        </w:rPr>
        <w:footnoteRef/>
      </w:r>
      <w:r w:rsidDel="00000000" w:rsidR="00000000" w:rsidRPr="00000000">
        <w:rPr>
          <w:sz w:val="18"/>
          <w:szCs w:val="18"/>
          <w:rtl w:val="0"/>
        </w:rPr>
        <w:t xml:space="preserve">Klimaschutzvertraege.info, Handover CCfDs first bidding round, October 2024</w:t>
      </w:r>
      <w:r w:rsidDel="00000000" w:rsidR="00000000" w:rsidRPr="00000000">
        <w:rPr>
          <w:rtl w:val="0"/>
        </w:rPr>
      </w:r>
    </w:p>
  </w:footnote>
  <w:footnote w:id="2">
    <w:p w:rsidR="00000000" w:rsidDel="00000000" w:rsidP="00000000" w:rsidRDefault="00000000" w:rsidRPr="00000000" w14:paraId="0000029C">
      <w:pPr>
        <w:rPr/>
      </w:pPr>
      <w:r w:rsidDel="00000000" w:rsidR="00000000" w:rsidRPr="00000000">
        <w:rPr>
          <w:rStyle w:val="FootnoteReference"/>
          <w:vertAlign w:val="superscript"/>
        </w:rPr>
        <w:footnoteRef/>
      </w:r>
      <w:r w:rsidDel="00000000" w:rsidR="00000000" w:rsidRPr="00000000">
        <w:rPr>
          <w:sz w:val="18"/>
          <w:szCs w:val="18"/>
          <w:rtl w:val="0"/>
        </w:rPr>
        <w:t xml:space="preserve">Pudaily, BASF Heat Pump Groundbreaking Ceremony, 2024</w:t>
      </w:r>
      <w:r w:rsidDel="00000000" w:rsidR="00000000" w:rsidRPr="00000000">
        <w:rPr>
          <w:rtl w:val="0"/>
        </w:rPr>
      </w:r>
    </w:p>
  </w:footnote>
  <w:footnote w:id="3">
    <w:p w:rsidR="00000000" w:rsidDel="00000000" w:rsidP="00000000" w:rsidRDefault="00000000" w:rsidRPr="00000000" w14:paraId="0000029D">
      <w:pPr>
        <w:rPr/>
      </w:pPr>
      <w:r w:rsidDel="00000000" w:rsidR="00000000" w:rsidRPr="00000000">
        <w:rPr>
          <w:rStyle w:val="FootnoteReference"/>
          <w:vertAlign w:val="superscript"/>
        </w:rPr>
        <w:footnoteRef/>
      </w:r>
      <w:r w:rsidDel="00000000" w:rsidR="00000000" w:rsidRPr="00000000">
        <w:rPr>
          <w:sz w:val="18"/>
          <w:szCs w:val="18"/>
          <w:rtl w:val="0"/>
        </w:rPr>
        <w:t xml:space="preserve">BASF Press Release, BASF, SABIC, and Linde celebrate the start-up of the world's first large-scale electrically heated steam cracking furnace, April 2024</w:t>
      </w:r>
      <w:r w:rsidDel="00000000" w:rsidR="00000000" w:rsidRPr="00000000">
        <w:rPr>
          <w:rtl w:val="0"/>
        </w:rPr>
      </w:r>
    </w:p>
  </w:footnote>
  <w:footnote w:id="4">
    <w:p w:rsidR="00000000" w:rsidDel="00000000" w:rsidP="00000000" w:rsidRDefault="00000000" w:rsidRPr="00000000" w14:paraId="0000029E">
      <w:pPr>
        <w:rPr/>
      </w:pPr>
      <w:r w:rsidDel="00000000" w:rsidR="00000000" w:rsidRPr="00000000">
        <w:rPr>
          <w:rStyle w:val="FootnoteReference"/>
          <w:vertAlign w:val="superscript"/>
        </w:rPr>
        <w:footnoteRef/>
      </w:r>
      <w:r w:rsidDel="00000000" w:rsidR="00000000" w:rsidRPr="00000000">
        <w:rPr>
          <w:sz w:val="18"/>
          <w:szCs w:val="18"/>
          <w:rtl w:val="0"/>
        </w:rPr>
        <w:t xml:space="preserve">Linde Engineering Press Release, September 2022</w:t>
      </w:r>
      <w:r w:rsidDel="00000000" w:rsidR="00000000" w:rsidRPr="00000000">
        <w:rPr>
          <w:rtl w:val="0"/>
        </w:rPr>
      </w:r>
    </w:p>
  </w:footnote>
  <w:footnote w:id="5">
    <w:p w:rsidR="00000000" w:rsidDel="00000000" w:rsidP="00000000" w:rsidRDefault="00000000" w:rsidRPr="00000000" w14:paraId="0000029F">
      <w:pPr>
        <w:rPr/>
      </w:pPr>
      <w:r w:rsidDel="00000000" w:rsidR="00000000" w:rsidRPr="00000000">
        <w:rPr>
          <w:rStyle w:val="FootnoteReference"/>
          <w:vertAlign w:val="superscript"/>
        </w:rPr>
        <w:footnoteRef/>
      </w:r>
      <w:r w:rsidDel="00000000" w:rsidR="00000000" w:rsidRPr="00000000">
        <w:rPr>
          <w:sz w:val="18"/>
          <w:szCs w:val="18"/>
          <w:rtl w:val="0"/>
        </w:rPr>
        <w:t xml:space="preserve">European Commission, Allocation to industrial installations - EU Climate Action</w:t>
      </w:r>
      <w:r w:rsidDel="00000000" w:rsidR="00000000" w:rsidRPr="00000000">
        <w:rPr>
          <w:rtl w:val="0"/>
        </w:rPr>
      </w:r>
    </w:p>
  </w:footnote>
  <w:footnote w:id="6">
    <w:p w:rsidR="00000000" w:rsidDel="00000000" w:rsidP="00000000" w:rsidRDefault="00000000" w:rsidRPr="00000000" w14:paraId="000002A0">
      <w:pPr>
        <w:rPr/>
      </w:pPr>
      <w:r w:rsidDel="00000000" w:rsidR="00000000" w:rsidRPr="00000000">
        <w:rPr>
          <w:rStyle w:val="FootnoteReference"/>
          <w:vertAlign w:val="superscript"/>
        </w:rPr>
        <w:footnoteRef/>
      </w:r>
      <w:r w:rsidDel="00000000" w:rsidR="00000000" w:rsidRPr="00000000">
        <w:rPr>
          <w:sz w:val="18"/>
          <w:szCs w:val="18"/>
          <w:rtl w:val="0"/>
        </w:rPr>
        <w:t xml:space="preserve">GR Japan, Japan's Green Transformation (GX) Plans Updates, January 2024</w:t>
      </w:r>
      <w:r w:rsidDel="00000000" w:rsidR="00000000" w:rsidRPr="00000000">
        <w:rPr>
          <w:rtl w:val="0"/>
        </w:rPr>
      </w:r>
    </w:p>
  </w:footnote>
  <w:footnote w:id="7">
    <w:p w:rsidR="00000000" w:rsidDel="00000000" w:rsidP="00000000" w:rsidRDefault="00000000" w:rsidRPr="00000000" w14:paraId="000002A1">
      <w:pPr>
        <w:rPr/>
      </w:pPr>
      <w:r w:rsidDel="00000000" w:rsidR="00000000" w:rsidRPr="00000000">
        <w:rPr>
          <w:rStyle w:val="FootnoteReference"/>
          <w:vertAlign w:val="superscript"/>
        </w:rPr>
        <w:footnoteRef/>
      </w:r>
      <w:r w:rsidDel="00000000" w:rsidR="00000000" w:rsidRPr="00000000">
        <w:rPr>
          <w:sz w:val="18"/>
          <w:szCs w:val="18"/>
          <w:rtl w:val="0"/>
        </w:rPr>
        <w:t xml:space="preserve">ACS C&amp;EN, Japan's quest for carbon neutrality, 2023</w:t>
      </w:r>
      <w:r w:rsidDel="00000000" w:rsidR="00000000" w:rsidRPr="00000000">
        <w:rPr>
          <w:rtl w:val="0"/>
        </w:rPr>
      </w:r>
    </w:p>
  </w:footnote>
  <w:footnote w:id="8">
    <w:p w:rsidR="00000000" w:rsidDel="00000000" w:rsidP="00000000" w:rsidRDefault="00000000" w:rsidRPr="00000000" w14:paraId="000002A2">
      <w:pPr>
        <w:rPr/>
      </w:pPr>
      <w:r w:rsidDel="00000000" w:rsidR="00000000" w:rsidRPr="00000000">
        <w:rPr>
          <w:rStyle w:val="FootnoteReference"/>
          <w:vertAlign w:val="superscript"/>
        </w:rPr>
        <w:footnoteRef/>
      </w:r>
      <w:r w:rsidDel="00000000" w:rsidR="00000000" w:rsidRPr="00000000">
        <w:rPr>
          <w:sz w:val="18"/>
          <w:szCs w:val="18"/>
          <w:rtl w:val="0"/>
        </w:rPr>
        <w:t xml:space="preserve">METI, 排出量取引制度の詳細設計に向けた検討方針, July 2025</w:t>
      </w:r>
      <w:r w:rsidDel="00000000" w:rsidR="00000000" w:rsidRPr="00000000">
        <w:rPr>
          <w:rtl w:val="0"/>
        </w:rPr>
      </w:r>
    </w:p>
  </w:footnote>
  <w:footnote w:id="9">
    <w:p w:rsidR="00000000" w:rsidDel="00000000" w:rsidP="00000000" w:rsidRDefault="00000000" w:rsidRPr="00000000" w14:paraId="000002A3">
      <w:pPr>
        <w:rPr/>
      </w:pPr>
      <w:r w:rsidDel="00000000" w:rsidR="00000000" w:rsidRPr="00000000">
        <w:rPr>
          <w:rStyle w:val="FootnoteReference"/>
          <w:vertAlign w:val="superscript"/>
        </w:rPr>
        <w:footnoteRef/>
      </w:r>
      <w:r w:rsidDel="00000000" w:rsidR="00000000" w:rsidRPr="00000000">
        <w:rPr>
          <w:sz w:val="18"/>
          <w:szCs w:val="18"/>
          <w:rtl w:val="0"/>
        </w:rPr>
        <w:t xml:space="preserve">Kcomber, Japanese chemical companies carbon neutrality path, 2023</w:t>
      </w:r>
      <w:r w:rsidDel="00000000" w:rsidR="00000000" w:rsidRPr="00000000">
        <w:rPr>
          <w:rtl w:val="0"/>
        </w:rPr>
      </w:r>
    </w:p>
  </w:footnote>
  <w:footnote w:id="10">
    <w:p w:rsidR="00000000" w:rsidDel="00000000" w:rsidP="00000000" w:rsidRDefault="00000000" w:rsidRPr="00000000" w14:paraId="000002A4">
      <w:pPr>
        <w:rPr/>
      </w:pPr>
      <w:r w:rsidDel="00000000" w:rsidR="00000000" w:rsidRPr="00000000">
        <w:rPr>
          <w:rStyle w:val="FootnoteReference"/>
          <w:vertAlign w:val="superscript"/>
        </w:rPr>
        <w:footnoteRef/>
      </w:r>
      <w:r w:rsidDel="00000000" w:rsidR="00000000" w:rsidRPr="00000000">
        <w:rPr>
          <w:sz w:val="18"/>
          <w:szCs w:val="18"/>
          <w:rtl w:val="0"/>
        </w:rPr>
        <w:t xml:space="preserve">Azure International, China 14th FYP for petrochemical industry, 2022</w:t>
      </w:r>
      <w:r w:rsidDel="00000000" w:rsidR="00000000" w:rsidRPr="00000000">
        <w:rPr>
          <w:rtl w:val="0"/>
        </w:rPr>
      </w:r>
    </w:p>
  </w:footnote>
  <w:footnote w:id="11">
    <w:p w:rsidR="00000000" w:rsidDel="00000000" w:rsidP="00000000" w:rsidRDefault="00000000" w:rsidRPr="00000000" w14:paraId="000002A5">
      <w:pPr>
        <w:rPr/>
      </w:pPr>
      <w:r w:rsidDel="00000000" w:rsidR="00000000" w:rsidRPr="00000000">
        <w:rPr>
          <w:rStyle w:val="FootnoteReference"/>
          <w:vertAlign w:val="superscript"/>
        </w:rPr>
        <w:footnoteRef/>
      </w:r>
      <w:r w:rsidDel="00000000" w:rsidR="00000000" w:rsidRPr="00000000">
        <w:rPr>
          <w:sz w:val="18"/>
          <w:szCs w:val="18"/>
          <w:rtl w:val="0"/>
        </w:rPr>
        <w:t xml:space="preserve">Green Finance &amp; Development Center, China's Green Finance Policy Landscape, 2024</w:t>
      </w:r>
      <w:r w:rsidDel="00000000" w:rsidR="00000000" w:rsidRPr="00000000">
        <w:rPr>
          <w:rtl w:val="0"/>
        </w:rPr>
      </w:r>
    </w:p>
  </w:footnote>
  <w:footnote w:id="12">
    <w:p w:rsidR="00000000" w:rsidDel="00000000" w:rsidP="00000000" w:rsidRDefault="00000000" w:rsidRPr="00000000" w14:paraId="000002A6">
      <w:pPr>
        <w:rPr/>
      </w:pPr>
      <w:r w:rsidDel="00000000" w:rsidR="00000000" w:rsidRPr="00000000">
        <w:rPr>
          <w:rStyle w:val="FootnoteReference"/>
          <w:vertAlign w:val="superscript"/>
        </w:rPr>
        <w:footnoteRef/>
      </w:r>
      <w:r w:rsidDel="00000000" w:rsidR="00000000" w:rsidRPr="00000000">
        <w:rPr>
          <w:sz w:val="18"/>
          <w:szCs w:val="18"/>
          <w:rtl w:val="0"/>
        </w:rPr>
        <w:t xml:space="preserve">World Economic Forum, 4 crucial insights from China on financing energy transition, 2024</w:t>
      </w:r>
      <w:r w:rsidDel="00000000" w:rsidR="00000000" w:rsidRPr="00000000">
        <w:rPr>
          <w:rtl w:val="0"/>
        </w:rPr>
      </w:r>
    </w:p>
  </w:footnote>
  <w:footnote w:id="13">
    <w:p w:rsidR="00000000" w:rsidDel="00000000" w:rsidP="00000000" w:rsidRDefault="00000000" w:rsidRPr="00000000" w14:paraId="000002A7">
      <w:pPr>
        <w:rPr/>
      </w:pPr>
      <w:r w:rsidDel="00000000" w:rsidR="00000000" w:rsidRPr="00000000">
        <w:rPr>
          <w:rStyle w:val="FootnoteReference"/>
          <w:vertAlign w:val="superscript"/>
        </w:rPr>
        <w:footnoteRef/>
      </w:r>
      <w:r w:rsidDel="00000000" w:rsidR="00000000" w:rsidRPr="00000000">
        <w:rPr>
          <w:sz w:val="18"/>
          <w:szCs w:val="18"/>
          <w:rtl w:val="0"/>
        </w:rPr>
        <w:t xml:space="preserve">Climate Action 100+, Enhancing Collaborative Engagement with China's SOEs</w:t>
      </w:r>
      <w:r w:rsidDel="00000000" w:rsidR="00000000" w:rsidRPr="00000000">
        <w:rPr>
          <w:rtl w:val="0"/>
        </w:rPr>
      </w:r>
    </w:p>
  </w:footnote>
  <w:footnote w:id="14">
    <w:p w:rsidR="00000000" w:rsidDel="00000000" w:rsidP="00000000" w:rsidRDefault="00000000" w:rsidRPr="00000000" w14:paraId="000002A8">
      <w:pPr>
        <w:rPr/>
      </w:pPr>
      <w:r w:rsidDel="00000000" w:rsidR="00000000" w:rsidRPr="00000000">
        <w:rPr>
          <w:rStyle w:val="FootnoteReference"/>
          <w:vertAlign w:val="superscript"/>
        </w:rPr>
        <w:footnoteRef/>
      </w:r>
      <w:r w:rsidDel="00000000" w:rsidR="00000000" w:rsidRPr="00000000">
        <w:rPr>
          <w:sz w:val="18"/>
          <w:szCs w:val="18"/>
          <w:rtl w:val="0"/>
        </w:rPr>
        <w:t xml:space="preserve">SCMP, Sinopec plans to spend US$4.6 billion on hydrogen supply chain, 2021</w:t>
      </w:r>
      <w:r w:rsidDel="00000000" w:rsidR="00000000" w:rsidRPr="00000000">
        <w:rPr>
          <w:rtl w:val="0"/>
        </w:rPr>
      </w:r>
    </w:p>
  </w:footnote>
  <w:footnote w:id="15">
    <w:p w:rsidR="00000000" w:rsidDel="00000000" w:rsidP="00000000" w:rsidRDefault="00000000" w:rsidRPr="00000000" w14:paraId="000002A9">
      <w:pPr>
        <w:rPr/>
      </w:pPr>
      <w:r w:rsidDel="00000000" w:rsidR="00000000" w:rsidRPr="00000000">
        <w:rPr>
          <w:rStyle w:val="FootnoteReference"/>
          <w:vertAlign w:val="superscript"/>
        </w:rPr>
        <w:footnoteRef/>
      </w:r>
      <w:r w:rsidDel="00000000" w:rsidR="00000000" w:rsidRPr="00000000">
        <w:rPr>
          <w:sz w:val="18"/>
          <w:szCs w:val="18"/>
          <w:rtl w:val="0"/>
        </w:rPr>
        <w:t xml:space="preserve">EnkiAI, Sinopec Carbon Capture Initiatives for 2025</w:t>
      </w:r>
      <w:r w:rsidDel="00000000" w:rsidR="00000000" w:rsidRPr="00000000">
        <w:rPr>
          <w:rtl w:val="0"/>
        </w:rPr>
      </w:r>
    </w:p>
  </w:footnote>
  <w:footnote w:id="16">
    <w:p w:rsidR="00000000" w:rsidDel="00000000" w:rsidP="00000000" w:rsidRDefault="00000000" w:rsidRPr="00000000" w14:paraId="000002AA">
      <w:pPr>
        <w:rPr/>
      </w:pPr>
      <w:r w:rsidDel="00000000" w:rsidR="00000000" w:rsidRPr="00000000">
        <w:rPr>
          <w:rStyle w:val="FootnoteReference"/>
          <w:vertAlign w:val="superscript"/>
        </w:rPr>
        <w:footnoteRef/>
      </w:r>
      <w:r w:rsidDel="00000000" w:rsidR="00000000" w:rsidRPr="00000000">
        <w:rPr>
          <w:sz w:val="18"/>
          <w:szCs w:val="18"/>
          <w:rtl w:val="0"/>
        </w:rPr>
        <w:t xml:space="preserve">Columbia University CGEP, Green Giants? China's NOCs Prepare for Energy Transition, 2023</w:t>
      </w:r>
      <w:r w:rsidDel="00000000" w:rsidR="00000000" w:rsidRPr="00000000">
        <w:rPr>
          <w:rtl w:val="0"/>
        </w:rPr>
      </w:r>
    </w:p>
  </w:footnote>
  <w:footnote w:id="17">
    <w:p w:rsidR="00000000" w:rsidDel="00000000" w:rsidP="00000000" w:rsidRDefault="00000000" w:rsidRPr="00000000" w14:paraId="000002AB">
      <w:pPr>
        <w:rPr/>
      </w:pPr>
      <w:r w:rsidDel="00000000" w:rsidR="00000000" w:rsidRPr="00000000">
        <w:rPr>
          <w:rStyle w:val="FootnoteReference"/>
          <w:vertAlign w:val="superscript"/>
        </w:rPr>
        <w:footnoteRef/>
      </w:r>
      <w:r w:rsidDel="00000000" w:rsidR="00000000" w:rsidRPr="00000000">
        <w:rPr>
          <w:sz w:val="18"/>
          <w:szCs w:val="18"/>
          <w:rtl w:val="0"/>
        </w:rPr>
        <w:t xml:space="preserve">Sino-German Climate Cooperation, China Issues Action Plan for Energy Saving 2024-2025</w:t>
      </w:r>
      <w:r w:rsidDel="00000000" w:rsidR="00000000" w:rsidRPr="00000000">
        <w:rPr>
          <w:rtl w:val="0"/>
        </w:rPr>
      </w:r>
    </w:p>
  </w:footnote>
  <w:footnote w:id="18">
    <w:p w:rsidR="00000000" w:rsidDel="00000000" w:rsidP="00000000" w:rsidRDefault="00000000" w:rsidRPr="00000000" w14:paraId="000002AC">
      <w:pPr>
        <w:rPr/>
      </w:pPr>
      <w:r w:rsidDel="00000000" w:rsidR="00000000" w:rsidRPr="00000000">
        <w:rPr>
          <w:rStyle w:val="FootnoteReference"/>
          <w:vertAlign w:val="superscript"/>
        </w:rPr>
        <w:footnoteRef/>
      </w:r>
      <w:r w:rsidDel="00000000" w:rsidR="00000000" w:rsidRPr="00000000">
        <w:rPr>
          <w:sz w:val="18"/>
          <w:szCs w:val="18"/>
          <w:rtl w:val="0"/>
        </w:rPr>
        <w:t xml:space="preserve">MIT Energy Initiative, Green Chemistry Journal, 2025</w:t>
      </w:r>
      <w:r w:rsidDel="00000000" w:rsidR="00000000" w:rsidRPr="00000000">
        <w:rPr>
          <w:rtl w:val="0"/>
        </w:rPr>
      </w:r>
    </w:p>
  </w:footnote>
  <w:footnote w:id="19">
    <w:p w:rsidR="00000000" w:rsidDel="00000000" w:rsidP="00000000" w:rsidRDefault="00000000" w:rsidRPr="00000000" w14:paraId="000002AD">
      <w:pPr>
        <w:rPr/>
      </w:pPr>
      <w:r w:rsidDel="00000000" w:rsidR="00000000" w:rsidRPr="00000000">
        <w:rPr>
          <w:rStyle w:val="FootnoteReference"/>
          <w:vertAlign w:val="superscript"/>
        </w:rPr>
        <w:footnoteRef/>
      </w:r>
      <w:r w:rsidDel="00000000" w:rsidR="00000000" w:rsidRPr="00000000">
        <w:rPr>
          <w:sz w:val="18"/>
          <w:szCs w:val="18"/>
          <w:rtl w:val="0"/>
        </w:rPr>
        <w:t xml:space="preserve">Thunder Said Energy, Costs of ethylene production, 2023</w:t>
      </w:r>
      <w:r w:rsidDel="00000000" w:rsidR="00000000" w:rsidRPr="00000000">
        <w:rPr>
          <w:rtl w:val="0"/>
        </w:rPr>
      </w:r>
    </w:p>
  </w:footnote>
  <w:footnote w:id="20">
    <w:p w:rsidR="00000000" w:rsidDel="00000000" w:rsidP="00000000" w:rsidRDefault="00000000" w:rsidRPr="00000000" w14:paraId="000002AE">
      <w:pPr>
        <w:rPr/>
      </w:pPr>
      <w:r w:rsidDel="00000000" w:rsidR="00000000" w:rsidRPr="00000000">
        <w:rPr>
          <w:rStyle w:val="FootnoteReference"/>
          <w:vertAlign w:val="superscript"/>
        </w:rPr>
        <w:footnoteRef/>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footnote>
  <w:footnote w:id="21">
    <w:p w:rsidR="00000000" w:rsidDel="00000000" w:rsidP="00000000" w:rsidRDefault="00000000" w:rsidRPr="00000000" w14:paraId="000002B0">
      <w:pPr>
        <w:rPr/>
      </w:pPr>
      <w:r w:rsidDel="00000000" w:rsidR="00000000" w:rsidRPr="00000000">
        <w:rPr>
          <w:rStyle w:val="FootnoteReference"/>
          <w:vertAlign w:val="superscript"/>
        </w:rPr>
        <w:footnoteRef/>
      </w:r>
      <w:r w:rsidDel="00000000" w:rsidR="00000000" w:rsidRPr="00000000">
        <w:rPr>
          <w:sz w:val="18"/>
          <w:szCs w:val="18"/>
          <w:rtl w:val="0"/>
        </w:rPr>
        <w:t xml:space="preserve">GlobeNewswire, $28.42 Billion Electric Steam Cracker Market to 2040, December 2024</w:t>
      </w:r>
      <w:r w:rsidDel="00000000" w:rsidR="00000000" w:rsidRPr="00000000">
        <w:rPr>
          <w:rtl w:val="0"/>
        </w:rPr>
      </w:r>
    </w:p>
  </w:footnote>
  <w:footnote w:id="22">
    <w:p w:rsidR="00000000" w:rsidDel="00000000" w:rsidP="00000000" w:rsidRDefault="00000000" w:rsidRPr="00000000" w14:paraId="000002B1">
      <w:pPr>
        <w:rPr/>
      </w:pPr>
      <w:r w:rsidDel="00000000" w:rsidR="00000000" w:rsidRPr="00000000">
        <w:rPr>
          <w:rStyle w:val="FootnoteReference"/>
          <w:vertAlign w:val="superscript"/>
        </w:rPr>
        <w:footnoteRef/>
      </w:r>
      <w:r w:rsidDel="00000000" w:rsidR="00000000" w:rsidRPr="00000000">
        <w:rPr>
          <w:sz w:val="18"/>
          <w:szCs w:val="18"/>
          <w:rtl w:val="0"/>
        </w:rPr>
        <w:t xml:space="preserve">BloombergNEF, $759 Billion Required for a Net-Zero Petrochemicals Sector by 2050, 2022</w:t>
      </w:r>
      <w:r w:rsidDel="00000000" w:rsidR="00000000" w:rsidRPr="00000000">
        <w:rPr>
          <w:rtl w:val="0"/>
        </w:rPr>
      </w:r>
    </w:p>
  </w:footnote>
  <w:footnote w:id="23">
    <w:p w:rsidR="00000000" w:rsidDel="00000000" w:rsidP="00000000" w:rsidRDefault="00000000" w:rsidRPr="00000000" w14:paraId="000002B2">
      <w:pPr>
        <w:rPr/>
      </w:pPr>
      <w:r w:rsidDel="00000000" w:rsidR="00000000" w:rsidRPr="00000000">
        <w:rPr>
          <w:rStyle w:val="FootnoteReference"/>
          <w:vertAlign w:val="superscript"/>
        </w:rPr>
        <w:footnoteRef/>
      </w:r>
      <w:r w:rsidDel="00000000" w:rsidR="00000000" w:rsidRPr="00000000">
        <w:rPr>
          <w:sz w:val="18"/>
          <w:szCs w:val="18"/>
          <w:rtl w:val="0"/>
        </w:rPr>
        <w:t xml:space="preserve">DART 전자공시시스템, LG화학 2024년 사업보고서</w:t>
      </w:r>
      <w:r w:rsidDel="00000000" w:rsidR="00000000" w:rsidRPr="00000000">
        <w:rPr>
          <w:rtl w:val="0"/>
        </w:rPr>
      </w:r>
    </w:p>
  </w:footnote>
  <w:footnote w:id="24">
    <w:p w:rsidR="00000000" w:rsidDel="00000000" w:rsidP="00000000" w:rsidRDefault="00000000" w:rsidRPr="00000000" w14:paraId="000002B3">
      <w:pPr>
        <w:rPr/>
      </w:pPr>
      <w:r w:rsidDel="00000000" w:rsidR="00000000" w:rsidRPr="00000000">
        <w:rPr>
          <w:rStyle w:val="FootnoteReference"/>
          <w:vertAlign w:val="superscript"/>
        </w:rPr>
        <w:footnoteRef/>
      </w:r>
      <w:r w:rsidDel="00000000" w:rsidR="00000000" w:rsidRPr="00000000">
        <w:rPr>
          <w:sz w:val="18"/>
          <w:szCs w:val="18"/>
          <w:rtl w:val="0"/>
        </w:rPr>
        <w:t xml:space="preserve">DART 전자공시시스템, 롯데케미칼 2024년 사업보고서</w:t>
      </w:r>
      <w:r w:rsidDel="00000000" w:rsidR="00000000" w:rsidRPr="00000000">
        <w:rPr>
          <w:rtl w:val="0"/>
        </w:rPr>
      </w:r>
    </w:p>
  </w:footnote>
  <w:footnote w:id="25">
    <w:p w:rsidR="00000000" w:rsidDel="00000000" w:rsidP="00000000" w:rsidRDefault="00000000" w:rsidRPr="00000000" w14:paraId="000002B4">
      <w:pPr>
        <w:rPr/>
      </w:pPr>
      <w:r w:rsidDel="00000000" w:rsidR="00000000" w:rsidRPr="00000000">
        <w:rPr>
          <w:rStyle w:val="FootnoteReference"/>
          <w:vertAlign w:val="superscript"/>
        </w:rPr>
        <w:footnoteRef/>
      </w:r>
      <w:r w:rsidDel="00000000" w:rsidR="00000000" w:rsidRPr="00000000">
        <w:rPr>
          <w:sz w:val="18"/>
          <w:szCs w:val="18"/>
          <w:rtl w:val="0"/>
        </w:rPr>
        <w:t xml:space="preserve">DART 전자공시시스템, 한화솔루션 2024년 사업보고서</w:t>
      </w:r>
      <w:r w:rsidDel="00000000" w:rsidR="00000000" w:rsidRPr="00000000">
        <w:rPr>
          <w:rtl w:val="0"/>
        </w:rPr>
      </w:r>
    </w:p>
  </w:footnote>
  <w:footnote w:id="26">
    <w:p w:rsidR="00000000" w:rsidDel="00000000" w:rsidP="00000000" w:rsidRDefault="00000000" w:rsidRPr="00000000" w14:paraId="000002B5">
      <w:pPr>
        <w:rPr/>
      </w:pPr>
      <w:r w:rsidDel="00000000" w:rsidR="00000000" w:rsidRPr="00000000">
        <w:rPr>
          <w:rStyle w:val="FootnoteReference"/>
          <w:vertAlign w:val="superscript"/>
        </w:rPr>
        <w:footnoteRef/>
      </w:r>
      <w:r w:rsidDel="00000000" w:rsidR="00000000" w:rsidRPr="00000000">
        <w:rPr>
          <w:sz w:val="18"/>
          <w:szCs w:val="18"/>
          <w:rtl w:val="0"/>
        </w:rPr>
        <w:t xml:space="preserve">DART 전자공시시스템, SK이노베이션 2024년 사업보고서</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jc w:val="right"/>
      <w:rPr/>
    </w:pPr>
    <w:r w:rsidDel="00000000" w:rsidR="00000000" w:rsidRPr="00000000">
      <w:rPr>
        <w:i w:val="1"/>
        <w:iCs w:val="1"/>
        <w:sz w:val="18"/>
        <w:szCs w:val="18"/>
        <w:rtl w:val="0"/>
      </w:rPr>
      <w:t xml:space="preserve">PLANiT Institute | 석유화학 탈탄소 분석</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K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Malgun Gothic" w:cs="Malgun Gothic" w:eastAsia="Malgun Gothic" w:hAnsi="Malgun Gothic"/>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Malgun Gothic" w:cs="Malgun Gothic" w:eastAsia="Malgun Gothic" w:hAnsi="Malgun Gothic"/>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algun Gothic" w:cs="Malgun Gothic" w:eastAsia="Malgun Gothic" w:hAnsi="Malgun Gothic"/>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anumGothic-regular.ttf"/><Relationship Id="rId2" Type="http://schemas.openxmlformats.org/officeDocument/2006/relationships/font" Target="fonts/Nanum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