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NCC 좌초자산 분석 보고서</w:t>
      </w:r>
    </w:p>
    <w:p>
      <w:pPr>
        <w:jc w:val="center"/>
      </w:pPr>
      <w:r>
        <w:t>Generated: 2026-01-20</w:t>
      </w:r>
    </w:p>
    <w:p/>
    <w:p>
      <w:pPr>
        <w:pStyle w:val="Heading2"/>
      </w:pPr>
      <w:r>
        <w:t>시나리오 비교표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수소기반 전환 (NCC-H2)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전기화 전환 (NCC-Elec)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생산경로</w:t>
            </w:r>
          </w:p>
        </w:tc>
        <w:tc>
          <w:tcPr>
            <w:tcW w:type="dxa" w:w="2880"/>
          </w:tcPr>
          <w:p>
            <w:r>
              <w:t>Shaheen 프로젝트 포함</w:t>
            </w:r>
          </w:p>
        </w:tc>
        <w:tc>
          <w:tcPr>
            <w:tcW w:type="dxa" w:w="2880"/>
          </w:tcPr>
          <w:p>
            <w:r>
              <w:t>Shaheen 프로젝트 포함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NCC 전환기술</w:t>
            </w:r>
          </w:p>
        </w:tc>
        <w:tc>
          <w:tcPr>
            <w:tcW w:type="dxa" w:w="2880"/>
          </w:tcPr>
          <w:p>
            <w:r>
              <w:t>수소 연소 크래커</w:t>
            </w:r>
          </w:p>
        </w:tc>
        <w:tc>
          <w:tcPr>
            <w:tcW w:type="dxa" w:w="2880"/>
          </w:tcPr>
          <w:p>
            <w:r>
              <w:t>전기 크래커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총 시설수</w:t>
            </w:r>
          </w:p>
        </w:tc>
        <w:tc>
          <w:tcPr>
            <w:tcW w:type="dxa" w:w="2880"/>
          </w:tcPr>
          <w:p>
            <w:r>
              <w:t>243개</w:t>
            </w:r>
          </w:p>
        </w:tc>
        <w:tc>
          <w:tcPr>
            <w:tcW w:type="dxa" w:w="2880"/>
          </w:tcPr>
          <w:p>
            <w:r>
              <w:t>243개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NCC 시설수</w:t>
            </w:r>
          </w:p>
        </w:tc>
        <w:tc>
          <w:tcPr>
            <w:tcW w:type="dxa" w:w="2880"/>
          </w:tcPr>
          <w:p>
            <w:r>
              <w:t>43개</w:t>
            </w:r>
          </w:p>
        </w:tc>
        <w:tc>
          <w:tcPr>
            <w:tcW w:type="dxa" w:w="2880"/>
          </w:tcPr>
          <w:p>
            <w:r>
              <w:t>43개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2025 배출량</w:t>
            </w:r>
          </w:p>
        </w:tc>
        <w:tc>
          <w:tcPr>
            <w:tcW w:type="dxa" w:w="2880"/>
          </w:tcPr>
          <w:p>
            <w:r>
              <w:t>59.2 MtCO2</w:t>
            </w:r>
          </w:p>
        </w:tc>
        <w:tc>
          <w:tcPr>
            <w:tcW w:type="dxa" w:w="2880"/>
          </w:tcPr>
          <w:p>
            <w:r>
              <w:t>59.2 MtCO2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2050 배출량</w:t>
            </w:r>
          </w:p>
        </w:tc>
        <w:tc>
          <w:tcPr>
            <w:tcW w:type="dxa" w:w="2880"/>
          </w:tcPr>
          <w:p>
            <w:r>
              <w:t>0 MtCO2 (Net Zero)</w:t>
            </w:r>
          </w:p>
        </w:tc>
        <w:tc>
          <w:tcPr>
            <w:tcW w:type="dxa" w:w="2880"/>
          </w:tcPr>
          <w:p>
            <w:r>
              <w:t>0 MtCO2 (Net Zero)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총 투자비</w:t>
            </w:r>
          </w:p>
        </w:tc>
        <w:tc>
          <w:tcPr>
            <w:tcW w:type="dxa" w:w="2880"/>
          </w:tcPr>
          <w:p>
            <w:r>
              <w:t>$129.1B</w:t>
            </w:r>
          </w:p>
        </w:tc>
        <w:tc>
          <w:tcPr>
            <w:tcW w:type="dxa" w:w="2880"/>
          </w:tcPr>
          <w:p>
            <w:r>
              <w:t>$163.3B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수소 수요 (2050)</w:t>
            </w:r>
          </w:p>
        </w:tc>
        <w:tc>
          <w:tcPr>
            <w:tcW w:type="dxa" w:w="2880"/>
          </w:tcPr>
          <w:p>
            <w:r>
              <w:t>4,546 kt</w:t>
            </w:r>
          </w:p>
        </w:tc>
        <w:tc>
          <w:tcPr>
            <w:tcW w:type="dxa" w:w="2880"/>
          </w:tcPr>
          <w:p>
            <w:r>
              <w:t>0 kt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전력 수요 (2050)</w:t>
            </w:r>
          </w:p>
        </w:tc>
        <w:tc>
          <w:tcPr>
            <w:tcW w:type="dxa" w:w="2880"/>
          </w:tcPr>
          <w:p>
            <w:r>
              <w:t>90.6 TWh</w:t>
            </w:r>
          </w:p>
        </w:tc>
        <w:tc>
          <w:tcPr>
            <w:tcW w:type="dxa" w:w="2880"/>
          </w:tcPr>
          <w:p>
            <w:r>
              <w:t>280.1 TWh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탄소예산 소진 (1.5°C)</w:t>
            </w:r>
          </w:p>
        </w:tc>
        <w:tc>
          <w:tcPr>
            <w:tcW w:type="dxa" w:w="2880"/>
          </w:tcPr>
          <w:p>
            <w:r>
              <w:t>2030년</w:t>
            </w:r>
          </w:p>
        </w:tc>
        <w:tc>
          <w:tcPr>
            <w:tcW w:type="dxa" w:w="2880"/>
          </w:tcPr>
          <w:p>
            <w:r>
              <w:t>2028년</w:t>
            </w:r>
          </w:p>
        </w:tc>
      </w:tr>
    </w:tbl>
    <w:p/>
    <w:p>
      <w:pPr>
        <w:pStyle w:val="Heading2"/>
      </w:pPr>
      <w:r>
        <w:t>좌초자산 분석표 (탄소예산 관점)</w:t>
      </w:r>
    </w:p>
    <w:p>
      <w:pPr>
        <w:pStyle w:val="Heading3"/>
      </w:pPr>
      <w:r>
        <w:t>시나리오별 NCC 좌초자산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</w:rPr>
              <w:t>시나리오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1.5°C 예산소진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NCC 좌초자산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2.0°C 예산소진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NCC 좌초자산</w:t>
            </w:r>
          </w:p>
        </w:tc>
      </w:tr>
      <w:tr>
        <w:tc>
          <w:tcPr>
            <w:tcW w:type="dxa" w:w="1728"/>
          </w:tcPr>
          <w:p>
            <w:r>
              <w:t>수소기반 (H2)</w:t>
            </w:r>
          </w:p>
        </w:tc>
        <w:tc>
          <w:tcPr>
            <w:tcW w:type="dxa" w:w="1728"/>
          </w:tcPr>
          <w:p>
            <w:r>
              <w:t>2030년</w:t>
            </w:r>
          </w:p>
        </w:tc>
        <w:tc>
          <w:tcPr>
            <w:tcW w:type="dxa" w:w="1728"/>
          </w:tcPr>
          <w:p>
            <w:r>
              <w:t>$27.0B (₩35.0조)</w:t>
            </w:r>
          </w:p>
        </w:tc>
        <w:tc>
          <w:tcPr>
            <w:tcW w:type="dxa" w:w="1728"/>
          </w:tcPr>
          <w:p>
            <w:r>
              <w:t>2050년</w:t>
            </w:r>
          </w:p>
        </w:tc>
        <w:tc>
          <w:tcPr>
            <w:tcW w:type="dxa" w:w="1728"/>
          </w:tcPr>
          <w:p>
            <w:r>
              <w:t>$7.5B (₩9.8조)</w:t>
            </w:r>
          </w:p>
        </w:tc>
      </w:tr>
      <w:tr>
        <w:tc>
          <w:tcPr>
            <w:tcW w:type="dxa" w:w="1728"/>
          </w:tcPr>
          <w:p>
            <w:r>
              <w:t>전기화 (Elec)</w:t>
            </w:r>
          </w:p>
        </w:tc>
        <w:tc>
          <w:tcPr>
            <w:tcW w:type="dxa" w:w="1728"/>
          </w:tcPr>
          <w:p>
            <w:r>
              <w:t>2028년</w:t>
            </w:r>
          </w:p>
        </w:tc>
        <w:tc>
          <w:tcPr>
            <w:tcW w:type="dxa" w:w="1728"/>
          </w:tcPr>
          <w:p>
            <w:r>
              <w:t>$30.5B (₩39.7조)</w:t>
            </w:r>
          </w:p>
        </w:tc>
        <w:tc>
          <w:tcPr>
            <w:tcW w:type="dxa" w:w="1728"/>
          </w:tcPr>
          <w:p>
            <w:r>
              <w:t>2041년</w:t>
            </w:r>
          </w:p>
        </w:tc>
        <w:tc>
          <w:tcPr>
            <w:tcW w:type="dxa" w:w="1728"/>
          </w:tcPr>
          <w:p>
            <w:r>
              <w:t>$14.7B (₩19.1조)</w:t>
            </w:r>
          </w:p>
        </w:tc>
      </w:tr>
    </w:tbl>
    <w:p/>
    <w:p>
      <w:pPr>
        <w:pStyle w:val="Heading3"/>
      </w:pPr>
      <w:r>
        <w:t>기업별 좌초자산 위험 (1.5°C 기준, Top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r>
              <w:rPr>
                <w:b/>
              </w:rPr>
              <w:t>순위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  <w:t>기업명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  <w:t>NCC 시설수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  <w:t>생산능력 (kt/y)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  <w:t>좌초자산 규모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S-Oil Shaheen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2,570</w:t>
            </w:r>
          </w:p>
        </w:tc>
        <w:tc>
          <w:tcPr>
            <w:tcW w:type="dxa" w:w="1440"/>
          </w:tcPr>
          <w:p>
            <w:r>
              <w:t>$6.94B</w:t>
            </w:r>
          </w:p>
        </w:tc>
        <w:tc>
          <w:tcPr>
            <w:tcW w:type="dxa" w:w="1440"/>
          </w:tcPr>
          <w:p>
            <w:r>
              <w:t>25.7%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LG Chem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4,816</w:t>
            </w:r>
          </w:p>
        </w:tc>
        <w:tc>
          <w:tcPr>
            <w:tcW w:type="dxa" w:w="1440"/>
          </w:tcPr>
          <w:p>
            <w:r>
              <w:t>$5.60B</w:t>
            </w:r>
          </w:p>
        </w:tc>
        <w:tc>
          <w:tcPr>
            <w:tcW w:type="dxa" w:w="1440"/>
          </w:tcPr>
          <w:p>
            <w:r>
              <w:t>20.8%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GS Caltex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1,870</w:t>
            </w:r>
          </w:p>
        </w:tc>
        <w:tc>
          <w:tcPr>
            <w:tcW w:type="dxa" w:w="1440"/>
          </w:tcPr>
          <w:p>
            <w:r>
              <w:t>$4.35B</w:t>
            </w:r>
          </w:p>
        </w:tc>
        <w:tc>
          <w:tcPr>
            <w:tcW w:type="dxa" w:w="1440"/>
          </w:tcPr>
          <w:p>
            <w:r>
              <w:t>16.1%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HD Hyundai Chemical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1,464</w:t>
            </w:r>
          </w:p>
        </w:tc>
        <w:tc>
          <w:tcPr>
            <w:tcW w:type="dxa" w:w="1440"/>
          </w:tcPr>
          <w:p>
            <w:r>
              <w:t>$3.40B</w:t>
            </w:r>
          </w:p>
        </w:tc>
        <w:tc>
          <w:tcPr>
            <w:tcW w:type="dxa" w:w="1440"/>
          </w:tcPr>
          <w:p>
            <w:r>
              <w:t>12.6%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S-Oil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1,022</w:t>
            </w:r>
          </w:p>
        </w:tc>
        <w:tc>
          <w:tcPr>
            <w:tcW w:type="dxa" w:w="1440"/>
          </w:tcPr>
          <w:p>
            <w:r>
              <w:t>$2.15B</w:t>
            </w:r>
          </w:p>
        </w:tc>
        <w:tc>
          <w:tcPr>
            <w:tcW w:type="dxa" w:w="1440"/>
          </w:tcPr>
          <w:p>
            <w:r>
              <w:t>8.0%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SK Advanced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600</w:t>
            </w:r>
          </w:p>
        </w:tc>
        <w:tc>
          <w:tcPr>
            <w:tcW w:type="dxa" w:w="1440"/>
          </w:tcPr>
          <w:p>
            <w:r>
              <w:t>$1.17B</w:t>
            </w:r>
          </w:p>
        </w:tc>
        <w:tc>
          <w:tcPr>
            <w:tcW w:type="dxa" w:w="1440"/>
          </w:tcPr>
          <w:p>
            <w:r>
              <w:t>4.3%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Lotte Chemical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3,871</w:t>
            </w:r>
          </w:p>
        </w:tc>
        <w:tc>
          <w:tcPr>
            <w:tcW w:type="dxa" w:w="1440"/>
          </w:tcPr>
          <w:p>
            <w:r>
              <w:t>$1.00B</w:t>
            </w:r>
          </w:p>
        </w:tc>
        <w:tc>
          <w:tcPr>
            <w:tcW w:type="dxa" w:w="1440"/>
          </w:tcPr>
          <w:p>
            <w:r>
              <w:t>3.7%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HDHyundai Oilbank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420</w:t>
            </w:r>
          </w:p>
        </w:tc>
        <w:tc>
          <w:tcPr>
            <w:tcW w:type="dxa" w:w="1440"/>
          </w:tcPr>
          <w:p>
            <w:r>
              <w:t>$0.66B</w:t>
            </w:r>
          </w:p>
        </w:tc>
        <w:tc>
          <w:tcPr>
            <w:tcW w:type="dxa" w:w="1440"/>
          </w:tcPr>
          <w:p>
            <w:r>
              <w:t>2.5%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Daehan Oil Chemical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1,606</w:t>
            </w:r>
          </w:p>
        </w:tc>
        <w:tc>
          <w:tcPr>
            <w:tcW w:type="dxa" w:w="1440"/>
          </w:tcPr>
          <w:p>
            <w:r>
              <w:t>$0.47B</w:t>
            </w:r>
          </w:p>
        </w:tc>
        <w:tc>
          <w:tcPr>
            <w:tcW w:type="dxa" w:w="1440"/>
          </w:tcPr>
          <w:p>
            <w:r>
              <w:t>1.7%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Lotte GS Chemical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130</w:t>
            </w:r>
          </w:p>
        </w:tc>
        <w:tc>
          <w:tcPr>
            <w:tcW w:type="dxa" w:w="1440"/>
          </w:tcPr>
          <w:p>
            <w:r>
              <w:t>$0.31B</w:t>
            </w:r>
          </w:p>
        </w:tc>
        <w:tc>
          <w:tcPr>
            <w:tcW w:type="dxa" w:w="1440"/>
          </w:tcPr>
          <w:p>
            <w:r>
              <w:t>1.2%</w:t>
            </w:r>
          </w:p>
        </w:tc>
      </w:tr>
    </w:tbl>
    <w:p/>
    <w:p>
      <w:pPr>
        <w:pStyle w:val="Heading3"/>
      </w:pPr>
      <w:r>
        <w:t>지역별 좌초자산 분포 (1.5°C 기준)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지역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NCC 시설수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좌초자산 규모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160"/>
          </w:tcPr>
          <w:p>
            <w:r>
              <w:t>울산/온산</w:t>
            </w:r>
          </w:p>
        </w:tc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$11.3B</w:t>
            </w:r>
          </w:p>
        </w:tc>
        <w:tc>
          <w:tcPr>
            <w:tcW w:type="dxa" w:w="2160"/>
          </w:tcPr>
          <w:p>
            <w:r>
              <w:t>42.1%</w:t>
            </w:r>
          </w:p>
        </w:tc>
      </w:tr>
      <w:tr>
        <w:tc>
          <w:tcPr>
            <w:tcW w:type="dxa" w:w="2160"/>
          </w:tcPr>
          <w:p>
            <w:r>
              <w:t>여수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$10.7B</w:t>
            </w:r>
          </w:p>
        </w:tc>
        <w:tc>
          <w:tcPr>
            <w:tcW w:type="dxa" w:w="2160"/>
          </w:tcPr>
          <w:p>
            <w:r>
              <w:t>39.7%</w:t>
            </w:r>
          </w:p>
        </w:tc>
      </w:tr>
      <w:tr>
        <w:tc>
          <w:tcPr>
            <w:tcW w:type="dxa" w:w="2160"/>
          </w:tcPr>
          <w:p>
            <w:r>
              <w:t>대산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$4.9B</w:t>
            </w:r>
          </w:p>
        </w:tc>
        <w:tc>
          <w:tcPr>
            <w:tcW w:type="dxa" w:w="2160"/>
          </w:tcPr>
          <w:p>
            <w:r>
              <w:t>18.2%</w:t>
            </w:r>
          </w:p>
        </w:tc>
      </w:tr>
    </w:tbl>
    <w:p/>
    <w:p>
      <w:pPr>
        <w:pStyle w:val="Heading2"/>
      </w:pPr>
      <w:r>
        <w:t>기술 로드맵표</w:t>
      </w:r>
    </w:p>
    <w:p>
      <w:pPr>
        <w:pStyle w:val="Heading3"/>
      </w:pPr>
      <w:r>
        <w:t>연도별 NCC 기술 전환 계획 (수소기반 시나리오)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</w:rPr>
              <w:t>연도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신규 전환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누적 전환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전환율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NCC CAPEX</w:t>
            </w:r>
          </w:p>
        </w:tc>
      </w:tr>
      <w:tr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0개</w:t>
            </w:r>
          </w:p>
        </w:tc>
        <w:tc>
          <w:tcPr>
            <w:tcW w:type="dxa" w:w="1728"/>
          </w:tcPr>
          <w:p>
            <w:r>
              <w:t>0/43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$0.0B</w:t>
            </w:r>
          </w:p>
        </w:tc>
      </w:tr>
      <w:tr>
        <w:tc>
          <w:tcPr>
            <w:tcW w:type="dxa" w:w="1728"/>
          </w:tcPr>
          <w:p>
            <w:r>
              <w:t>2030</w:t>
            </w:r>
          </w:p>
        </w:tc>
        <w:tc>
          <w:tcPr>
            <w:tcW w:type="dxa" w:w="1728"/>
          </w:tcPr>
          <w:p>
            <w:r>
              <w:t>10개</w:t>
            </w:r>
          </w:p>
        </w:tc>
        <w:tc>
          <w:tcPr>
            <w:tcW w:type="dxa" w:w="1728"/>
          </w:tcPr>
          <w:p>
            <w:r>
              <w:t>10/43</w:t>
            </w:r>
          </w:p>
        </w:tc>
        <w:tc>
          <w:tcPr>
            <w:tcW w:type="dxa" w:w="1728"/>
          </w:tcPr>
          <w:p>
            <w:r>
              <w:t>23%</w:t>
            </w:r>
          </w:p>
        </w:tc>
        <w:tc>
          <w:tcPr>
            <w:tcW w:type="dxa" w:w="1728"/>
          </w:tcPr>
          <w:p>
            <w:r>
              <w:t>$2.5B</w:t>
            </w:r>
          </w:p>
        </w:tc>
      </w:tr>
      <w:tr>
        <w:tc>
          <w:tcPr>
            <w:tcW w:type="dxa" w:w="1728"/>
          </w:tcPr>
          <w:p>
            <w:r>
              <w:t>2035</w:t>
            </w:r>
          </w:p>
        </w:tc>
        <w:tc>
          <w:tcPr>
            <w:tcW w:type="dxa" w:w="1728"/>
          </w:tcPr>
          <w:p>
            <w:r>
              <w:t>1개</w:t>
            </w:r>
          </w:p>
        </w:tc>
        <w:tc>
          <w:tcPr>
            <w:tcW w:type="dxa" w:w="1728"/>
          </w:tcPr>
          <w:p>
            <w:r>
              <w:t>11/43</w:t>
            </w:r>
          </w:p>
        </w:tc>
        <w:tc>
          <w:tcPr>
            <w:tcW w:type="dxa" w:w="1728"/>
          </w:tcPr>
          <w:p>
            <w:r>
              <w:t>26%</w:t>
            </w:r>
          </w:p>
        </w:tc>
        <w:tc>
          <w:tcPr>
            <w:tcW w:type="dxa" w:w="1728"/>
          </w:tcPr>
          <w:p>
            <w:r>
              <w:t>$2.8B</w:t>
            </w:r>
          </w:p>
        </w:tc>
      </w:tr>
      <w:tr>
        <w:tc>
          <w:tcPr>
            <w:tcW w:type="dxa" w:w="1728"/>
          </w:tcPr>
          <w:p>
            <w:r>
              <w:t>2040</w:t>
            </w:r>
          </w:p>
        </w:tc>
        <w:tc>
          <w:tcPr>
            <w:tcW w:type="dxa" w:w="1728"/>
          </w:tcPr>
          <w:p>
            <w:r>
              <w:t>8개</w:t>
            </w:r>
          </w:p>
        </w:tc>
        <w:tc>
          <w:tcPr>
            <w:tcW w:type="dxa" w:w="1728"/>
          </w:tcPr>
          <w:p>
            <w:r>
              <w:t>19/43</w:t>
            </w:r>
          </w:p>
        </w:tc>
        <w:tc>
          <w:tcPr>
            <w:tcW w:type="dxa" w:w="1728"/>
          </w:tcPr>
          <w:p>
            <w:r>
              <w:t>44%</w:t>
            </w:r>
          </w:p>
        </w:tc>
        <w:tc>
          <w:tcPr>
            <w:tcW w:type="dxa" w:w="1728"/>
          </w:tcPr>
          <w:p>
            <w:r>
              <w:t>$2.8B</w:t>
            </w:r>
          </w:p>
        </w:tc>
      </w:tr>
      <w:tr>
        <w:tc>
          <w:tcPr>
            <w:tcW w:type="dxa" w:w="1728"/>
          </w:tcPr>
          <w:p>
            <w:r>
              <w:t>2045</w:t>
            </w:r>
          </w:p>
        </w:tc>
        <w:tc>
          <w:tcPr>
            <w:tcW w:type="dxa" w:w="1728"/>
          </w:tcPr>
          <w:p>
            <w:r>
              <w:t>13개</w:t>
            </w:r>
          </w:p>
        </w:tc>
        <w:tc>
          <w:tcPr>
            <w:tcW w:type="dxa" w:w="1728"/>
          </w:tcPr>
          <w:p>
            <w:r>
              <w:t>32/43</w:t>
            </w:r>
          </w:p>
        </w:tc>
        <w:tc>
          <w:tcPr>
            <w:tcW w:type="dxa" w:w="1728"/>
          </w:tcPr>
          <w:p>
            <w:r>
              <w:t>74%</w:t>
            </w:r>
          </w:p>
        </w:tc>
        <w:tc>
          <w:tcPr>
            <w:tcW w:type="dxa" w:w="1728"/>
          </w:tcPr>
          <w:p>
            <w:r>
              <w:t>$3.6B</w:t>
            </w:r>
          </w:p>
        </w:tc>
      </w:tr>
      <w:tr>
        <w:tc>
          <w:tcPr>
            <w:tcW w:type="dxa" w:w="1728"/>
          </w:tcPr>
          <w:p>
            <w:r>
              <w:t>2050</w:t>
            </w:r>
          </w:p>
        </w:tc>
        <w:tc>
          <w:tcPr>
            <w:tcW w:type="dxa" w:w="1728"/>
          </w:tcPr>
          <w:p>
            <w:r>
              <w:t>11개</w:t>
            </w:r>
          </w:p>
        </w:tc>
        <w:tc>
          <w:tcPr>
            <w:tcW w:type="dxa" w:w="1728"/>
          </w:tcPr>
          <w:p>
            <w:r>
              <w:t>43/43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$4.1B</w:t>
            </w:r>
          </w:p>
        </w:tc>
      </w:tr>
    </w:tbl>
    <w:p/>
    <w:p>
      <w:pPr>
        <w:pStyle w:val="Heading3"/>
      </w:pPr>
      <w:r>
        <w:t>기술별 투자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NCC-H2 (수소)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NCC-Elec (전기)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CAPEX ($/t-에틸렌/yr)</w:t>
            </w:r>
          </w:p>
        </w:tc>
        <w:tc>
          <w:tcPr>
            <w:tcW w:type="dxa" w:w="2880"/>
          </w:tcPr>
          <w:p>
            <w:r>
              <w:t>$350 (2025) → $180 (2050)</w:t>
            </w:r>
          </w:p>
        </w:tc>
        <w:tc>
          <w:tcPr>
            <w:tcW w:type="dxa" w:w="2880"/>
          </w:tcPr>
          <w:p>
            <w:r>
              <w:t>$280 (2025) → $150 (2050)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에너지 수요</w:t>
            </w:r>
          </w:p>
        </w:tc>
        <w:tc>
          <w:tcPr>
            <w:tcW w:type="dxa" w:w="2880"/>
          </w:tcPr>
          <w:p>
            <w:r>
              <w:t>0.2 t-H2/t-에틸렌</w:t>
            </w:r>
          </w:p>
        </w:tc>
        <w:tc>
          <w:tcPr>
            <w:tcW w:type="dxa" w:w="2880"/>
          </w:tcPr>
          <w:p>
            <w:r>
              <w:t>5.0 MWh/t-에틸렌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기술성숙도 (TRL)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6-7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상용화 예상</w:t>
            </w:r>
          </w:p>
        </w:tc>
        <w:tc>
          <w:tcPr>
            <w:tcW w:type="dxa" w:w="2880"/>
          </w:tcPr>
          <w:p>
            <w:r>
              <w:t>2028-2030</w:t>
            </w:r>
          </w:p>
        </w:tc>
        <w:tc>
          <w:tcPr>
            <w:tcW w:type="dxa" w:w="2880"/>
          </w:tcPr>
          <w:p>
            <w:r>
              <w:t>2030-2032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장점</w:t>
            </w:r>
          </w:p>
        </w:tc>
        <w:tc>
          <w:tcPr>
            <w:tcW w:type="dxa" w:w="2880"/>
          </w:tcPr>
          <w:p>
            <w:r>
              <w:t>고온 공정 적합, 연속운전</w:t>
            </w:r>
          </w:p>
        </w:tc>
        <w:tc>
          <w:tcPr>
            <w:tcW w:type="dxa" w:w="2880"/>
          </w:tcPr>
          <w:p>
            <w:r>
              <w:t>직접 탈탄소, 배출계수 연동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단점</w:t>
            </w:r>
          </w:p>
        </w:tc>
        <w:tc>
          <w:tcPr>
            <w:tcW w:type="dxa" w:w="2880"/>
          </w:tcPr>
          <w:p>
            <w:r>
              <w:t>수소 인프라 필요</w:t>
            </w:r>
          </w:p>
        </w:tc>
        <w:tc>
          <w:tcPr>
            <w:tcW w:type="dxa" w:w="2880"/>
          </w:tcPr>
          <w:p>
            <w:r>
              <w:t>초기 그리드 배출 높음</w:t>
            </w:r>
          </w:p>
        </w:tc>
      </w:tr>
    </w:tbl>
    <w:p/>
    <w:p>
      <w:pPr>
        <w:pStyle w:val="Heading2"/>
      </w:pPr>
      <w:r>
        <w:t>주요 가정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값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t>NCC CAPEX</w:t>
            </w:r>
          </w:p>
        </w:tc>
        <w:tc>
          <w:tcPr>
            <w:tcW w:type="dxa" w:w="2880"/>
          </w:tcPr>
          <w:p>
            <w:r>
              <w:t>$3,000/t</w:t>
            </w:r>
          </w:p>
        </w:tc>
        <w:tc>
          <w:tcPr>
            <w:tcW w:type="dxa" w:w="2880"/>
          </w:tcPr>
          <w:p>
            <w:r>
              <w:t>용량 기준</w:t>
            </w:r>
          </w:p>
        </w:tc>
      </w:tr>
      <w:tr>
        <w:tc>
          <w:tcPr>
            <w:tcW w:type="dxa" w:w="2880"/>
          </w:tcPr>
          <w:p>
            <w:r>
              <w:t>NCC 내용연수</w:t>
            </w:r>
          </w:p>
        </w:tc>
        <w:tc>
          <w:tcPr>
            <w:tcW w:type="dxa" w:w="2880"/>
          </w:tcPr>
          <w:p>
            <w:r>
              <w:t>40년</w:t>
            </w:r>
          </w:p>
        </w:tc>
        <w:tc>
          <w:tcPr>
            <w:tcW w:type="dxa" w:w="2880"/>
          </w:tcPr>
          <w:p>
            <w:r>
              <w:t>선형 감가상각</w:t>
            </w:r>
          </w:p>
        </w:tc>
      </w:tr>
      <w:tr>
        <w:tc>
          <w:tcPr>
            <w:tcW w:type="dxa" w:w="2880"/>
          </w:tcPr>
          <w:p>
            <w:r>
              <w:t>가동률</w:t>
            </w:r>
          </w:p>
        </w:tc>
        <w:tc>
          <w:tcPr>
            <w:tcW w:type="dxa" w:w="2880"/>
          </w:tcPr>
          <w:p>
            <w:r>
              <w:t>70%</w:t>
            </w:r>
          </w:p>
        </w:tc>
        <w:tc>
          <w:tcPr>
            <w:tcW w:type="dxa" w:w="2880"/>
          </w:tcPr>
          <w:p>
            <w:r>
              <w:t>업계 평균</w:t>
            </w:r>
          </w:p>
        </w:tc>
      </w:tr>
      <w:tr>
        <w:tc>
          <w:tcPr>
            <w:tcW w:type="dxa" w:w="2880"/>
          </w:tcPr>
          <w:p>
            <w:r>
              <w:t>환율</w:t>
            </w:r>
          </w:p>
        </w:tc>
        <w:tc>
          <w:tcPr>
            <w:tcW w:type="dxa" w:w="2880"/>
          </w:tcPr>
          <w:p>
            <w:r>
              <w:t>₩1,300/$</w:t>
            </w:r>
          </w:p>
        </w:tc>
        <w:tc>
          <w:tcPr>
            <w:tcW w:type="dxa" w:w="2880"/>
          </w:tcPr>
          <w:p>
            <w:r>
              <w:t>원화 환산용</w:t>
            </w:r>
          </w:p>
        </w:tc>
      </w:tr>
      <w:tr>
        <w:tc>
          <w:tcPr>
            <w:tcW w:type="dxa" w:w="2880"/>
          </w:tcPr>
          <w:p>
            <w:r>
              <w:t>할인율</w:t>
            </w:r>
          </w:p>
        </w:tc>
        <w:tc>
          <w:tcPr>
            <w:tcW w:type="dxa" w:w="2880"/>
          </w:tcPr>
          <w:p>
            <w:r>
              <w:t>8%</w:t>
            </w:r>
          </w:p>
        </w:tc>
        <w:tc>
          <w:tcPr>
            <w:tcW w:type="dxa" w:w="2880"/>
          </w:tcPr>
          <w:p>
            <w:r>
              <w:t>LCOA 계산용</w:t>
            </w:r>
          </w:p>
        </w:tc>
      </w:tr>
      <w:tr>
        <w:tc>
          <w:tcPr>
            <w:tcW w:type="dxa" w:w="2880"/>
          </w:tcPr>
          <w:p>
            <w:r>
              <w:t>Shaheen 용량 증가</w:t>
            </w:r>
          </w:p>
        </w:tc>
        <w:tc>
          <w:tcPr>
            <w:tcW w:type="dxa" w:w="2880"/>
          </w:tcPr>
          <w:p>
            <w:r>
              <w:t>+15% (2026~)</w:t>
            </w:r>
          </w:p>
        </w:tc>
        <w:tc>
          <w:tcPr>
            <w:tcW w:type="dxa" w:w="2880"/>
          </w:tcPr>
          <w:p>
            <w:r>
              <w:t>신규 시설 반영</w:t>
            </w:r>
          </w:p>
        </w:tc>
      </w:tr>
    </w:tbl>
    <w:p/>
    <w:p>
      <w:pPr>
        <w:pStyle w:val="Heading2"/>
      </w:pPr>
      <w:r>
        <w:t>핵심 메시지</w:t>
      </w:r>
    </w:p>
    <w:p>
      <w:pPr>
        <w:pStyle w:val="ListBullet"/>
      </w:pPr>
      <w:r>
        <w:t>1.5°C 경로: 2028-2030년 탄소예산 소진 → NCC 좌초자산 ₩35~40조</w:t>
      </w:r>
    </w:p>
    <w:p>
      <w:pPr>
        <w:pStyle w:val="ListBullet"/>
      </w:pPr>
      <w:r>
        <w:t>2.0°C 경로: 2041-2050년 탄소예산 소진 → NCC 좌초자산 ₩10~19조 (감가상각 효과)</w:t>
      </w:r>
    </w:p>
    <w:p>
      <w:pPr>
        <w:pStyle w:val="ListBullet"/>
      </w:pPr>
      <w:r>
        <w:t>수소 vs 전기화: 수소기반이 탄소예산 더 오래 유지, 좌초자산 규모 낮음</w:t>
      </w:r>
    </w:p>
    <w:p>
      <w:pPr>
        <w:pStyle w:val="ListBullet"/>
      </w:pPr>
      <w:r>
        <w:t>NCC 총 자산가치: $84.7B (₩110조) - CAPEX $3,000/t 기준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