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spacing w:before="0" w:after="120"/>
        <w:pBdr>
          <w:bottom w:val="single" w:sz="12" w:space="1" w:color="0070C0"/>
        </w:pBdr>
      </w:pPr>
    </w:p>
    <w:p>
      <w:pPr>
        <w:jc w:val="center"/>
      </w:pPr>
      <w:r>
        <w:rPr>
          <w:rFonts w:ascii="맑은 고딕" w:hAnsi="맑은 고딕" w:eastAsia="맑은 고딕"/>
          <w:b/>
          <w:color w:val="003E7E"/>
          <w:sz w:val="56"/>
        </w:rPr>
        <w:t>한국 석유화학산업</w:t>
      </w:r>
    </w:p>
    <w:p>
      <w:pPr>
        <w:jc w:val="center"/>
      </w:pPr>
      <w:r>
        <w:rPr>
          <w:rFonts w:ascii="맑은 고딕" w:hAnsi="맑은 고딕" w:eastAsia="맑은 고딕"/>
          <w:b/>
          <w:color w:val="003E7E"/>
          <w:sz w:val="56"/>
        </w:rPr>
        <w:t>탈탄소 전환 투자비용 분석</w:t>
      </w:r>
    </w:p>
    <w:p>
      <w:pPr>
        <w:spacing w:before="0" w:after="120"/>
        <w:pBdr>
          <w:bottom w:val="single" w:sz="12" w:space="1" w:color="0070C0"/>
        </w:pBdr>
      </w:pPr>
    </w:p>
    <w:p/>
    <w:p>
      <w:pPr>
        <w:jc w:val="center"/>
      </w:pPr>
      <w:r>
        <w:rPr>
          <w:rFonts w:ascii="맑은 고딕" w:hAnsi="맑은 고딕" w:eastAsia="맑은 고딕"/>
          <w:b w:val="0"/>
          <w:color w:val="0070C0"/>
          <w:sz w:val="28"/>
        </w:rPr>
        <w:t>NCC 전기로(e-Cracker) 및 수소로(H2 Furnace) 기술 경로 비교</w:t>
      </w:r>
    </w:p>
    <w:p/>
    <w:p/>
    <w:p/>
    <w:p/>
    <w:p>
      <w:pPr>
        <w:jc w:val="center"/>
      </w:pPr>
      <w:r>
        <w:rPr>
          <w:rFonts w:ascii="맑은 고딕" w:hAnsi="맑은 고딕" w:eastAsia="맑은 고딕"/>
          <w:b w:val="0"/>
          <w:color w:val="666666"/>
          <w:sz w:val="24"/>
        </w:rPr>
        <w:t>2025년 1월</w:t>
      </w:r>
    </w:p>
    <w:p>
      <w:pPr>
        <w:jc w:val="center"/>
      </w:pPr>
      <w:r>
        <w:rPr>
          <w:rFonts w:ascii="맑은 고딕" w:hAnsi="맑은 고딕" w:eastAsia="맑은 고딕"/>
          <w:b/>
          <w:color w:val="003E7E"/>
          <w:sz w:val="28"/>
        </w:rPr>
        <w:t>PLANiT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목차</w:t>
      </w:r>
    </w:p>
    <w:p>
      <w:pPr>
        <w:spacing w:before="0" w:after="120"/>
        <w:pBdr>
          <w:bottom w:val="single" w:sz="12" w:space="1" w:color="0070C0"/>
        </w:pBdr>
      </w:pP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요약 (Executive Summary)</w:t>
      </w:r>
      <w:r>
        <w:rPr>
          <w:rFonts w:ascii="맑은 고딕" w:hAnsi="맑은 고딕" w:eastAsia="맑은 고딕"/>
          <w:b w:val="0"/>
          <w:sz w:val="22"/>
        </w:rPr>
        <w:tab/>
        <w:t>1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1. 배경 및 목적</w:t>
      </w:r>
      <w:r>
        <w:rPr>
          <w:rFonts w:ascii="맑은 고딕" w:hAnsi="맑은 고딕" w:eastAsia="맑은 고딕"/>
          <w:b w:val="0"/>
          <w:sz w:val="22"/>
        </w:rPr>
        <w:tab/>
        <w:t>3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2. 기술 현황 비교</w:t>
      </w:r>
      <w:r>
        <w:rPr>
          <w:rFonts w:ascii="맑은 고딕" w:hAnsi="맑은 고딕" w:eastAsia="맑은 고딕"/>
          <w:b w:val="0"/>
          <w:sz w:val="22"/>
        </w:rPr>
        <w:tab/>
        <w:t>5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3. 투자비용 분석 결과</w:t>
      </w:r>
      <w:r>
        <w:rPr>
          <w:rFonts w:ascii="맑은 고딕" w:hAnsi="맑은 고딕" w:eastAsia="맑은 고딕"/>
          <w:b w:val="0"/>
          <w:sz w:val="22"/>
        </w:rPr>
        <w:tab/>
        <w:t>8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 xml:space="preserve">   3.1 좌초자산: 전환의 불가피성</w:t>
      </w:r>
      <w:r>
        <w:rPr>
          <w:rFonts w:ascii="맑은 고딕" w:hAnsi="맑은 고딕" w:eastAsia="맑은 고딕"/>
          <w:b w:val="0"/>
          <w:sz w:val="22"/>
        </w:rPr>
        <w:tab/>
        <w:t>8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 xml:space="preserve">   3.2 전환 비용의 구조: 건설이 아니라 에너지다</w:t>
      </w:r>
      <w:r>
        <w:rPr>
          <w:rFonts w:ascii="맑은 고딕" w:hAnsi="맑은 고딕" w:eastAsia="맑은 고딕"/>
          <w:b w:val="0"/>
          <w:sz w:val="22"/>
        </w:rPr>
        <w:tab/>
        <w:t>10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 xml:space="preserve">   3.3 에너지 정책이 만드는 500조원의 차이</w:t>
      </w:r>
      <w:r>
        <w:rPr>
          <w:rFonts w:ascii="맑은 고딕" w:hAnsi="맑은 고딕" w:eastAsia="맑은 고딕"/>
          <w:b w:val="0"/>
          <w:sz w:val="22"/>
        </w:rPr>
        <w:tab/>
        <w:t>13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 xml:space="preserve">   3.4 기술 도입 로드맵 비교</w:t>
      </w:r>
      <w:r>
        <w:rPr>
          <w:rFonts w:ascii="맑은 고딕" w:hAnsi="맑은 고딕" w:eastAsia="맑은 고딕"/>
          <w:b w:val="0"/>
          <w:sz w:val="22"/>
        </w:rPr>
        <w:tab/>
        <w:t>14</w:t>
      </w:r>
    </w:p>
    <w:p>
      <w:pPr>
        <w:spacing w:after="80"/>
      </w:pPr>
      <w:r>
        <w:rPr>
          <w:rFonts w:ascii="맑은 고딕" w:hAnsi="맑은 고딕" w:eastAsia="맑은 고딕"/>
          <w:b w:val="0"/>
          <w:sz w:val="22"/>
        </w:rPr>
        <w:t xml:space="preserve">   3.5 지역별 전환 비용</w:t>
      </w:r>
      <w:r>
        <w:rPr>
          <w:rFonts w:ascii="맑은 고딕" w:hAnsi="맑은 고딕" w:eastAsia="맑은 고딕"/>
          <w:b w:val="0"/>
          <w:sz w:val="22"/>
        </w:rPr>
        <w:tab/>
        <w:t>16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4. 에너지 인프라 수요</w:t>
      </w:r>
      <w:r>
        <w:rPr>
          <w:rFonts w:ascii="맑은 고딕" w:hAnsi="맑은 고딕" w:eastAsia="맑은 고딕"/>
          <w:b w:val="0"/>
          <w:sz w:val="22"/>
        </w:rPr>
        <w:tab/>
        <w:t>18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5. 시사점</w:t>
      </w:r>
      <w:r>
        <w:rPr>
          <w:rFonts w:ascii="맑은 고딕" w:hAnsi="맑은 고딕" w:eastAsia="맑은 고딕"/>
          <w:b w:val="0"/>
          <w:sz w:val="22"/>
        </w:rPr>
        <w:tab/>
        <w:t>20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6. 결론</w:t>
      </w:r>
      <w:r>
        <w:rPr>
          <w:rFonts w:ascii="맑은 고딕" w:hAnsi="맑은 고딕" w:eastAsia="맑은 고딕"/>
          <w:b w:val="0"/>
          <w:sz w:val="22"/>
        </w:rPr>
        <w:tab/>
        <w:t>22</w:t>
      </w:r>
    </w:p>
    <w:p>
      <w:pPr>
        <w:spacing w:after="80"/>
      </w:pPr>
      <w:r>
        <w:rPr>
          <w:rFonts w:ascii="맑은 고딕" w:hAnsi="맑은 고딕" w:eastAsia="맑은 고딕"/>
          <w:b/>
          <w:sz w:val="22"/>
        </w:rPr>
        <w:t>부록</w:t>
      </w:r>
      <w:r>
        <w:rPr>
          <w:rFonts w:ascii="맑은 고딕" w:hAnsi="맑은 고딕" w:eastAsia="맑은 고딕"/>
          <w:b w:val="0"/>
          <w:sz w:val="22"/>
        </w:rPr>
        <w:tab/>
        <w:t>23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요약 (Executive Summary)</w:t>
      </w:r>
    </w:p>
    <w:p>
      <w:pPr>
        <w:spacing w:before="0" w:after="120"/>
        <w:pBdr>
          <w:bottom w:val="single" w:sz="12" w:space="1" w:color="0070C0"/>
        </w:pBdr>
      </w:pPr>
    </w:p>
    <w:p>
      <w:pPr>
        <w:spacing w:after="240"/>
      </w:pPr>
      <w:r>
        <w:rPr>
          <w:rFonts w:ascii="맑은 고딕" w:hAnsi="맑은 고딕" w:eastAsia="맑은 고딕"/>
          <w:b/>
          <w:color w:val="003E7E"/>
          <w:sz w:val="24"/>
        </w:rPr>
        <w:t xml:space="preserve">핵심 메시지: </w:t>
      </w:r>
      <w:r>
        <w:rPr>
          <w:rFonts w:ascii="맑은 고딕" w:hAnsi="맑은 고딕" w:eastAsia="맑은 고딕"/>
          <w:b/>
          <w:color w:val="0070C0"/>
          <w:sz w:val="24"/>
        </w:rPr>
        <w:t>"전환 비용은 건설이 아니라 에너지가 결정한다"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한국 석유화학산업은 243개 시설에서 연간 59.2 MtCO2를 배출하며, 세계 4위 규모의 석유화학 생산국이다. 본 보고서는 NCC(납사 분해로) 43기를 포함한 전체 산업의 탈탄소 전환 투자비용을 전기로(e-Cracker)와 수소로(H2 Furnace) 두 가지 기술 경로에 대해 8개 시나리오로 분석하였다.</w:t>
      </w:r>
    </w:p>
    <w:p>
      <w:pPr>
        <w:spacing w:before="120" w:after="120"/>
      </w:pPr>
      <w:r>
        <w:rPr>
          <w:rFonts w:ascii="맑은 고딕" w:hAnsi="맑은 고딕" w:eastAsia="맑은 고딕"/>
          <w:b/>
          <w:color w:val="003E7E"/>
          <w:sz w:val="24"/>
        </w:rPr>
        <w:t>핵심 수치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31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31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총 투자비용 범위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214 ~ 761 조원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8개 시나리오</w:t>
            </w:r>
          </w:p>
        </w:tc>
      </w:tr>
      <w:tr>
        <w:tc>
          <w:tcPr>
            <w:tcW w:type="dxa" w:w="31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CAPEX (설비투자)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 ~ 10.6 조원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전체의 1~5%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 비용 (변동)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198 ~ 745 조원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전체의 93~98%</w:t>
            </w:r>
          </w:p>
        </w:tc>
      </w:tr>
      <w:tr>
        <w:tc>
          <w:tcPr>
            <w:tcW w:type="dxa" w:w="31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좌초자산 (1.5°C)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35.0 ~ 37.3 조원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2029~2030년 발생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scenario_total_cost.csv, table2_1_stranded_summary.csv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분석 결과, 전환 비용의 93~98%는 에너지 비용이 차지하며, 설비 투자(CAPEX)는 전체의 1~5%에 불과하다. 이는 에너지 정책이 산업 전환 비용을 좌우하는 핵심 변수임을 의미한다. 동일한 기술과 탄소 예산 조건에서도 에너지 가격 시나리오에 따라 최대 3.6배(214조 vs 761조원)의 비용 차이가 발생한다.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1. 배경 및 목적</w:t>
      </w:r>
    </w:p>
    <w:p>
      <w:pPr>
        <w:spacing w:before="0" w:after="120"/>
        <w:pBdr>
          <w:bottom w:val="single" w:sz="12" w:space="1" w:color="0070C0"/>
        </w:pBdr>
      </w:pP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1.1 석유화학산업 현황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한국은 세계 4위의 석유화학 생산국으로, 243개 시설에서 연간 약 59.2 MtCO2의 온실가스를 배출하고 있다. 이 중 NCC(Naphtha Catalytic Cracker, 납사 분해로) 43기가 핵심 배출원으로, 850°C 이상의 고온 공정을 필요로 한다.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석유화학산업의 탈탄소화는 단순한 연료 전환을 넘어 공정 자체의 근본적 전환을 요구한다. 특히 NCC 공정은 열분해 과정에서 직접 화석연료를 연소하기 때문에, 전기화 또는 수소 전환이라는 두 가지 기술 경로가 논의되고 있다.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1.2 두 가지 기술 경로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0"/>
        </w:rPr>
        <w:t>전기 크래커(e-Cracker): 전기를 이용하여 납사를 분해하는 방식으로, TRL 8 수준이며, 에틸렌 1톤당 5.0 MWh의 전력을 소비한다. BASF/SABIC/Linde 컨소시엄이 실증 단계에 있다.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수소 크래커(H2 Furnace): 기존 버너를 수소 연소로 전환하는 방식으로, TRL 7 수준이며, 에틸렌 1톤당 0.2 톤의 수소를 소비한다. 고온 공정에 적합하나 대규모 수소 인프라가 필요하다.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1.3 분석 목적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sz w:val="20"/>
        </w:rPr>
        <w:t>본 보고서는 다음 세 가지 질문에 답하고자 한다: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  1. 석유화학산업 전체의 탈탄소 전환에 얼마나 투자해야 하는가?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  2. 투자비용의 구조는 어떻게 되며, 어떤 요인이 비용을 결정하는가?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 xml:space="preserve">  3. 에너지 정책 조건에 따라 전환 비용은 어떻게 달라지는가?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2. 기술 현황 비교</w:t>
      </w:r>
    </w:p>
    <w:p>
      <w:pPr>
        <w:spacing w:before="0" w:after="120"/>
        <w:pBdr>
          <w:bottom w:val="single" w:sz="12" w:space="1" w:color="0070C0"/>
        </w:pBdr>
      </w:pP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2.1 NCC 탈탄소 기술 비교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0"/>
        </w:rPr>
        <w:t>NCC 공정의 탈탄소를 위한 두 가지 주요 기술 옵션의 핵심 사양을 비교한다.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1. NCC 탈탄소 기술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구분</w:t>
            </w:r>
          </w:p>
        </w:tc>
        <w:tc>
          <w:tcPr>
            <w:tcW w:type="dxa" w:w="31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NCC-H2 (수소)</w:t>
            </w:r>
          </w:p>
        </w:tc>
        <w:tc>
          <w:tcPr>
            <w:tcW w:type="dxa" w:w="3135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NCC-Elec (전기)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CAPEX ($/t-에틸렌/yr)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$350 (2025) → $180 (2050)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$280 (2025) → $150 (2050)</w:t>
            </w:r>
          </w:p>
        </w:tc>
      </w:tr>
      <w:tr>
        <w:tc>
          <w:tcPr>
            <w:tcW w:type="dxa" w:w="31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 수요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0.2 t-H2/t-에틸렌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5.0 MWh/t-에틸렌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기술성숙도 (TRL)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6-7</w:t>
            </w:r>
          </w:p>
        </w:tc>
      </w:tr>
      <w:tr>
        <w:tc>
          <w:tcPr>
            <w:tcW w:type="dxa" w:w="31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상용화 예상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2028-2030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2030-2032</w:t>
            </w:r>
          </w:p>
        </w:tc>
      </w:tr>
      <w:tr>
        <w:tc>
          <w:tcPr>
            <w:tcW w:type="dxa" w:w="3135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장점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고온 공정 적합, 연속운전</w:t>
            </w:r>
          </w:p>
        </w:tc>
        <w:tc>
          <w:tcPr>
            <w:tcW w:type="dxa" w:w="3135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직접 탈탄소, 배출계수 연동</w:t>
            </w:r>
          </w:p>
        </w:tc>
      </w:tr>
      <w:tr>
        <w:tc>
          <w:tcPr>
            <w:tcW w:type="dxa" w:w="3135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단점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수소 인프라 필요</w:t>
            </w:r>
          </w:p>
        </w:tc>
        <w:tc>
          <w:tcPr>
            <w:tcW w:type="dxa" w:w="3135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초기 그리드 배출 높음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table3_2_technology_comparison.csv, technology_parameters.csv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2.2 전체 기술 옵션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2. 전체 탈탄소 기술 옵션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대상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2025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2050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TRL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히트펌프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Non-NCC low-temp processes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$170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$100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$/t-product/yr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NCC-수소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$350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$180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$/t-ethylene/yr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NCC-전기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$280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$150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$/t-ethylene/yr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RDH (BTX)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BTX Plant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$250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$140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$/t-btx/yr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재생에너지 PPA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All electricity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$/mwh-premium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technology_capex.csv, technology_parameters.csv</w:t>
      </w:r>
    </w:p>
    <w:p>
      <w:pPr>
        <w:spacing w:before="0" w:after="120"/>
      </w:pPr>
      <w:r>
        <w:rPr>
          <w:rFonts w:ascii="맑은 고딕" w:hAnsi="맑은 고딕" w:eastAsia="맑은 고딕"/>
          <w:b w:val="0"/>
          <w:sz w:val="20"/>
        </w:rPr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2.3 CAPEX 하락 전망</w:t>
      </w:r>
    </w:p>
    <w:p>
      <w:pPr>
        <w:spacing w:before="0" w:after="80"/>
      </w:pPr>
      <w:r>
        <w:rPr>
          <w:rFonts w:ascii="맑은 고딕" w:hAnsi="맑은 고딕" w:eastAsia="맑은 고딕"/>
          <w:b w:val="0"/>
          <w:sz w:val="20"/>
        </w:rPr>
        <w:t>NCC-수소: $350 (2025) → $280 (2030) → $230 (2040) → $180/t-에틸렌/yr (2050)</w:t>
      </w:r>
    </w:p>
    <w:p>
      <w:pPr>
        <w:spacing w:before="0" w:after="160"/>
      </w:pPr>
      <w:r>
        <w:rPr>
          <w:rFonts w:ascii="맑은 고딕" w:hAnsi="맑은 고딕" w:eastAsia="맑은 고딕"/>
          <w:b w:val="0"/>
          <w:sz w:val="20"/>
        </w:rPr>
        <w:t>NCC-전기: $280 (2025) → $220 (2030) → $185 (2040) → $150/t-에틸렌/yr (2050)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46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scenarios_elec_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그림 1. 전력 및 수소 가격 시나리오 전망 (2025-2050)</w:t>
      </w:r>
    </w:p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re_price_trajectory.csv, h2_price_trajectory.csv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3. 투자비용 분석 결과</w:t>
      </w:r>
    </w:p>
    <w:p>
      <w:pPr>
        <w:spacing w:before="0" w:after="120"/>
        <w:pBdr>
          <w:bottom w:val="single" w:sz="12" w:space="1" w:color="0070C0"/>
        </w:pBdr>
      </w:pP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3.1 좌초자산: 전환의 불가피성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1.5°C 탄소 예산을 적용할 경우, NCC 시설의 좌초자산(stranded assets)은 불가피하게 발생한다. 기술 경로에 따라 좌초 시점과 규모가 달라진다.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3. 기술 경로별 좌초자산 규모 (1.5°C)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 경로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좌초 시점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좌초자산 (십억 USD)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좌초자산 (조원)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 (수소)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27.0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35.0</w:t>
            </w:r>
          </w:p>
        </w:tc>
      </w:tr>
      <w:tr>
        <w:tc>
          <w:tcPr>
            <w:tcW w:type="dxa" w:w="235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NCC-Elec (전기)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2029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28.7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37.3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table2_1_stranded_summary.csv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전기 크래커 경로는 2029년, 수소 크래커 경로는 2030년에 좌초자산이 발생한다. 전기 크래커의 좌초자산 규모(37.3조원)가 수소 크래커(35.0조원)보다 크지만, 기술 도입이 1년 빠르다.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4. 기업별 좌초자산 (상위 10개사)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순위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기업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시설 수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생산능력 (천톤/년)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좌초자산 (십억 USD)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S-Oil Shaheen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2,570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6.9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25.7%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LG Chem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4,816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20.8%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GS Caltex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1,870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4.3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16.1%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 Hyundai Chemical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1,464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3.4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12.6%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S-Oil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1,022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8.0%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SK Advanced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600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4.3%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Lotte Chemical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3,871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3.7%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HDHyundai Oilbank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420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0.7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2.5%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Daehan Oil Chemical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1,606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0.5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1.7%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Lotte GS Chemical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0.3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1.2%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table2_2_company_stranded.csv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36848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bubble_strand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684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그림 2. 기업별 좌초자산 규모 (버블차트)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3.2 전환 비용의 구조: 건설이 아니라 에너지다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탈탄소 전환 비용을 CAPEX(설비투자), OPEX(운영비), 에너지 비용으로 분해하면, 에너지 비용이 압도적 비중을 차지한다.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5. 8개 시나리오별 비용 분해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시나리오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CAPEX (조원)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OPEX (조원)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에너지 (조원)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합계 (조원)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에너지 비중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 (상승+연동)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10.5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5.3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745.0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760.8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97.9%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 (상승+비연동)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10.1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222.1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236.9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93.8%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 (고정+연동)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10.6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5.3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349.2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365.1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95.7%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 (고정+비연동)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5.3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198.0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213.9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92.6%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NCC-Elec (상승+연동)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5.5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498.9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513.7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97.1%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NCC-Elec (고정+연동)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9.3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5.5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202.6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217.4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93.2%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scenario_total_cost.csv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전체 8개 시나리오에서 에너지 비용이 총 비용의 93~98%를 차지한다. CAPEX는 9.3~10.6조원으로 시나리오 간 차이가 미미한 반면, 에너지 비용은 198~745조원으로 최대 3.8배 차이가 난다. 이는 전환 비용의 핵심 변수가 설비 투자가 아니라 에너지 가격임을 의미한다.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298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cost_waterfal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2987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그림 3. 시나리오별 비용 구조 (Waterfall Chart)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3.3 에너지 정책이 만드는 500조원의 차이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동일한 기술 경로와 탄소 예산에서도 에너지 가격 시나리오에 따라 막대한 비용 차이가 발생한다.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6. 에너지 정책 변수별 비용 영향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변수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조건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NCC-H2 (조원)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NCC-Elec (조원)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추세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상승(Rising)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761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514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 가격 상승 시나리오</w:t>
            </w:r>
          </w:p>
        </w:tc>
      </w:tr>
      <w:tr>
        <w:tc>
          <w:tcPr>
            <w:tcW w:type="dxa" w:w="188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가격 추세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고정(Flat)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290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217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에너지 가격 고정 시나리오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탄소-에너지 연동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연동(Coupled)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563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514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탄소 감축 = RE 수요 증가 = 가격 상승</w:t>
            </w:r>
          </w:p>
        </w:tc>
      </w:tr>
      <w:tr>
        <w:tc>
          <w:tcPr>
            <w:tcW w:type="dxa" w:w="188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탄소-에너지 연동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비연동(Decoupled)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225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217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정부가 RE 공급을 충분히 확보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scenario_total_cost.csv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NCC-H2 경로에서는 에너지 가격 시나리오에 따라 최대 547조원의 차이가 발생한다. 이는 수소 가격의 불확실성이 매우 크기 때문이다. NCC-Elec 경로에서는 상승+연동 시나리오에서 514조원, 고정 시나리오에서 217조원으로 296조원의 차이가 발생한다.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이 분석이 시사하는 핵심은, 에너지 정책(재생에너지 공급 확대, 수소 인프라 구축)이 산업의 전환 비용을 직접 결정한다는 점이다. 정부의 재생에너지 보급 정책과 수소 생산 인프라 투자가 석유화학산업의 전환 비용을 수백조원 규모로 좌우한다.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3.4 기술 도입 로드맵 비교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NCC-Elec과 NCC-H2 경로의 기술 도입 속도는 크게 다르다. 전기 크래커는 비용 효율성이 빨리 확보되어 조기 도입이 가능하지만, 수소 크래커는 수소 인프라 구축 시간이 필요하여 도입이 느리다.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7. NCC 기술 도입 타임라인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연도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NCC-Elec 누적 (기)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NCC-Elec (%)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NCC-H2 누적 (기)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NCC-H2 (%)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0.0%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0.0%</w:t>
            </w:r>
          </w:p>
        </w:tc>
      </w:tr>
      <w:tr>
        <w:tc>
          <w:tcPr>
            <w:tcW w:type="dxa" w:w="188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24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55.8%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20.9%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2035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41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95.3%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25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58.1%</w:t>
            </w:r>
          </w:p>
        </w:tc>
      </w:tr>
      <w:tr>
        <w:tc>
          <w:tcPr>
            <w:tcW w:type="dxa" w:w="188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2040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100.0%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28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65.1%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2045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100.0%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35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81.4%</w:t>
            </w:r>
          </w:p>
        </w:tc>
      </w:tr>
      <w:tr>
        <w:tc>
          <w:tcPr>
            <w:tcW w:type="dxa" w:w="188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2050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100.0%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100.0%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table3_1_annual_roadmap.csv (상승+연동 시나리오)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전기 크래커 경로에서는 2030년까지 24기(56%), 2040년까지 43기(100%) 전환이 완료된다. 반면 수소 크래커 경로에서는 2030년까지 9기(21%)에 불과하며, 2050년에야 전체 43기의 전환이 완료된다. 이는 전기 크래커가 약 10년 먼저 완전 전환을 달성함을 의미한다.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0400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st_cumulative_capex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400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그림 4. 누적 CAPEX 투자 경로 비교</w:t>
      </w:r>
    </w:p>
    <w:p>
      <w:r>
        <w:br w:type="page"/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3.5 지역별 전환 비용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좌초자산은 주요 석유화학 단지에 집중되어 있으며, 여수, 울산/온산, 대산 순으로 규모가 크다.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8. 지역별 좌초자산 분포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지역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시설 수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좌초자산 (십억 USD)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좌초자산 (조원)</w:t>
            </w:r>
          </w:p>
        </w:tc>
        <w:tc>
          <w:tcPr>
            <w:tcW w:type="dxa" w:w="188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비중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여수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10.7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13.9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39.7%</w:t>
            </w:r>
          </w:p>
        </w:tc>
      </w:tr>
      <w:tr>
        <w:tc>
          <w:tcPr>
            <w:tcW w:type="dxa" w:w="188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울산/온산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9.2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12.0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34.1%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대산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4.9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6.4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18.2%</w:t>
            </w:r>
          </w:p>
        </w:tc>
      </w:tr>
      <w:tr>
        <w:tc>
          <w:tcPr>
            <w:tcW w:type="dxa" w:w="188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울산/온산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11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2.1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2.8</w:t>
            </w:r>
          </w:p>
        </w:tc>
        <w:tc>
          <w:tcPr>
            <w:tcW w:type="dxa" w:w="188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8.0%</w:t>
            </w:r>
          </w:p>
        </w:tc>
      </w:tr>
      <w:tr>
        <w:tc>
          <w:tcPr>
            <w:tcW w:type="dxa" w:w="188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합계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43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27.0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35.0</w:t>
            </w:r>
          </w:p>
        </w:tc>
        <w:tc>
          <w:tcPr>
            <w:tcW w:type="dxa" w:w="188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100.0%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table2_3_regional_stranded.csv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여수 단지가 전체 좌초자산의 39.7%로 가장 크며, 울산/온산(34.1% + 8.0%), 대산(18.2%) 순이다. 이는 각 지역의 에너지 인프라 전략이 차별화되어야 함을 시사한다.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72006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regional_cos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7200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그림 5. 지역별 전환 비용 분포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4. 에너지 인프라 수요</w:t>
      </w:r>
    </w:p>
    <w:p>
      <w:pPr>
        <w:spacing w:before="0" w:after="120"/>
        <w:pBdr>
          <w:bottom w:val="single" w:sz="12" w:space="1" w:color="0070C0"/>
        </w:pBdr>
      </w:pP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탈탄소 전환은 대규모 청정 에너지 인프라를 필요로 한다. 기술 경로에 따라 전력 및 수소 수요가 크게 달라진다.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9. 2050년 에너지 인프라 수요 (기술 경로별)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항목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NCC-H2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NCC-Elec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비고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전력 수요 (TWh/년)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77.0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171.9 ~ 190.6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2050년 기준</w:t>
            </w:r>
          </w:p>
        </w:tc>
      </w:tr>
      <w:tr>
        <w:tc>
          <w:tcPr>
            <w:tcW w:type="dxa" w:w="235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수소 수요 (kt/년)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4,546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NCC-H2만 해당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전력 수요 대비 한국 발전량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~13%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~32%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2023년 총 발전량 ~600 TWh 대비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table1_scenario_comparison.csv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NCC-Elec 경로는 최대 191 TWh의 전력을 필요로 하며, 이는 한국 전체 발전량의 약 32%에 해당한다. NCC-H2 경로는 전력 77 TWh와 수소 4,546 kt을 동시에 필요로 한다.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4.1 에너지 가격 전망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10. 에너지 가격 전망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에너지원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2030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2050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변화율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재생에너지 (RE)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USD/MWh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65.0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55.7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30.0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-54%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그린수소 (H2)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USD/kg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4.78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4.36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3.59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-25%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re_price_trajectory.csv, h2_price_trajectory.csv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재생에너지 가격은 $65/MWh(2025)에서 $30/MWh(2050)로 54% 하락하고, 그린수소 가격은 $4.78/kg에서 $3.59/kg으로 25% 하락할 것으로 전망된다.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4034632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ce_scenarios_elec_h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0346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rFonts w:ascii="맑은 고딕" w:hAnsi="맑은 고딕" w:eastAsia="맑은 고딕"/>
          <w:b w:val="0"/>
          <w:color w:val="666666"/>
          <w:sz w:val="18"/>
        </w:rPr>
        <w:t>그림 6. 전력 및 수소 가격 궤적 (2025-2050)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5. 시사점</w:t>
      </w:r>
    </w:p>
    <w:p>
      <w:pPr>
        <w:spacing w:before="0" w:after="120"/>
        <w:pBdr>
          <w:bottom w:val="single" w:sz="12" w:space="1" w:color="0070C0"/>
        </w:pBdr>
      </w:pP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5.1 에너지 정책과 산업 정책의 통합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분석 결과는 석유화학산업의 탈탄소 전환 비용이 214~761조원 범위에서 에너지 가격 조건에 의해 결정됨을 보여준다. 이는 산업 정책과 에너지 정책이 분리될 수 없으며, 통합적 관점에서의 정책 설계가 필요함을 의미한다.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재생에너지 공급 확대와 수소 인프라 구축은 산업 전환의 전제 조건이다. 정부가 충분한 청정 에너지 공급을 보장하지 않으면, 산업계가 아무리 기술 전환에 투자하더라도 비용 부담이 과도해진다.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5.2 구조조정 기준에 탄소 예산 반영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1.5°C 목표 하에서 NCC 시설의 좌초자산은 불가피하다. 기업과 정부는 좌초자산 발생 시점(2029~2030년)을 기준으로 선제적 구조조정 계획을 수립해야 한다. 특히 상위 5개사(S-Oil Shaheen, LG Chem, GS Caltex, HD Hyundai Chemical, S-Oil)가 전체 좌초자산의 약 83%를 차지하므로, 이들 기업에 대한 집중적인 전환 지원이 필요하다.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5.3 지역별 에너지 인프라 전략</w:t>
      </w:r>
    </w:p>
    <w:p>
      <w:pPr>
        <w:spacing w:before="0" w:after="200"/>
      </w:pPr>
      <w:r>
        <w:rPr>
          <w:rFonts w:ascii="맑은 고딕" w:hAnsi="맑은 고딕" w:eastAsia="맑은 고딕"/>
          <w:b w:val="0"/>
          <w:sz w:val="20"/>
        </w:rPr>
        <w:t>여수(40%), 울산/온산(42%), 대산(18%)의 지역별 분포를 고려할 때, 각 지역에 맞춤형 에너지 인프라 전략이 필요하다. 여수와 울산/온산 지역은 대규모 재생에너지 또는 수소 공급 거점이 되어야 하며, 이를 위한 송전망 및 수소 파이프라인 투자가 선행되어야 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6. 결론</w:t>
      </w:r>
    </w:p>
    <w:p>
      <w:pPr>
        <w:spacing w:before="0" w:after="120"/>
        <w:pBdr>
          <w:bottom w:val="single" w:sz="12" w:space="1" w:color="0070C0"/>
        </w:pBdr>
      </w:pP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3대 발견</w:t>
      </w:r>
    </w:p>
    <w:p>
      <w:pPr>
        <w:spacing w:after="160"/>
      </w:pPr>
      <w:r>
        <w:rPr>
          <w:rFonts w:ascii="맑은 고딕" w:hAnsi="맑은 고딕" w:eastAsia="맑은 고딕"/>
          <w:b/>
          <w:sz w:val="20"/>
        </w:rPr>
        <w:t xml:space="preserve">1. 전환 비용의 핵심은 에너지다: </w:t>
      </w:r>
      <w:r>
        <w:rPr>
          <w:rFonts w:ascii="맑은 고딕" w:hAnsi="맑은 고딕" w:eastAsia="맑은 고딕"/>
          <w:b w:val="0"/>
          <w:sz w:val="20"/>
        </w:rPr>
        <w:t>총 투자비용의 93~98%가 에너지 비용이며, CAPEX는 1~5%에 불과하다. 에너지 가격 조건에 따라 동일 기술에서도 3.6배의 비용 차이가 발생한다.</w:t>
      </w:r>
    </w:p>
    <w:p>
      <w:pPr>
        <w:spacing w:after="160"/>
      </w:pPr>
      <w:r>
        <w:rPr>
          <w:rFonts w:ascii="맑은 고딕" w:hAnsi="맑은 고딕" w:eastAsia="맑은 고딕"/>
          <w:b/>
          <w:sz w:val="20"/>
        </w:rPr>
        <w:t xml:space="preserve">2. 좌초자산은 불가피하다: </w:t>
      </w:r>
      <w:r>
        <w:rPr>
          <w:rFonts w:ascii="맑은 고딕" w:hAnsi="맑은 고딕" w:eastAsia="맑은 고딕"/>
          <w:b w:val="0"/>
          <w:sz w:val="20"/>
        </w:rPr>
        <w:t>1.5°C 탄소 예산 하에서 NCC 시설의 좌초자산(35.0~37.3조원)은 2029~2030년에 불가피하게 발생한다.</w:t>
      </w:r>
    </w:p>
    <w:p>
      <w:pPr>
        <w:spacing w:after="160"/>
      </w:pPr>
      <w:r>
        <w:rPr>
          <w:rFonts w:ascii="맑은 고딕" w:hAnsi="맑은 고딕" w:eastAsia="맑은 고딕"/>
          <w:b/>
          <w:sz w:val="20"/>
        </w:rPr>
        <w:t xml:space="preserve">3. 전기 크래커가 조기 전환에 유리하다: </w:t>
      </w:r>
      <w:r>
        <w:rPr>
          <w:rFonts w:ascii="맑은 고딕" w:hAnsi="맑은 고딕" w:eastAsia="맑은 고딕"/>
          <w:b w:val="0"/>
          <w:sz w:val="20"/>
        </w:rPr>
        <w:t>NCC-Elec은 2040년 완전 전환이 가능한 반면, NCC-H2는 2050년까지 필요하다.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3대 정책 제언</w:t>
      </w:r>
    </w:p>
    <w:p>
      <w:pPr>
        <w:spacing w:after="160"/>
      </w:pPr>
      <w:r>
        <w:rPr>
          <w:rFonts w:ascii="맑은 고딕" w:hAnsi="맑은 고딕" w:eastAsia="맑은 고딕"/>
          <w:b/>
          <w:sz w:val="20"/>
        </w:rPr>
        <w:t xml:space="preserve">1. 에너지-산업 통합 정책 수립: </w:t>
      </w:r>
      <w:r>
        <w:rPr>
          <w:rFonts w:ascii="맑은 고딕" w:hAnsi="맑은 고딕" w:eastAsia="맑은 고딕"/>
          <w:b w:val="0"/>
          <w:sz w:val="20"/>
        </w:rPr>
        <w:t>재생에너지 공급 확대와 수소 인프라 구축을 산업 전환 정책과 통합하여 전환 비용을 최소화하는 정책 패키지를 설계해야 한다.</w:t>
      </w:r>
    </w:p>
    <w:p>
      <w:pPr>
        <w:spacing w:after="160"/>
      </w:pPr>
      <w:r>
        <w:rPr>
          <w:rFonts w:ascii="맑은 고딕" w:hAnsi="맑은 고딕" w:eastAsia="맑은 고딕"/>
          <w:b/>
          <w:sz w:val="20"/>
        </w:rPr>
        <w:t xml:space="preserve">2. 좌초자산 선제 대응: </w:t>
      </w:r>
      <w:r>
        <w:rPr>
          <w:rFonts w:ascii="맑은 고딕" w:hAnsi="맑은 고딕" w:eastAsia="맑은 고딕"/>
          <w:b w:val="0"/>
          <w:sz w:val="20"/>
        </w:rPr>
        <w:t>2029~2030년 좌초자산 발생에 대비하여, 상위 5개 기업을 중심으로 공정 전환 로드맵과 재무적 지원 체계를 마련해야 한다.</w:t>
      </w:r>
    </w:p>
    <w:p>
      <w:pPr>
        <w:spacing w:after="160"/>
      </w:pPr>
      <w:r>
        <w:rPr>
          <w:rFonts w:ascii="맑은 고딕" w:hAnsi="맑은 고딕" w:eastAsia="맑은 고딕"/>
          <w:b/>
          <w:sz w:val="20"/>
        </w:rPr>
        <w:t xml:space="preserve">3. 지역별 맞춤 인프라 투자: </w:t>
      </w:r>
      <w:r>
        <w:rPr>
          <w:rFonts w:ascii="맑은 고딕" w:hAnsi="맑은 고딕" w:eastAsia="맑은 고딕"/>
          <w:b w:val="0"/>
          <w:sz w:val="20"/>
        </w:rPr>
        <w:t>여수, 울산/온산, 대산 각 지역의 산업 특성에 맞는 재생에너지 공급 또는 수소 인프라 투자 계획을 수립해야 한다.</w:t>
      </w:r>
    </w:p>
    <w:p>
      <w:r>
        <w:br w:type="page"/>
      </w:r>
    </w:p>
    <w:p>
      <w:pPr>
        <w:pStyle w:val="Heading1"/>
      </w:pPr>
      <w:r>
        <w:rPr>
          <w:rFonts w:ascii="맑은 고딕" w:hAnsi="맑은 고딕" w:eastAsia="맑은 고딕"/>
          <w:color w:val="003E7E"/>
        </w:rPr>
        <w:t>부록</w:t>
      </w:r>
    </w:p>
    <w:p>
      <w:pPr>
        <w:spacing w:before="0" w:after="120"/>
        <w:pBdr>
          <w:bottom w:val="single" w:sz="12" w:space="1" w:color="0070C0"/>
        </w:pBdr>
      </w:pP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A.1 모델 주요 파라미터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A-1. 모델 설정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값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단위</w:t>
            </w:r>
          </w:p>
        </w:tc>
        <w:tc>
          <w:tcPr>
            <w:tcW w:type="dxa" w:w="2351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설명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할인율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0.08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decimal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NPV discount rate for LCOA calculation</w:t>
            </w:r>
          </w:p>
        </w:tc>
      </w:tr>
      <w:tr>
        <w:tc>
          <w:tcPr>
            <w:tcW w:type="dxa" w:w="235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시작 연도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2025.0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year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Model start year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분석 종료 연도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2050.0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year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Model end year</w:t>
            </w:r>
          </w:p>
        </w:tc>
      </w:tr>
      <w:tr>
        <w:tc>
          <w:tcPr>
            <w:tcW w:type="dxa" w:w="2351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가동률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0.7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decimal</w:t>
            </w:r>
          </w:p>
        </w:tc>
        <w:tc>
          <w:tcPr>
            <w:tcW w:type="dxa" w:w="2351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Default operating rate if not specified</w:t>
            </w:r>
          </w:p>
        </w:tc>
      </w:tr>
      <w:tr>
        <w:tc>
          <w:tcPr>
            <w:tcW w:type="dxa" w:w="2351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환율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1300.0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USD/KRW</w:t>
            </w:r>
          </w:p>
        </w:tc>
        <w:tc>
          <w:tcPr>
            <w:tcW w:type="dxa" w:w="2351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USD to KRW exchange rate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model_config.csv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A.2 기술별 CAPEX 가정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A-2. 기술별 CAPEX 전망 (USD)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134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대상</w:t>
            </w:r>
          </w:p>
        </w:tc>
        <w:tc>
          <w:tcPr>
            <w:tcW w:type="dxa" w:w="134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2025</w:t>
            </w:r>
          </w:p>
        </w:tc>
        <w:tc>
          <w:tcPr>
            <w:tcW w:type="dxa" w:w="134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2030</w:t>
            </w:r>
          </w:p>
        </w:tc>
        <w:tc>
          <w:tcPr>
            <w:tcW w:type="dxa" w:w="134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2040</w:t>
            </w:r>
          </w:p>
        </w:tc>
        <w:tc>
          <w:tcPr>
            <w:tcW w:type="dxa" w:w="134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2050</w:t>
            </w:r>
          </w:p>
        </w:tc>
        <w:tc>
          <w:tcPr>
            <w:tcW w:type="dxa" w:w="1344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Heat_Pump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Non-NCC low-temp processes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$170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$140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$120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$100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IEA 2022 (€600-800/kW thermal)</w:t>
            </w:r>
          </w:p>
        </w:tc>
      </w:tr>
      <w:tr>
        <w:tc>
          <w:tcPr>
            <w:tcW w:type="dxa" w:w="1344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$350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$280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$230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$180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MIT Energy Initiative / Green ...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NCC-Electricity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$280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$220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$185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$150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MIT Energy Initiative / Green ...</w:t>
            </w:r>
          </w:p>
        </w:tc>
      </w:tr>
      <w:tr>
        <w:tc>
          <w:tcPr>
            <w:tcW w:type="dxa" w:w="1344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RDH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BTX Plant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$250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$200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$170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$140</w:t>
            </w:r>
          </w:p>
        </w:tc>
        <w:tc>
          <w:tcPr>
            <w:tcW w:type="dxa" w:w="1344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Coolbrook 2024 (estimated)</w:t>
            </w:r>
          </w:p>
        </w:tc>
      </w:tr>
      <w:tr>
        <w:tc>
          <w:tcPr>
            <w:tcW w:type="dxa" w:w="1344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RE_PPA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All electricity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344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nan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technology_capex.csv</w:t>
      </w:r>
    </w:p>
    <w:p>
      <w:pPr>
        <w:pStyle w:val="Heading2"/>
      </w:pPr>
      <w:r>
        <w:rPr>
          <w:rFonts w:ascii="맑은 고딕" w:hAnsi="맑은 고딕" w:eastAsia="맑은 고딕"/>
          <w:color w:val="003E7E"/>
        </w:rPr>
        <w:t>A.3 기술 파라미터</w:t>
      </w:r>
    </w:p>
    <w:p>
      <w:pPr>
        <w:spacing w:before="120" w:after="120"/>
      </w:pPr>
      <w:r>
        <w:rPr>
          <w:rFonts w:ascii="맑은 고딕" w:hAnsi="맑은 고딕" w:eastAsia="맑은 고딕"/>
          <w:b/>
          <w:sz w:val="20"/>
        </w:rPr>
        <w:t>표 A-3. 기술별 핵심 파라미터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기술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적용 대상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TRL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상용화 연도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에너지 효율</w:t>
            </w:r>
          </w:p>
        </w:tc>
        <w:tc>
          <w:tcPr>
            <w:tcW w:type="dxa" w:w="1568"/>
            <w:shd w:fill="003E7E"/>
          </w:tcPr>
          <w:p>
            <w:pPr>
              <w:jc w:val="center"/>
            </w:pPr>
            <w:r/>
            <w:r>
              <w:rPr>
                <w:rFonts w:ascii="맑은 고딕" w:hAnsi="맑은 고딕" w:eastAsia="맑은 고딕"/>
                <w:b/>
                <w:color w:val="FFFFFF"/>
                <w:sz w:val="18"/>
              </w:rPr>
              <w:t>출처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Heat_Pump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Non-NCC low-temp processe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95%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Kosmadakis 2020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NCC-H2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 furnaces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7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85%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Power Engineering 2022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NCC-Electricity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Naphtha Cracker furnaces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2030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95%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BASF/SABIC/Linde</w:t>
            </w:r>
          </w:p>
        </w:tc>
      </w:tr>
      <w:tr>
        <w:tc>
          <w:tcPr>
            <w:tcW w:type="dxa" w:w="1568"/>
            <w:shd w:fill="E8F0FE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RDH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BTX Plant high-temp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8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2026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93%</w:t>
            </w:r>
          </w:p>
        </w:tc>
        <w:tc>
          <w:tcPr>
            <w:tcW w:type="dxa" w:w="1568"/>
            <w:shd w:fill="E8F0FE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Coolbrook 2024</w:t>
            </w:r>
          </w:p>
        </w:tc>
      </w:tr>
      <w:tr>
        <w:tc>
          <w:tcPr>
            <w:tcW w:type="dxa" w:w="1568"/>
          </w:tcPr>
          <w:p>
            <w:pPr>
              <w:jc w:val="lef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RE_PPA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All grid electricity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-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2025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100%</w:t>
            </w:r>
          </w:p>
        </w:tc>
        <w:tc>
          <w:tcPr>
            <w:tcW w:type="dxa" w:w="1568"/>
          </w:tcPr>
          <w:p>
            <w:pPr>
              <w:jc w:val="right"/>
            </w:pPr>
            <w:r/>
            <w:r>
              <w:rPr>
                <w:rFonts w:ascii="맑은 고딕" w:hAnsi="맑은 고딕" w:eastAsia="맑은 고딕"/>
                <w:b w:val="0"/>
                <w:sz w:val="18"/>
              </w:rPr>
              <w:t>nan</w:t>
            </w:r>
          </w:p>
        </w:tc>
      </w:tr>
    </w:tbl>
    <w:p>
      <w:pPr>
        <w:spacing w:before="40" w:after="240"/>
      </w:pPr>
      <w:r>
        <w:rPr>
          <w:rFonts w:ascii="맑은 고딕" w:hAnsi="맑은 고딕" w:eastAsia="맑은 고딕"/>
          <w:b w:val="0"/>
          <w:color w:val="999999"/>
          <w:sz w:val="16"/>
        </w:rPr>
        <w:t>출처: technology_parameters.csv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3E7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3E7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003E7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