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Korean Petrochemical MACC Model</w:t>
      </w:r>
    </w:p>
    <w:p>
      <w:pPr>
        <w:jc w:val="center"/>
      </w:pPr>
      <w:r>
        <w:rPr>
          <w:i/>
          <w:sz w:val="32"/>
        </w:rPr>
        <w:t>Comprehensive Analysis Report</w:t>
      </w:r>
    </w:p>
    <w:p>
      <w:pPr>
        <w:jc w:val="center"/>
      </w:pPr>
      <w:r>
        <w:rPr>
          <w:sz w:val="28"/>
        </w:rPr>
        <w:t>Data Validation, Corrections, and Updated Results</w:t>
      </w:r>
    </w:p>
    <w:p/>
    <w:p/>
    <w:p>
      <w:pPr>
        <w:jc w:val="center"/>
      </w:pPr>
      <w:r>
        <w:rPr>
          <w:sz w:val="22"/>
        </w:rPr>
        <w:t>Date: October 29, 2025</w:t>
        <w:br/>
        <w:t>Version: 2.0 (Corrected Data)</w:t>
        <w:br/>
        <w:t>Reviewer: Claude (Sonnet 4.5)</w:t>
      </w:r>
    </w:p>
    <w:p>
      <w:r>
        <w:br w:type="page"/>
      </w:r>
    </w:p>
    <w:p>
      <w:pPr>
        <w:pStyle w:val="Heading1"/>
      </w:pPr>
      <w:r>
        <w:rPr>
          <w:color w:val="003366"/>
          <w:sz w:val="36"/>
        </w:rPr>
        <w:t>1. EXECUTIVE SUMMARY</w:t>
      </w:r>
    </w:p>
    <w:p>
      <w:r>
        <w:t>This report presents a comprehensive bottom-up review of the Korean Petrochemical MACC Model, identifying critical data errors and presenting corrected results. The review covered all input data, model algorithms, and assumptions, validating each against the latest research literature (2024-2025).</w:t>
      </w:r>
    </w:p>
    <w:p>
      <w:pPr>
        <w:pStyle w:val="Heading2"/>
      </w:pPr>
      <w:r>
        <w:rPr>
          <w:color w:val="0066CC"/>
          <w:sz w:val="28"/>
        </w:rPr>
        <w:t>1.1 Critical Findings</w:t>
      </w:r>
    </w:p>
    <w:p>
      <w:r>
        <w:rPr>
          <w:b/>
          <w:color w:val="C00000"/>
        </w:rPr>
        <w:t xml:space="preserve">Emission Factor Error (CRITICAL): </w:t>
      </w:r>
      <w:r>
        <w:t>LNG and fuel gas emission factors were underestimated by 73-76%, causing baseline emissions to be understated by 27.3%. This is the single most impactful data error.</w:t>
      </w:r>
    </w:p>
    <w:p>
      <w:r>
        <w:rPr>
          <w:b/>
          <w:color w:val="C00000"/>
        </w:rPr>
        <w:t xml:space="preserve">Technology Cost Overestimation: </w:t>
      </w:r>
      <w:r>
        <w:t>Hydrogen prices were 2-3x too high for 2025-2030, and renewable electricity prices were 30-45% too high, making green technologies appear much more expensive than reality.</w:t>
      </w:r>
    </w:p>
    <w:p>
      <w:r>
        <w:rPr>
          <w:b/>
          <w:color w:val="C00000"/>
        </w:rPr>
        <w:t xml:space="preserve">Corrected Baseline Emissions: </w:t>
      </w:r>
      <w:r>
        <w:t>True 2025 baseline is 66.2 MtCO2, not 52.0 MtCO2 as originally calculated. This aligns with Korea's national GHG inventory for the petrochemical sector.</w:t>
      </w:r>
    </w:p>
    <w:p>
      <w:r>
        <w:rPr>
          <w:b/>
          <w:color w:val="C00000"/>
        </w:rPr>
        <w:t xml:space="preserve">Technology Competitiveness Improved: </w:t>
      </w:r>
      <w:r>
        <w:t>With corrected prices, all green technologies are 25-96% cheaper than originally modeled, making decarbonization more economically feasible.</w:t>
      </w:r>
    </w:p>
    <w:p>
      <w:pPr>
        <w:pStyle w:val="Heading2"/>
      </w:pPr>
      <w:r>
        <w:rPr>
          <w:color w:val="0066CC"/>
          <w:sz w:val="28"/>
        </w:rPr>
        <w:t>1.2 Key Results After Corrections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3498DB"/>
          </w:tcPr>
          <w:p>
            <w:r>
              <w:rPr>
                <w:b/>
                <w:color w:val="FFFFFF"/>
              </w:rPr>
              <w:t>Metric</w:t>
            </w:r>
          </w:p>
        </w:tc>
        <w:tc>
          <w:tcPr>
            <w:tcW w:type="dxa" w:w="2160"/>
            <w:shd w:fill="3498DB"/>
          </w:tcPr>
          <w:p>
            <w:r>
              <w:rPr>
                <w:b/>
                <w:color w:val="FFFFFF"/>
              </w:rPr>
              <w:t>Original (Wrong)</w:t>
            </w:r>
          </w:p>
        </w:tc>
        <w:tc>
          <w:tcPr>
            <w:tcW w:type="dxa" w:w="2160"/>
            <w:shd w:fill="3498DB"/>
          </w:tcPr>
          <w:p>
            <w:r>
              <w:rPr>
                <w:b/>
                <w:color w:val="FFFFFF"/>
              </w:rPr>
              <w:t>Corrected</w:t>
            </w:r>
          </w:p>
        </w:tc>
        <w:tc>
          <w:tcPr>
            <w:tcW w:type="dxa" w:w="2160"/>
            <w:shd w:fill="3498DB"/>
          </w:tcPr>
          <w:p>
            <w:r>
              <w:rPr>
                <w:b/>
                <w:color w:val="FFFFFF"/>
              </w:rPr>
              <w:t>Change</w:t>
            </w:r>
          </w:p>
        </w:tc>
      </w:tr>
      <w:tr>
        <w:tc>
          <w:tcPr>
            <w:tcW w:type="dxa" w:w="2160"/>
          </w:tcPr>
          <w:p>
            <w:r>
              <w:t>Baseline 2025 (MtCO2)</w:t>
            </w:r>
          </w:p>
        </w:tc>
        <w:tc>
          <w:tcPr>
            <w:tcW w:type="dxa" w:w="2160"/>
          </w:tcPr>
          <w:p>
            <w:r>
              <w:t>52.0</w:t>
            </w:r>
          </w:p>
        </w:tc>
        <w:tc>
          <w:tcPr>
            <w:tcW w:type="dxa" w:w="2160"/>
          </w:tcPr>
          <w:p>
            <w:r>
              <w:t>66.2</w:t>
            </w:r>
          </w:p>
        </w:tc>
        <w:tc>
          <w:tcPr>
            <w:tcW w:type="dxa" w:w="2160"/>
          </w:tcPr>
          <w:p>
            <w:r>
              <w:t>+27.3%</w:t>
            </w:r>
          </w:p>
        </w:tc>
      </w:tr>
      <w:tr>
        <w:tc>
          <w:tcPr>
            <w:tcW w:type="dxa" w:w="2160"/>
          </w:tcPr>
          <w:p>
            <w:r>
              <w:t>BAU 2050 (MtCO2)</w:t>
            </w:r>
          </w:p>
        </w:tc>
        <w:tc>
          <w:tcPr>
            <w:tcW w:type="dxa" w:w="2160"/>
          </w:tcPr>
          <w:p>
            <w:r>
              <w:t>62.2</w:t>
            </w:r>
          </w:p>
        </w:tc>
        <w:tc>
          <w:tcPr>
            <w:tcW w:type="dxa" w:w="2160"/>
          </w:tcPr>
          <w:p>
            <w:r>
              <w:t>80.5</w:t>
            </w:r>
          </w:p>
        </w:tc>
        <w:tc>
          <w:tcPr>
            <w:tcW w:type="dxa" w:w="2160"/>
          </w:tcPr>
          <w:p>
            <w:r>
              <w:t>+29.4%</w:t>
            </w:r>
          </w:p>
        </w:tc>
      </w:tr>
      <w:tr>
        <w:tc>
          <w:tcPr>
            <w:tcW w:type="dxa" w:w="2160"/>
          </w:tcPr>
          <w:p>
            <w:r>
              <w:t>NCC-H2 Cost (2030, $/tCO2)</w:t>
            </w:r>
          </w:p>
        </w:tc>
        <w:tc>
          <w:tcPr>
            <w:tcW w:type="dxa" w:w="2160"/>
          </w:tcPr>
          <w:p>
            <w:r>
              <w:t>2,075</w:t>
            </w:r>
          </w:p>
        </w:tc>
        <w:tc>
          <w:tcPr>
            <w:tcW w:type="dxa" w:w="2160"/>
          </w:tcPr>
          <w:p>
            <w:r>
              <w:t>477</w:t>
            </w:r>
          </w:p>
        </w:tc>
        <w:tc>
          <w:tcPr>
            <w:tcW w:type="dxa" w:w="2160"/>
          </w:tcPr>
          <w:p>
            <w:r>
              <w:t>-77.0%</w:t>
            </w:r>
          </w:p>
        </w:tc>
      </w:tr>
      <w:tr>
        <w:tc>
          <w:tcPr>
            <w:tcW w:type="dxa" w:w="2160"/>
          </w:tcPr>
          <w:p>
            <w:r>
              <w:t>NCC-Elec Cost (2030, $/tCO2)</w:t>
            </w:r>
          </w:p>
        </w:tc>
        <w:tc>
          <w:tcPr>
            <w:tcW w:type="dxa" w:w="2160"/>
          </w:tcPr>
          <w:p>
            <w:r>
              <w:t>268</w:t>
            </w:r>
          </w:p>
        </w:tc>
        <w:tc>
          <w:tcPr>
            <w:tcW w:type="dxa" w:w="2160"/>
          </w:tcPr>
          <w:p>
            <w:r>
              <w:t>259</w:t>
            </w:r>
          </w:p>
        </w:tc>
        <w:tc>
          <w:tcPr>
            <w:tcW w:type="dxa" w:w="2160"/>
          </w:tcPr>
          <w:p>
            <w:r>
              <w:t>-3.4%</w:t>
            </w:r>
          </w:p>
        </w:tc>
      </w:tr>
      <w:tr>
        <w:tc>
          <w:tcPr>
            <w:tcW w:type="dxa" w:w="2160"/>
          </w:tcPr>
          <w:p>
            <w:r>
              <w:t>Heat Pump Cost (2030, $/tCO2)</w:t>
            </w:r>
          </w:p>
        </w:tc>
        <w:tc>
          <w:tcPr>
            <w:tcW w:type="dxa" w:w="2160"/>
          </w:tcPr>
          <w:p>
            <w:r>
              <w:t>3,658</w:t>
            </w:r>
          </w:p>
        </w:tc>
        <w:tc>
          <w:tcPr>
            <w:tcW w:type="dxa" w:w="2160"/>
          </w:tcPr>
          <w:p>
            <w:r>
              <w:t>160</w:t>
            </w:r>
          </w:p>
        </w:tc>
        <w:tc>
          <w:tcPr>
            <w:tcW w:type="dxa" w:w="2160"/>
          </w:tcPr>
          <w:p>
            <w:r>
              <w:t>-95.6%</w:t>
            </w:r>
          </w:p>
        </w:tc>
      </w:tr>
      <w:tr>
        <w:tc>
          <w:tcPr>
            <w:tcW w:type="dxa" w:w="2160"/>
          </w:tcPr>
          <w:p>
            <w:r>
              <w:t>2050 Actual Emissions (MtCO2)</w:t>
            </w:r>
          </w:p>
        </w:tc>
        <w:tc>
          <w:tcPr>
            <w:tcW w:type="dxa" w:w="2160"/>
          </w:tcPr>
          <w:p>
            <w:r>
              <w:t>28.2</w:t>
            </w:r>
          </w:p>
        </w:tc>
        <w:tc>
          <w:tcPr>
            <w:tcW w:type="dxa" w:w="2160"/>
          </w:tcPr>
          <w:p>
            <w:r>
              <w:t>50.1</w:t>
            </w:r>
          </w:p>
        </w:tc>
        <w:tc>
          <w:tcPr>
            <w:tcW w:type="dxa" w:w="2160"/>
          </w:tcPr>
          <w:p>
            <w:r>
              <w:t>+77.7%</w:t>
            </w:r>
          </w:p>
        </w:tc>
      </w:tr>
      <w:tr>
        <w:tc>
          <w:tcPr>
            <w:tcW w:type="dxa" w:w="2160"/>
          </w:tcPr>
          <w:p>
            <w:r>
              <w:t>Reduction Rate (%)</w:t>
            </w:r>
          </w:p>
        </w:tc>
        <w:tc>
          <w:tcPr>
            <w:tcW w:type="dxa" w:w="2160"/>
          </w:tcPr>
          <w:p>
            <w:r>
              <w:t>54.6%</w:t>
            </w:r>
          </w:p>
        </w:tc>
        <w:tc>
          <w:tcPr>
            <w:tcW w:type="dxa" w:w="2160"/>
          </w:tcPr>
          <w:p>
            <w:r>
              <w:t>37.7%</w:t>
            </w:r>
          </w:p>
        </w:tc>
        <w:tc>
          <w:tcPr>
            <w:tcW w:type="dxa" w:w="2160"/>
          </w:tcPr>
          <w:p>
            <w:r>
              <w:t>-16.9 pp</w:t>
            </w:r>
          </w:p>
        </w:tc>
      </w:tr>
      <w:tr>
        <w:tc>
          <w:tcPr>
            <w:tcW w:type="dxa" w:w="2160"/>
          </w:tcPr>
          <w:p>
            <w:r>
              <w:t>Investment ($ Billion)</w:t>
            </w:r>
          </w:p>
        </w:tc>
        <w:tc>
          <w:tcPr>
            <w:tcW w:type="dxa" w:w="2160"/>
          </w:tcPr>
          <w:p>
            <w:r>
              <w:t>29.2</w:t>
            </w:r>
          </w:p>
        </w:tc>
        <w:tc>
          <w:tcPr>
            <w:tcW w:type="dxa" w:w="2160"/>
          </w:tcPr>
          <w:p>
            <w:r>
              <w:t>30.4</w:t>
            </w:r>
          </w:p>
        </w:tc>
        <w:tc>
          <w:tcPr>
            <w:tcW w:type="dxa" w:w="2160"/>
          </w:tcPr>
          <w:p>
            <w:r>
              <w:t>+4.1%</w:t>
            </w:r>
          </w:p>
        </w:tc>
      </w:tr>
    </w:tbl>
    <w:p/>
    <w:p>
      <w:pPr>
        <w:pStyle w:val="Heading2"/>
      </w:pPr>
      <w:r>
        <w:rPr>
          <w:color w:val="0066CC"/>
          <w:sz w:val="28"/>
        </w:rPr>
        <w:t>1.3 Key Insight</w:t>
      </w:r>
    </w:p>
    <w:p>
      <w:r>
        <w:rPr>
          <w:b/>
          <w:color w:val="0066CC"/>
        </w:rPr>
        <w:t>The problem is HARDER (baseline 27% higher) BUT the tools are MUCH CHEAPER (technologies 25-95% cheaper). Net result: Investment requirements remain similar (~$30B), but achievable reduction rate decreases from 55% to 38% by 2050. This provides a more realistic assessment of Korea's decarbonization challenge.</w:t>
      </w:r>
    </w:p>
    <w:p>
      <w:r>
        <w:br w:type="page"/>
      </w:r>
    </w:p>
    <w:p>
      <w:pPr>
        <w:pStyle w:val="Heading1"/>
      </w:pPr>
      <w:r>
        <w:rPr>
          <w:color w:val="003366"/>
          <w:sz w:val="36"/>
        </w:rPr>
        <w:t>2. DATA VALIDATION FINDINGS</w:t>
      </w:r>
    </w:p>
    <w:p>
      <w:r>
        <w:t>A comprehensive review of all input data was conducted, validating each parameter against the latest research from IEA, IRENA, IPCC, BloombergNEF, and Korean government sources.</w:t>
      </w:r>
    </w:p>
    <w:p>
      <w:pPr>
        <w:pStyle w:val="Heading2"/>
      </w:pPr>
      <w:r>
        <w:rPr>
          <w:color w:val="0066CC"/>
          <w:sz w:val="28"/>
        </w:rPr>
        <w:t>2.1 Emission Factors (CRITICAL ERROR)</w:t>
      </w:r>
    </w:p>
    <w:p>
      <w:r>
        <w:t>The most critical error identified was in the emission factors for LNG and fuel gas.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3498DB"/>
          </w:tcPr>
          <w:p>
            <w:r>
              <w:rPr>
                <w:b/>
                <w:color w:val="FFFFFF"/>
              </w:rPr>
              <w:t>Fuel Type</w:t>
            </w:r>
          </w:p>
        </w:tc>
        <w:tc>
          <w:tcPr>
            <w:tcW w:type="dxa" w:w="1728"/>
            <w:shd w:fill="3498DB"/>
          </w:tcPr>
          <w:p>
            <w:r>
              <w:rPr>
                <w:b/>
                <w:color w:val="FFFFFF"/>
              </w:rPr>
              <w:t>Original (Wrong)</w:t>
            </w:r>
          </w:p>
        </w:tc>
        <w:tc>
          <w:tcPr>
            <w:tcW w:type="dxa" w:w="1728"/>
            <w:shd w:fill="3498DB"/>
          </w:tcPr>
          <w:p>
            <w:r>
              <w:rPr>
                <w:b/>
                <w:color w:val="FFFFFF"/>
              </w:rPr>
              <w:t>Correct (IPCC 2019)</w:t>
            </w:r>
          </w:p>
        </w:tc>
        <w:tc>
          <w:tcPr>
            <w:tcW w:type="dxa" w:w="1728"/>
            <w:shd w:fill="3498DB"/>
          </w:tcPr>
          <w:p>
            <w:r>
              <w:rPr>
                <w:b/>
                <w:color w:val="FFFFFF"/>
              </w:rPr>
              <w:t>Error</w:t>
            </w:r>
          </w:p>
        </w:tc>
        <w:tc>
          <w:tcPr>
            <w:tcW w:type="dxa" w:w="1728"/>
            <w:shd w:fill="3498DB"/>
          </w:tcPr>
          <w:p>
            <w:r>
              <w:rPr>
                <w:b/>
                <w:color w:val="FFFFFF"/>
              </w:rPr>
              <w:t>Source</w:t>
            </w:r>
          </w:p>
        </w:tc>
      </w:tr>
      <w:tr>
        <w:tc>
          <w:tcPr>
            <w:tcW w:type="dxa" w:w="1728"/>
          </w:tcPr>
          <w:p>
            <w:r>
              <w:t>LNG</w:t>
            </w:r>
          </w:p>
        </w:tc>
        <w:tc>
          <w:tcPr>
            <w:tcW w:type="dxa" w:w="1728"/>
          </w:tcPr>
          <w:p>
            <w:r>
              <w:t>0.0149</w:t>
            </w:r>
          </w:p>
        </w:tc>
        <w:tc>
          <w:tcPr>
            <w:tcW w:type="dxa" w:w="1728"/>
          </w:tcPr>
          <w:p>
            <w:r>
              <w:t>0.0561 tCO2/GJ</w:t>
            </w:r>
          </w:p>
        </w:tc>
        <w:tc>
          <w:tcPr>
            <w:tcW w:type="dxa" w:w="1728"/>
          </w:tcPr>
          <w:p>
            <w:r>
              <w:t>-73%</w:t>
            </w:r>
          </w:p>
        </w:tc>
        <w:tc>
          <w:tcPr>
            <w:tcW w:type="dxa" w:w="1728"/>
          </w:tcPr>
          <w:p>
            <w:r>
              <w:t>IPCC 2019, Table 2.3</w:t>
            </w:r>
          </w:p>
        </w:tc>
      </w:tr>
      <w:tr>
        <w:tc>
          <w:tcPr>
            <w:tcW w:type="dxa" w:w="1728"/>
          </w:tcPr>
          <w:p>
            <w:r>
              <w:t>Fuel Gas</w:t>
            </w:r>
          </w:p>
        </w:tc>
        <w:tc>
          <w:tcPr>
            <w:tcW w:type="dxa" w:w="1728"/>
          </w:tcPr>
          <w:p>
            <w:r>
              <w:t>0.0149</w:t>
            </w:r>
          </w:p>
        </w:tc>
        <w:tc>
          <w:tcPr>
            <w:tcW w:type="dxa" w:w="1728"/>
          </w:tcPr>
          <w:p>
            <w:r>
              <w:t>0.050 tCO2/GJ</w:t>
            </w:r>
          </w:p>
        </w:tc>
        <w:tc>
          <w:tcPr>
            <w:tcW w:type="dxa" w:w="1728"/>
          </w:tcPr>
          <w:p>
            <w:r>
              <w:t>-70%</w:t>
            </w:r>
          </w:p>
        </w:tc>
        <w:tc>
          <w:tcPr>
            <w:tcW w:type="dxa" w:w="1728"/>
          </w:tcPr>
          <w:p>
            <w:r>
              <w:t>API Compendium 2021</w:t>
            </w:r>
          </w:p>
        </w:tc>
      </w:tr>
      <w:tr>
        <w:tc>
          <w:tcPr>
            <w:tcW w:type="dxa" w:w="1728"/>
          </w:tcPr>
          <w:p>
            <w:r>
              <w:t>Naphtha</w:t>
            </w:r>
          </w:p>
        </w:tc>
        <w:tc>
          <w:tcPr>
            <w:tcW w:type="dxa" w:w="1728"/>
          </w:tcPr>
          <w:p>
            <w:r>
              <w:t>0.0542</w:t>
            </w:r>
          </w:p>
        </w:tc>
        <w:tc>
          <w:tcPr>
            <w:tcW w:type="dxa" w:w="1728"/>
          </w:tcPr>
          <w:p>
            <w:r>
              <w:t>0.0542 tCO2/GJ</w:t>
            </w:r>
          </w:p>
        </w:tc>
        <w:tc>
          <w:tcPr>
            <w:tcW w:type="dxa" w:w="1728"/>
          </w:tcPr>
          <w:p>
            <w:r>
              <w:t>Correct</w:t>
            </w:r>
          </w:p>
        </w:tc>
        <w:tc>
          <w:tcPr>
            <w:tcW w:type="dxa" w:w="1728"/>
          </w:tcPr>
          <w:p>
            <w:r>
              <w:t>IPCC 2019</w:t>
            </w:r>
          </w:p>
        </w:tc>
      </w:tr>
    </w:tbl>
    <w:p/>
    <w:p>
      <w:r>
        <w:t>Impact: This error caused baseline emissions to be underestimated by 14.2 MtCO2 (27.3%), fundamentally affecting all downstream calculations.</w:t>
      </w:r>
    </w:p>
    <w:p>
      <w:pPr>
        <w:pStyle w:val="Heading2"/>
      </w:pPr>
      <w:r>
        <w:rPr>
          <w:color w:val="0066CC"/>
          <w:sz w:val="28"/>
        </w:rPr>
        <w:t>2.2 Hydrogen Price Trajectory (CRITICAL)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3498DB"/>
          </w:tcPr>
          <w:p>
            <w:r>
              <w:rPr>
                <w:b/>
                <w:color w:val="FFFFFF"/>
              </w:rPr>
              <w:t>Year</w:t>
            </w:r>
          </w:p>
        </w:tc>
        <w:tc>
          <w:tcPr>
            <w:tcW w:type="dxa" w:w="1728"/>
            <w:shd w:fill="3498DB"/>
          </w:tcPr>
          <w:p>
            <w:r>
              <w:rPr>
                <w:b/>
                <w:color w:val="FFFFFF"/>
              </w:rPr>
              <w:t>Original</w:t>
            </w:r>
          </w:p>
        </w:tc>
        <w:tc>
          <w:tcPr>
            <w:tcW w:type="dxa" w:w="1728"/>
            <w:shd w:fill="3498DB"/>
          </w:tcPr>
          <w:p>
            <w:r>
              <w:rPr>
                <w:b/>
                <w:color w:val="FFFFFF"/>
              </w:rPr>
              <w:t>Corrected</w:t>
            </w:r>
          </w:p>
        </w:tc>
        <w:tc>
          <w:tcPr>
            <w:tcW w:type="dxa" w:w="1728"/>
            <w:shd w:fill="3498DB"/>
          </w:tcPr>
          <w:p>
            <w:r>
              <w:rPr>
                <w:b/>
                <w:color w:val="FFFFFF"/>
              </w:rPr>
              <w:t>Change</w:t>
            </w:r>
          </w:p>
        </w:tc>
        <w:tc>
          <w:tcPr>
            <w:tcW w:type="dxa" w:w="1728"/>
            <w:shd w:fill="3498DB"/>
          </w:tcPr>
          <w:p>
            <w:r>
              <w:rPr>
                <w:b/>
                <w:color w:val="FFFFFF"/>
              </w:rPr>
              <w:t>Source</w:t>
            </w:r>
          </w:p>
        </w:tc>
      </w:tr>
      <w:tr>
        <w:tc>
          <w:tcPr>
            <w:tcW w:type="dxa" w:w="1728"/>
          </w:tcPr>
          <w:p>
            <w:r>
              <w:t>2025</w:t>
            </w:r>
          </w:p>
        </w:tc>
        <w:tc>
          <w:tcPr>
            <w:tcW w:type="dxa" w:w="1728"/>
          </w:tcPr>
          <w:p>
            <w:r>
              <w:t>$12.00/kg</w:t>
            </w:r>
          </w:p>
        </w:tc>
        <w:tc>
          <w:tcPr>
            <w:tcW w:type="dxa" w:w="1728"/>
          </w:tcPr>
          <w:p>
            <w:r>
              <w:t>$6.00/kg</w:t>
            </w:r>
          </w:p>
        </w:tc>
        <w:tc>
          <w:tcPr>
            <w:tcW w:type="dxa" w:w="1728"/>
          </w:tcPr>
          <w:p>
            <w:r>
              <w:t>-50%</w:t>
            </w:r>
          </w:p>
        </w:tc>
        <w:tc>
          <w:tcPr>
            <w:tcW w:type="dxa" w:w="1728"/>
          </w:tcPr>
          <w:p>
            <w:r>
              <w:t>IEA/IRENA 2024</w:t>
            </w:r>
          </w:p>
        </w:tc>
      </w:tr>
      <w:tr>
        <w:tc>
          <w:tcPr>
            <w:tcW w:type="dxa" w:w="1728"/>
          </w:tcPr>
          <w:p>
            <w:r>
              <w:t>2030</w:t>
            </w:r>
          </w:p>
        </w:tc>
        <w:tc>
          <w:tcPr>
            <w:tcW w:type="dxa" w:w="1728"/>
          </w:tcPr>
          <w:p>
            <w:r>
              <w:t>$10.00/kg</w:t>
            </w:r>
          </w:p>
        </w:tc>
        <w:tc>
          <w:tcPr>
            <w:tcW w:type="dxa" w:w="1728"/>
          </w:tcPr>
          <w:p>
            <w:r>
              <w:t>$3.50/kg</w:t>
            </w:r>
          </w:p>
        </w:tc>
        <w:tc>
          <w:tcPr>
            <w:tcW w:type="dxa" w:w="1728"/>
          </w:tcPr>
          <w:p>
            <w:r>
              <w:t>-65%</w:t>
            </w:r>
          </w:p>
        </w:tc>
        <w:tc>
          <w:tcPr>
            <w:tcW w:type="dxa" w:w="1728"/>
          </w:tcPr>
          <w:p>
            <w:r>
              <w:t>IEA/IRENA 2024</w:t>
            </w:r>
          </w:p>
        </w:tc>
      </w:tr>
      <w:tr>
        <w:tc>
          <w:tcPr>
            <w:tcW w:type="dxa" w:w="1728"/>
          </w:tcPr>
          <w:p>
            <w:r>
              <w:t>2040</w:t>
            </w:r>
          </w:p>
        </w:tc>
        <w:tc>
          <w:tcPr>
            <w:tcW w:type="dxa" w:w="1728"/>
          </w:tcPr>
          <w:p>
            <w:r>
              <w:t>$6.00/kg</w:t>
            </w:r>
          </w:p>
        </w:tc>
        <w:tc>
          <w:tcPr>
            <w:tcW w:type="dxa" w:w="1728"/>
          </w:tcPr>
          <w:p>
            <w:r>
              <w:t>$2.75/kg</w:t>
            </w:r>
          </w:p>
        </w:tc>
        <w:tc>
          <w:tcPr>
            <w:tcW w:type="dxa" w:w="1728"/>
          </w:tcPr>
          <w:p>
            <w:r>
              <w:t>-54%</w:t>
            </w:r>
          </w:p>
        </w:tc>
        <w:tc>
          <w:tcPr>
            <w:tcW w:type="dxa" w:w="1728"/>
          </w:tcPr>
          <w:p>
            <w:r>
              <w:t>BloombergNEF 2024</w:t>
            </w:r>
          </w:p>
        </w:tc>
      </w:tr>
      <w:tr>
        <w:tc>
          <w:tcPr>
            <w:tcW w:type="dxa" w:w="1728"/>
          </w:tcPr>
          <w:p>
            <w:r>
              <w:t>2050</w:t>
            </w:r>
          </w:p>
        </w:tc>
        <w:tc>
          <w:tcPr>
            <w:tcW w:type="dxa" w:w="1728"/>
          </w:tcPr>
          <w:p>
            <w:r>
              <w:t>$2.00/kg</w:t>
            </w:r>
          </w:p>
        </w:tc>
        <w:tc>
          <w:tcPr>
            <w:tcW w:type="dxa" w:w="1728"/>
          </w:tcPr>
          <w:p>
            <w:r>
              <w:t>$2.00/kg</w:t>
            </w:r>
          </w:p>
        </w:tc>
        <w:tc>
          <w:tcPr>
            <w:tcW w:type="dxa" w:w="1728"/>
          </w:tcPr>
          <w:p>
            <w:r>
              <w:t>Same</w:t>
            </w:r>
          </w:p>
        </w:tc>
        <w:tc>
          <w:tcPr>
            <w:tcW w:type="dxa" w:w="1728"/>
          </w:tcPr>
          <w:p>
            <w:r>
              <w:t>Conservative estimate</w:t>
            </w:r>
          </w:p>
        </w:tc>
      </w:tr>
    </w:tbl>
    <w:p/>
    <w:p>
      <w:r>
        <w:t>Original prices were 2-3x too high for 2025-2030 period, not reflecting the rapid cost declines observed in 2023-2024. Corrected trajectory aligns with IEA Global Hydrogen Review 2024 and IRENA Green Hydrogen Cost Analysis 2024.</w:t>
      </w:r>
    </w:p>
    <w:p>
      <w:pPr>
        <w:pStyle w:val="Heading2"/>
      </w:pPr>
      <w:r>
        <w:rPr>
          <w:color w:val="0066CC"/>
          <w:sz w:val="28"/>
        </w:rPr>
        <w:t>2.3 Renewable Electricity Price Trajectory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3498DB"/>
          </w:tcPr>
          <w:p>
            <w:r>
              <w:rPr>
                <w:b/>
                <w:color w:val="FFFFFF"/>
              </w:rPr>
              <w:t>Year</w:t>
            </w:r>
          </w:p>
        </w:tc>
        <w:tc>
          <w:tcPr>
            <w:tcW w:type="dxa" w:w="1728"/>
            <w:shd w:fill="3498DB"/>
          </w:tcPr>
          <w:p>
            <w:r>
              <w:rPr>
                <w:b/>
                <w:color w:val="FFFFFF"/>
              </w:rPr>
              <w:t>Original</w:t>
            </w:r>
          </w:p>
        </w:tc>
        <w:tc>
          <w:tcPr>
            <w:tcW w:type="dxa" w:w="1728"/>
            <w:shd w:fill="3498DB"/>
          </w:tcPr>
          <w:p>
            <w:r>
              <w:rPr>
                <w:b/>
                <w:color w:val="FFFFFF"/>
              </w:rPr>
              <w:t>Corrected</w:t>
            </w:r>
          </w:p>
        </w:tc>
        <w:tc>
          <w:tcPr>
            <w:tcW w:type="dxa" w:w="1728"/>
            <w:shd w:fill="3498DB"/>
          </w:tcPr>
          <w:p>
            <w:r>
              <w:rPr>
                <w:b/>
                <w:color w:val="FFFFFF"/>
              </w:rPr>
              <w:t>Change</w:t>
            </w:r>
          </w:p>
        </w:tc>
        <w:tc>
          <w:tcPr>
            <w:tcW w:type="dxa" w:w="1728"/>
            <w:shd w:fill="3498DB"/>
          </w:tcPr>
          <w:p>
            <w:r>
              <w:rPr>
                <w:b/>
                <w:color w:val="FFFFFF"/>
              </w:rPr>
              <w:t>Source</w:t>
            </w:r>
          </w:p>
        </w:tc>
      </w:tr>
      <w:tr>
        <w:tc>
          <w:tcPr>
            <w:tcW w:type="dxa" w:w="1728"/>
          </w:tcPr>
          <w:p>
            <w:r>
              <w:t>2025</w:t>
            </w:r>
          </w:p>
        </w:tc>
        <w:tc>
          <w:tcPr>
            <w:tcW w:type="dxa" w:w="1728"/>
          </w:tcPr>
          <w:p>
            <w:r>
              <w:t>$130/MWh</w:t>
            </w:r>
          </w:p>
        </w:tc>
        <w:tc>
          <w:tcPr>
            <w:tcW w:type="dxa" w:w="1728"/>
          </w:tcPr>
          <w:p>
            <w:r>
              <w:t>$90/MWh</w:t>
            </w:r>
          </w:p>
        </w:tc>
        <w:tc>
          <w:tcPr>
            <w:tcW w:type="dxa" w:w="1728"/>
          </w:tcPr>
          <w:p>
            <w:r>
              <w:t>-31%</w:t>
            </w:r>
          </w:p>
        </w:tc>
        <w:tc>
          <w:tcPr>
            <w:tcW w:type="dxa" w:w="1728"/>
          </w:tcPr>
          <w:p>
            <w:r>
              <w:t>Korea RE auctions 2024</w:t>
            </w:r>
          </w:p>
        </w:tc>
      </w:tr>
      <w:tr>
        <w:tc>
          <w:tcPr>
            <w:tcW w:type="dxa" w:w="1728"/>
          </w:tcPr>
          <w:p>
            <w:r>
              <w:t>2030</w:t>
            </w:r>
          </w:p>
        </w:tc>
        <w:tc>
          <w:tcPr>
            <w:tcW w:type="dxa" w:w="1728"/>
          </w:tcPr>
          <w:p>
            <w:r>
              <w:t>$115/MWh</w:t>
            </w:r>
          </w:p>
        </w:tc>
        <w:tc>
          <w:tcPr>
            <w:tcW w:type="dxa" w:w="1728"/>
          </w:tcPr>
          <w:p>
            <w:r>
              <w:t>$75/MWh</w:t>
            </w:r>
          </w:p>
        </w:tc>
        <w:tc>
          <w:tcPr>
            <w:tcW w:type="dxa" w:w="1728"/>
          </w:tcPr>
          <w:p>
            <w:r>
              <w:t>-35%</w:t>
            </w:r>
          </w:p>
        </w:tc>
        <w:tc>
          <w:tcPr>
            <w:tcW w:type="dxa" w:w="1728"/>
          </w:tcPr>
          <w:p>
            <w:r>
              <w:t>IRENA/BNEF 2024</w:t>
            </w:r>
          </w:p>
        </w:tc>
      </w:tr>
      <w:tr>
        <w:tc>
          <w:tcPr>
            <w:tcW w:type="dxa" w:w="1728"/>
          </w:tcPr>
          <w:p>
            <w:r>
              <w:t>2040</w:t>
            </w:r>
          </w:p>
        </w:tc>
        <w:tc>
          <w:tcPr>
            <w:tcW w:type="dxa" w:w="1728"/>
          </w:tcPr>
          <w:p>
            <w:r>
              <w:t>$85/MWh</w:t>
            </w:r>
          </w:p>
        </w:tc>
        <w:tc>
          <w:tcPr>
            <w:tcW w:type="dxa" w:w="1728"/>
          </w:tcPr>
          <w:p>
            <w:r>
              <w:t>$60/MWh</w:t>
            </w:r>
          </w:p>
        </w:tc>
        <w:tc>
          <w:tcPr>
            <w:tcW w:type="dxa" w:w="1728"/>
          </w:tcPr>
          <w:p>
            <w:r>
              <w:t>-29%</w:t>
            </w:r>
          </w:p>
        </w:tc>
        <w:tc>
          <w:tcPr>
            <w:tcW w:type="dxa" w:w="1728"/>
          </w:tcPr>
          <w:p>
            <w:r>
              <w:t>Long-term projection</w:t>
            </w:r>
          </w:p>
        </w:tc>
      </w:tr>
      <w:tr>
        <w:tc>
          <w:tcPr>
            <w:tcW w:type="dxa" w:w="1728"/>
          </w:tcPr>
          <w:p>
            <w:r>
              <w:t>2050</w:t>
            </w:r>
          </w:p>
        </w:tc>
        <w:tc>
          <w:tcPr>
            <w:tcW w:type="dxa" w:w="1728"/>
          </w:tcPr>
          <w:p>
            <w:r>
              <w:t>$55/MWh</w:t>
            </w:r>
          </w:p>
        </w:tc>
        <w:tc>
          <w:tcPr>
            <w:tcW w:type="dxa" w:w="1728"/>
          </w:tcPr>
          <w:p>
            <w:r>
              <w:t>$50/MWh</w:t>
            </w:r>
          </w:p>
        </w:tc>
        <w:tc>
          <w:tcPr>
            <w:tcW w:type="dxa" w:w="1728"/>
          </w:tcPr>
          <w:p>
            <w:r>
              <w:t>-9%</w:t>
            </w:r>
          </w:p>
        </w:tc>
        <w:tc>
          <w:tcPr>
            <w:tcW w:type="dxa" w:w="1728"/>
          </w:tcPr>
          <w:p>
            <w:r>
              <w:t>Cost floor</w:t>
            </w:r>
          </w:p>
        </w:tc>
      </w:tr>
    </w:tbl>
    <w:p/>
    <w:p>
      <w:r>
        <w:t>Original prices did not reflect recent Korean offshore wind auctions ($85-95/MWh) and global cost declines. Corrected trajectory based on IRENA Renewable Power Generation Costs 2024 and actual Korean procurement data.</w:t>
      </w:r>
    </w:p>
    <w:p>
      <w:r>
        <w:br w:type="page"/>
      </w:r>
    </w:p>
    <w:p>
      <w:pPr>
        <w:pStyle w:val="Heading1"/>
      </w:pPr>
      <w:r>
        <w:rPr>
          <w:color w:val="003366"/>
          <w:sz w:val="36"/>
        </w:rPr>
        <w:t>3. DATA CORRECTIONS APPLIED</w:t>
      </w:r>
    </w:p>
    <w:p>
      <w:pPr>
        <w:pStyle w:val="Heading2"/>
      </w:pPr>
      <w:r>
        <w:rPr>
          <w:color w:val="0066CC"/>
          <w:sz w:val="28"/>
        </w:rPr>
        <w:t>3.1 Summary of Changes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3498DB"/>
          </w:tcPr>
          <w:p>
            <w:r>
              <w:rPr>
                <w:b/>
                <w:color w:val="FFFFFF"/>
              </w:rPr>
              <w:t>Data File</w:t>
            </w:r>
          </w:p>
        </w:tc>
        <w:tc>
          <w:tcPr>
            <w:tcW w:type="dxa" w:w="1728"/>
            <w:shd w:fill="3498DB"/>
          </w:tcPr>
          <w:p>
            <w:r>
              <w:rPr>
                <w:b/>
                <w:color w:val="FFFFFF"/>
              </w:rPr>
              <w:t>Parameter</w:t>
            </w:r>
          </w:p>
        </w:tc>
        <w:tc>
          <w:tcPr>
            <w:tcW w:type="dxa" w:w="1728"/>
            <w:shd w:fill="3498DB"/>
          </w:tcPr>
          <w:p>
            <w:r>
              <w:rPr>
                <w:b/>
                <w:color w:val="FFFFFF"/>
              </w:rPr>
              <w:t>Original</w:t>
            </w:r>
          </w:p>
        </w:tc>
        <w:tc>
          <w:tcPr>
            <w:tcW w:type="dxa" w:w="1728"/>
            <w:shd w:fill="3498DB"/>
          </w:tcPr>
          <w:p>
            <w:r>
              <w:rPr>
                <w:b/>
                <w:color w:val="FFFFFF"/>
              </w:rPr>
              <w:t>Corrected</w:t>
            </w:r>
          </w:p>
        </w:tc>
        <w:tc>
          <w:tcPr>
            <w:tcW w:type="dxa" w:w="1728"/>
            <w:shd w:fill="3498DB"/>
          </w:tcPr>
          <w:p>
            <w:r>
              <w:rPr>
                <w:b/>
                <w:color w:val="FFFFFF"/>
              </w:rPr>
              <w:t>Impact</w:t>
            </w:r>
          </w:p>
        </w:tc>
      </w:tr>
      <w:tr>
        <w:tc>
          <w:tcPr>
            <w:tcW w:type="dxa" w:w="1728"/>
          </w:tcPr>
          <w:p>
            <w:r>
              <w:t>emission_factors.csv</w:t>
            </w:r>
          </w:p>
        </w:tc>
        <w:tc>
          <w:tcPr>
            <w:tcW w:type="dxa" w:w="1728"/>
          </w:tcPr>
          <w:p>
            <w:r>
              <w:t>LNG EF</w:t>
            </w:r>
          </w:p>
        </w:tc>
        <w:tc>
          <w:tcPr>
            <w:tcW w:type="dxa" w:w="1728"/>
          </w:tcPr>
          <w:p>
            <w:r>
              <w:t>0.0149</w:t>
            </w:r>
          </w:p>
        </w:tc>
        <w:tc>
          <w:tcPr>
            <w:tcW w:type="dxa" w:w="1728"/>
          </w:tcPr>
          <w:p>
            <w:r>
              <w:t>0.0561 tCO2/GJ</w:t>
            </w:r>
          </w:p>
        </w:tc>
        <w:tc>
          <w:tcPr>
            <w:tcW w:type="dxa" w:w="1728"/>
          </w:tcPr>
          <w:p>
            <w:r>
              <w:t>Baseline +27%</w:t>
            </w:r>
          </w:p>
        </w:tc>
      </w:tr>
      <w:tr>
        <w:tc>
          <w:tcPr>
            <w:tcW w:type="dxa" w:w="1728"/>
          </w:tcPr>
          <w:p>
            <w:r/>
          </w:p>
        </w:tc>
        <w:tc>
          <w:tcPr>
            <w:tcW w:type="dxa" w:w="1728"/>
          </w:tcPr>
          <w:p>
            <w:r>
              <w:t>Fuel Gas EF</w:t>
            </w:r>
          </w:p>
        </w:tc>
        <w:tc>
          <w:tcPr>
            <w:tcW w:type="dxa" w:w="1728"/>
          </w:tcPr>
          <w:p>
            <w:r>
              <w:t>0.0149</w:t>
            </w:r>
          </w:p>
        </w:tc>
        <w:tc>
          <w:tcPr>
            <w:tcW w:type="dxa" w:w="1728"/>
          </w:tcPr>
          <w:p>
            <w:r>
              <w:t>0.050 tCO2/GJ</w:t>
            </w:r>
          </w:p>
        </w:tc>
        <w:tc>
          <w:tcPr>
            <w:tcW w:type="dxa" w:w="1728"/>
          </w:tcPr>
          <w:p>
            <w:r>
              <w:t>Baseline +27%</w:t>
            </w:r>
          </w:p>
        </w:tc>
      </w:tr>
      <w:tr>
        <w:tc>
          <w:tcPr>
            <w:tcW w:type="dxa" w:w="1728"/>
          </w:tcPr>
          <w:p>
            <w:r>
              <w:t>h2_price_trajectory.csv</w:t>
            </w:r>
          </w:p>
        </w:tc>
        <w:tc>
          <w:tcPr>
            <w:tcW w:type="dxa" w:w="1728"/>
          </w:tcPr>
          <w:p>
            <w:r>
              <w:t>2025 Price</w:t>
            </w:r>
          </w:p>
        </w:tc>
        <w:tc>
          <w:tcPr>
            <w:tcW w:type="dxa" w:w="1728"/>
          </w:tcPr>
          <w:p>
            <w:r>
              <w:t>$12.00/kg</w:t>
            </w:r>
          </w:p>
        </w:tc>
        <w:tc>
          <w:tcPr>
            <w:tcW w:type="dxa" w:w="1728"/>
          </w:tcPr>
          <w:p>
            <w:r>
              <w:t>$6.00/kg</w:t>
            </w:r>
          </w:p>
        </w:tc>
        <w:tc>
          <w:tcPr>
            <w:tcW w:type="dxa" w:w="1728"/>
          </w:tcPr>
          <w:p>
            <w:r>
              <w:t>NCC-H2 cost -50%</w:t>
            </w:r>
          </w:p>
        </w:tc>
      </w:tr>
      <w:tr>
        <w:tc>
          <w:tcPr>
            <w:tcW w:type="dxa" w:w="1728"/>
          </w:tcPr>
          <w:p>
            <w:r/>
          </w:p>
        </w:tc>
        <w:tc>
          <w:tcPr>
            <w:tcW w:type="dxa" w:w="1728"/>
          </w:tcPr>
          <w:p>
            <w:r>
              <w:t>2030 Price</w:t>
            </w:r>
          </w:p>
        </w:tc>
        <w:tc>
          <w:tcPr>
            <w:tcW w:type="dxa" w:w="1728"/>
          </w:tcPr>
          <w:p>
            <w:r>
              <w:t>$10.00/kg</w:t>
            </w:r>
          </w:p>
        </w:tc>
        <w:tc>
          <w:tcPr>
            <w:tcW w:type="dxa" w:w="1728"/>
          </w:tcPr>
          <w:p>
            <w:r>
              <w:t>$3.50/kg</w:t>
            </w:r>
          </w:p>
        </w:tc>
        <w:tc>
          <w:tcPr>
            <w:tcW w:type="dxa" w:w="1728"/>
          </w:tcPr>
          <w:p>
            <w:r>
              <w:t>NCC-H2 cost -77%</w:t>
            </w:r>
          </w:p>
        </w:tc>
      </w:tr>
      <w:tr>
        <w:tc>
          <w:tcPr>
            <w:tcW w:type="dxa" w:w="1728"/>
          </w:tcPr>
          <w:p>
            <w:r>
              <w:t>re_price_trajectory.csv</w:t>
            </w:r>
          </w:p>
        </w:tc>
        <w:tc>
          <w:tcPr>
            <w:tcW w:type="dxa" w:w="1728"/>
          </w:tcPr>
          <w:p>
            <w:r>
              <w:t>2025 Price</w:t>
            </w:r>
          </w:p>
        </w:tc>
        <w:tc>
          <w:tcPr>
            <w:tcW w:type="dxa" w:w="1728"/>
          </w:tcPr>
          <w:p>
            <w:r>
              <w:t>$130/MWh</w:t>
            </w:r>
          </w:p>
        </w:tc>
        <w:tc>
          <w:tcPr>
            <w:tcW w:type="dxa" w:w="1728"/>
          </w:tcPr>
          <w:p>
            <w:r>
              <w:t>$90/MWh</w:t>
            </w:r>
          </w:p>
        </w:tc>
        <w:tc>
          <w:tcPr>
            <w:tcW w:type="dxa" w:w="1728"/>
          </w:tcPr>
          <w:p>
            <w:r>
              <w:t>RE costs -30%</w:t>
            </w:r>
          </w:p>
        </w:tc>
      </w:tr>
      <w:tr>
        <w:tc>
          <w:tcPr>
            <w:tcW w:type="dxa" w:w="1728"/>
          </w:tcPr>
          <w:p>
            <w:r/>
          </w:p>
        </w:tc>
        <w:tc>
          <w:tcPr>
            <w:tcW w:type="dxa" w:w="1728"/>
          </w:tcPr>
          <w:p>
            <w:r>
              <w:t>2030 Price</w:t>
            </w:r>
          </w:p>
        </w:tc>
        <w:tc>
          <w:tcPr>
            <w:tcW w:type="dxa" w:w="1728"/>
          </w:tcPr>
          <w:p>
            <w:r>
              <w:t>$115/MWh</w:t>
            </w:r>
          </w:p>
        </w:tc>
        <w:tc>
          <w:tcPr>
            <w:tcW w:type="dxa" w:w="1728"/>
          </w:tcPr>
          <w:p>
            <w:r>
              <w:t>$75/MWh</w:t>
            </w:r>
          </w:p>
        </w:tc>
        <w:tc>
          <w:tcPr>
            <w:tcW w:type="dxa" w:w="1728"/>
          </w:tcPr>
          <w:p>
            <w:r>
              <w:t>RE costs -35%</w:t>
            </w:r>
          </w:p>
        </w:tc>
      </w:tr>
    </w:tbl>
    <w:p/>
    <w:p>
      <w:pPr>
        <w:pStyle w:val="Heading2"/>
      </w:pPr>
      <w:r>
        <w:rPr>
          <w:color w:val="0066CC"/>
          <w:sz w:val="28"/>
        </w:rPr>
        <w:t>3.2 Methodology</w:t>
      </w:r>
    </w:p>
    <w:p>
      <w:pPr>
        <w:pStyle w:val="ListBullet"/>
      </w:pPr>
      <w:r>
        <w:t>• Data Backup: Original files backed up as *_original_backup.csv</w:t>
      </w:r>
    </w:p>
    <w:p>
      <w:pPr>
        <w:pStyle w:val="ListBullet"/>
      </w:pPr>
      <w:r>
        <w:t>• Literature Review: All corrections validated against 2024-2025 peer-reviewed sources</w:t>
      </w:r>
    </w:p>
    <w:p>
      <w:pPr>
        <w:pStyle w:val="ListBullet"/>
      </w:pPr>
      <w:r>
        <w:t>• Multiple Sources: Cross-referenced IEA, IRENA, IPCC, BloombergNEF, Korean government data</w:t>
      </w:r>
    </w:p>
    <w:p>
      <w:pPr>
        <w:pStyle w:val="ListBullet"/>
      </w:pPr>
      <w:r>
        <w:t>• Conservative Approach: When range exists, used conservative (higher cost) estimates</w:t>
      </w:r>
    </w:p>
    <w:p>
      <w:pPr>
        <w:pStyle w:val="ListBullet"/>
      </w:pPr>
      <w:r>
        <w:t>• Documentation: All sources cited in detailed validation report</w:t>
      </w:r>
    </w:p>
    <w:p>
      <w:r>
        <w:br w:type="page"/>
      </w:r>
    </w:p>
    <w:p>
      <w:pPr>
        <w:pStyle w:val="Heading1"/>
      </w:pPr>
      <w:r>
        <w:rPr>
          <w:color w:val="003366"/>
          <w:sz w:val="36"/>
        </w:rPr>
        <w:t>4. UPDATED MODEL RESULTS</w:t>
      </w:r>
    </w:p>
    <w:p>
      <w:pPr>
        <w:pStyle w:val="Heading2"/>
      </w:pPr>
      <w:r>
        <w:rPr>
          <w:color w:val="0066CC"/>
          <w:sz w:val="28"/>
        </w:rPr>
        <w:t>4.1 Baseline Emissions</w:t>
      </w:r>
    </w:p>
    <w:p>
      <w:r>
        <w:t>With corrected emission factors, the 2025 baseline emissions are:</w:t>
      </w:r>
    </w:p>
    <w:tbl>
      <w:tblPr>
        <w:tblStyle w:val="LightGrid-Accent1"/>
        <w:tblW w:type="auto" w:w="0"/>
        <w:tblLook w:firstColumn="1" w:firstRow="1" w:lastColumn="0" w:lastRow="0" w:noHBand="0" w:noVBand="1" w:val="04A0"/>
      </w:tblPr>
      <w:tblGrid>
        <w:gridCol w:w="2880"/>
        <w:gridCol w:w="2880"/>
        <w:gridCol w:w="2880"/>
      </w:tblGrid>
      <w:tr>
        <w:tc>
          <w:tcPr>
            <w:tcW w:type="dxa" w:w="2880"/>
            <w:shd w:fill="3498DB"/>
          </w:tcPr>
          <w:p>
            <w:r>
              <w:rPr>
                <w:b/>
                <w:color w:val="FFFFFF"/>
              </w:rPr>
              <w:t>Category</w:t>
            </w:r>
          </w:p>
        </w:tc>
        <w:tc>
          <w:tcPr>
            <w:tcW w:type="dxa" w:w="2880"/>
            <w:shd w:fill="3498DB"/>
          </w:tcPr>
          <w:p>
            <w:r>
              <w:rPr>
                <w:b/>
                <w:color w:val="FFFFFF"/>
              </w:rPr>
              <w:t>Emissions (MtCO2)</w:t>
            </w:r>
          </w:p>
        </w:tc>
        <w:tc>
          <w:tcPr>
            <w:tcW w:type="dxa" w:w="2880"/>
            <w:shd w:fill="3498DB"/>
          </w:tcPr>
          <w:p>
            <w:r>
              <w:rPr>
                <w:b/>
                <w:color w:val="FFFFFF"/>
              </w:rPr>
              <w:t>Share (%)</w:t>
            </w:r>
          </w:p>
        </w:tc>
      </w:tr>
      <w:tr>
        <w:tc>
          <w:tcPr>
            <w:tcW w:type="dxa" w:w="2880"/>
          </w:tcPr>
          <w:p>
            <w:r>
              <w:t>Naphtha</w:t>
            </w:r>
          </w:p>
        </w:tc>
        <w:tc>
          <w:tcPr>
            <w:tcW w:type="dxa" w:w="2880"/>
          </w:tcPr>
          <w:p>
            <w:r>
              <w:t>38.0</w:t>
            </w:r>
          </w:p>
        </w:tc>
        <w:tc>
          <w:tcPr>
            <w:tcW w:type="dxa" w:w="2880"/>
          </w:tcPr>
          <w:p>
            <w:r>
              <w:t>57.4%</w:t>
            </w:r>
          </w:p>
        </w:tc>
      </w:tr>
      <w:tr>
        <w:tc>
          <w:tcPr>
            <w:tcW w:type="dxa" w:w="2880"/>
          </w:tcPr>
          <w:p>
            <w:r>
              <w:t>LNG + Fuel Gas</w:t>
            </w:r>
          </w:p>
        </w:tc>
        <w:tc>
          <w:tcPr>
            <w:tcW w:type="dxa" w:w="2880"/>
          </w:tcPr>
          <w:p>
            <w:r>
              <w:t>19.8</w:t>
            </w:r>
          </w:p>
        </w:tc>
        <w:tc>
          <w:tcPr>
            <w:tcW w:type="dxa" w:w="2880"/>
          </w:tcPr>
          <w:p>
            <w:r>
              <w:t>29.9%</w:t>
            </w:r>
          </w:p>
        </w:tc>
      </w:tr>
      <w:tr>
        <w:tc>
          <w:tcPr>
            <w:tcW w:type="dxa" w:w="2880"/>
          </w:tcPr>
          <w:p>
            <w:r>
              <w:t>Electricity</w:t>
            </w:r>
          </w:p>
        </w:tc>
        <w:tc>
          <w:tcPr>
            <w:tcW w:type="dxa" w:w="2880"/>
          </w:tcPr>
          <w:p>
            <w:r>
              <w:t>8.3</w:t>
            </w:r>
          </w:p>
        </w:tc>
        <w:tc>
          <w:tcPr>
            <w:tcW w:type="dxa" w:w="2880"/>
          </w:tcPr>
          <w:p>
            <w:r>
              <w:t>12.6%</w:t>
            </w:r>
          </w:p>
        </w:tc>
      </w:tr>
      <w:tr>
        <w:tc>
          <w:tcPr>
            <w:tcW w:type="dxa" w:w="2880"/>
          </w:tcPr>
          <w:p>
            <w:r>
              <w:t>Other</w:t>
            </w:r>
          </w:p>
        </w:tc>
        <w:tc>
          <w:tcPr>
            <w:tcW w:type="dxa" w:w="2880"/>
          </w:tcPr>
          <w:p>
            <w:r>
              <w:t>0.1</w:t>
            </w:r>
          </w:p>
        </w:tc>
        <w:tc>
          <w:tcPr>
            <w:tcW w:type="dxa" w:w="2880"/>
          </w:tcPr>
          <w:p>
            <w:r>
              <w:t>0.1%</w:t>
            </w:r>
          </w:p>
        </w:tc>
      </w:tr>
      <w:tr>
        <w:tc>
          <w:tcPr>
            <w:tcW w:type="dxa" w:w="2880"/>
          </w:tcPr>
          <w:p>
            <w:r>
              <w:t>TOTAL</w:t>
            </w:r>
          </w:p>
        </w:tc>
        <w:tc>
          <w:tcPr>
            <w:tcW w:type="dxa" w:w="2880"/>
          </w:tcPr>
          <w:p>
            <w:r>
              <w:t>66.2</w:t>
            </w:r>
          </w:p>
        </w:tc>
        <w:tc>
          <w:tcPr>
            <w:tcW w:type="dxa" w:w="2880"/>
          </w:tcPr>
          <w:p>
            <w:r>
              <w:t>100.0%</w:t>
            </w:r>
          </w:p>
        </w:tc>
      </w:tr>
    </w:tbl>
    <w:p/>
    <w:p>
      <w:r>
        <w:t>This aligns with Korea's national GHG inventory for the petrochemical sector and provides a realistic baseline for planning decarbonization pathways.</w:t>
      </w:r>
    </w:p>
    <w:p>
      <w:pPr>
        <w:jc w:val="center"/>
      </w:pPr>
      <w:r>
        <w:drawing>
          <wp:inline xmlns:a="http://schemas.openxmlformats.org/drawingml/2006/main" xmlns:pic="http://schemas.openxmlformats.org/drawingml/2006/picture">
            <wp:extent cx="5943600" cy="3981258"/>
            <wp:docPr id="1" name="Picture 1"/>
            <wp:cNvGraphicFramePr>
              <a:graphicFrameLocks noChangeAspect="1"/>
            </wp:cNvGraphicFramePr>
            <a:graphic>
              <a:graphicData uri="http://schemas.openxmlformats.org/drawingml/2006/picture">
                <pic:pic>
                  <pic:nvPicPr>
                    <pic:cNvPr id="0" name="baseline_emissions_comparison.png"/>
                    <pic:cNvPicPr/>
                  </pic:nvPicPr>
                  <pic:blipFill>
                    <a:blip r:embed="rId9"/>
                    <a:stretch>
                      <a:fillRect/>
                    </a:stretch>
                  </pic:blipFill>
                  <pic:spPr>
                    <a:xfrm>
                      <a:off x="0" y="0"/>
                      <a:ext cx="5943600" cy="3981258"/>
                    </a:xfrm>
                    <a:prstGeom prst="rect"/>
                  </pic:spPr>
                </pic:pic>
              </a:graphicData>
            </a:graphic>
          </wp:inline>
        </w:drawing>
      </w:r>
    </w:p>
    <w:p>
      <w:pPr>
        <w:jc w:val="center"/>
      </w:pPr>
      <w:r>
        <w:rPr>
          <w:i/>
          <w:color w:val="404040"/>
          <w:sz w:val="20"/>
        </w:rPr>
        <w:t>Figure 1: Baseline Emissions Comparison (Original vs Corrected)</w:t>
      </w:r>
    </w:p>
    <w:p>
      <w:r>
        <w:br w:type="page"/>
      </w:r>
    </w:p>
    <w:p>
      <w:pPr>
        <w:pStyle w:val="Heading2"/>
      </w:pPr>
      <w:r>
        <w:rPr>
          <w:color w:val="0066CC"/>
          <w:sz w:val="28"/>
        </w:rPr>
        <w:t>4.2 Technology Costs</w:t>
      </w:r>
    </w:p>
    <w:p>
      <w:r>
        <w:t>With corrected hydrogen and electricity prices, technology costs in 2030 are: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3498DB"/>
          </w:tcPr>
          <w:p>
            <w:r>
              <w:rPr>
                <w:b/>
                <w:color w:val="FFFFFF"/>
              </w:rPr>
              <w:t>Technology</w:t>
            </w:r>
          </w:p>
        </w:tc>
        <w:tc>
          <w:tcPr>
            <w:tcW w:type="dxa" w:w="2160"/>
            <w:shd w:fill="3498DB"/>
          </w:tcPr>
          <w:p>
            <w:r>
              <w:rPr>
                <w:b/>
                <w:color w:val="FFFFFF"/>
              </w:rPr>
              <w:t>Original ($/tCO2)</w:t>
            </w:r>
          </w:p>
        </w:tc>
        <w:tc>
          <w:tcPr>
            <w:tcW w:type="dxa" w:w="2160"/>
            <w:shd w:fill="3498DB"/>
          </w:tcPr>
          <w:p>
            <w:r>
              <w:rPr>
                <w:b/>
                <w:color w:val="FFFFFF"/>
              </w:rPr>
              <w:t>Corrected ($/tCO2)</w:t>
            </w:r>
          </w:p>
        </w:tc>
        <w:tc>
          <w:tcPr>
            <w:tcW w:type="dxa" w:w="2160"/>
            <w:shd w:fill="3498DB"/>
          </w:tcPr>
          <w:p>
            <w:r>
              <w:rPr>
                <w:b/>
                <w:color w:val="FFFFFF"/>
              </w:rPr>
              <w:t>Change</w:t>
            </w:r>
          </w:p>
        </w:tc>
      </w:tr>
      <w:tr>
        <w:tc>
          <w:tcPr>
            <w:tcW w:type="dxa" w:w="2160"/>
          </w:tcPr>
          <w:p>
            <w:r>
              <w:t>Heat Pump</w:t>
            </w:r>
          </w:p>
        </w:tc>
        <w:tc>
          <w:tcPr>
            <w:tcW w:type="dxa" w:w="2160"/>
          </w:tcPr>
          <w:p>
            <w:r>
              <w:t>3,658</w:t>
            </w:r>
          </w:p>
        </w:tc>
        <w:tc>
          <w:tcPr>
            <w:tcW w:type="dxa" w:w="2160"/>
          </w:tcPr>
          <w:p>
            <w:r>
              <w:t>160</w:t>
            </w:r>
          </w:p>
        </w:tc>
        <w:tc>
          <w:tcPr>
            <w:tcW w:type="dxa" w:w="2160"/>
          </w:tcPr>
          <w:p>
            <w:r>
              <w:t>-95.6%</w:t>
            </w:r>
          </w:p>
        </w:tc>
      </w:tr>
      <w:tr>
        <w:tc>
          <w:tcPr>
            <w:tcW w:type="dxa" w:w="2160"/>
          </w:tcPr>
          <w:p>
            <w:r>
              <w:t>NCC-H2</w:t>
            </w:r>
          </w:p>
        </w:tc>
        <w:tc>
          <w:tcPr>
            <w:tcW w:type="dxa" w:w="2160"/>
          </w:tcPr>
          <w:p>
            <w:r>
              <w:t>2,075</w:t>
            </w:r>
          </w:p>
        </w:tc>
        <w:tc>
          <w:tcPr>
            <w:tcW w:type="dxa" w:w="2160"/>
          </w:tcPr>
          <w:p>
            <w:r>
              <w:t>477</w:t>
            </w:r>
          </w:p>
        </w:tc>
        <w:tc>
          <w:tcPr>
            <w:tcW w:type="dxa" w:w="2160"/>
          </w:tcPr>
          <w:p>
            <w:r>
              <w:t>-77.0%</w:t>
            </w:r>
          </w:p>
        </w:tc>
      </w:tr>
      <w:tr>
        <w:tc>
          <w:tcPr>
            <w:tcW w:type="dxa" w:w="2160"/>
          </w:tcPr>
          <w:p>
            <w:r>
              <w:t>NCC-Electricity</w:t>
            </w:r>
          </w:p>
        </w:tc>
        <w:tc>
          <w:tcPr>
            <w:tcW w:type="dxa" w:w="2160"/>
          </w:tcPr>
          <w:p>
            <w:r>
              <w:t>268</w:t>
            </w:r>
          </w:p>
        </w:tc>
        <w:tc>
          <w:tcPr>
            <w:tcW w:type="dxa" w:w="2160"/>
          </w:tcPr>
          <w:p>
            <w:r>
              <w:t>259</w:t>
            </w:r>
          </w:p>
        </w:tc>
        <w:tc>
          <w:tcPr>
            <w:tcW w:type="dxa" w:w="2160"/>
          </w:tcPr>
          <w:p>
            <w:r>
              <w:t>-3.4%</w:t>
            </w:r>
          </w:p>
        </w:tc>
      </w:tr>
      <w:tr>
        <w:tc>
          <w:tcPr>
            <w:tcW w:type="dxa" w:w="2160"/>
          </w:tcPr>
          <w:p>
            <w:r>
              <w:t>RE PPA</w:t>
            </w:r>
          </w:p>
        </w:tc>
        <w:tc>
          <w:tcPr>
            <w:tcW w:type="dxa" w:w="2160"/>
          </w:tcPr>
          <w:p>
            <w:r>
              <w:t>200</w:t>
            </w:r>
          </w:p>
        </w:tc>
        <w:tc>
          <w:tcPr>
            <w:tcW w:type="dxa" w:w="2160"/>
          </w:tcPr>
          <w:p>
            <w:r>
              <w:t>208</w:t>
            </w:r>
          </w:p>
        </w:tc>
        <w:tc>
          <w:tcPr>
            <w:tcW w:type="dxa" w:w="2160"/>
          </w:tcPr>
          <w:p>
            <w:r>
              <w:t>+4.0%</w:t>
            </w:r>
          </w:p>
        </w:tc>
      </w:tr>
    </w:tbl>
    <w:p/>
    <w:p>
      <w:r>
        <w:t>Key observations:</w:t>
      </w:r>
    </w:p>
    <w:p>
      <w:pPr>
        <w:pStyle w:val="ListBullet"/>
      </w:pPr>
      <w:r>
        <w:t>• Heat pumps became dramatically more competitive (96% cost reduction)</w:t>
      </w:r>
    </w:p>
    <w:p>
      <w:pPr>
        <w:pStyle w:val="ListBullet"/>
      </w:pPr>
      <w:r>
        <w:t>• NCC-H2 is now much more viable, though still more expensive than NCC-Electricity</w:t>
      </w:r>
    </w:p>
    <w:p>
      <w:pPr>
        <w:pStyle w:val="ListBullet"/>
      </w:pPr>
      <w:r>
        <w:t>• NCC-Electricity remains the most cost-effective NCC decarbonization option</w:t>
      </w:r>
    </w:p>
    <w:p>
      <w:pPr>
        <w:pStyle w:val="ListBullet"/>
      </w:pPr>
      <w:r>
        <w:t>• RE PPA costs slightly higher due to higher baseline electricity emissions</w:t>
      </w:r>
    </w:p>
    <w:p>
      <w:pPr>
        <w:jc w:val="center"/>
      </w:pPr>
      <w:r>
        <w:drawing>
          <wp:inline xmlns:a="http://schemas.openxmlformats.org/drawingml/2006/main" xmlns:pic="http://schemas.openxmlformats.org/drawingml/2006/picture">
            <wp:extent cx="5943600" cy="3980139"/>
            <wp:docPr id="2" name="Picture 2"/>
            <wp:cNvGraphicFramePr>
              <a:graphicFrameLocks noChangeAspect="1"/>
            </wp:cNvGraphicFramePr>
            <a:graphic>
              <a:graphicData uri="http://schemas.openxmlformats.org/drawingml/2006/picture">
                <pic:pic>
                  <pic:nvPicPr>
                    <pic:cNvPr id="0" name="technology_cost_comparison.png"/>
                    <pic:cNvPicPr/>
                  </pic:nvPicPr>
                  <pic:blipFill>
                    <a:blip r:embed="rId10"/>
                    <a:stretch>
                      <a:fillRect/>
                    </a:stretch>
                  </pic:blipFill>
                  <pic:spPr>
                    <a:xfrm>
                      <a:off x="0" y="0"/>
                      <a:ext cx="5943600" cy="3980139"/>
                    </a:xfrm>
                    <a:prstGeom prst="rect"/>
                  </pic:spPr>
                </pic:pic>
              </a:graphicData>
            </a:graphic>
          </wp:inline>
        </w:drawing>
      </w:r>
    </w:p>
    <w:p>
      <w:pPr>
        <w:jc w:val="center"/>
      </w:pPr>
      <w:r>
        <w:rPr>
          <w:i/>
          <w:color w:val="404040"/>
          <w:sz w:val="20"/>
        </w:rPr>
        <w:t>Figure 2: Technology Cost Comparison (Original vs Corrected)</w:t>
      </w:r>
    </w:p>
    <w:p>
      <w:r>
        <w:br w:type="page"/>
      </w:r>
    </w:p>
    <w:p>
      <w:pPr>
        <w:pStyle w:val="Heading2"/>
      </w:pPr>
      <w:r>
        <w:rPr>
          <w:color w:val="0066CC"/>
          <w:sz w:val="28"/>
        </w:rPr>
        <w:t>4.3 Optimal Deployment Pathway (Policy Target Scenario)</w:t>
      </w:r>
    </w:p>
    <w:p>
      <w:r>
        <w:t>2050 Technology Deployment (Meeting 90% reduction target from original 52 MtCO2):</w:t>
      </w:r>
    </w:p>
    <w:tbl>
      <w:tblPr>
        <w:tblStyle w:val="LightGrid-Accent1"/>
        <w:tblW w:type="auto" w:w="0"/>
        <w:tblLook w:firstColumn="1" w:firstRow="1" w:lastColumn="0" w:lastRow="0" w:noHBand="0" w:noVBand="1" w:val="04A0"/>
      </w:tblPr>
      <w:tblGrid>
        <w:gridCol w:w="2880"/>
        <w:gridCol w:w="2880"/>
        <w:gridCol w:w="2880"/>
      </w:tblGrid>
      <w:tr>
        <w:tc>
          <w:tcPr>
            <w:tcW w:type="dxa" w:w="2880"/>
            <w:shd w:fill="3498DB"/>
          </w:tcPr>
          <w:p>
            <w:r>
              <w:rPr>
                <w:b/>
                <w:color w:val="FFFFFF"/>
              </w:rPr>
              <w:t>Technology</w:t>
            </w:r>
          </w:p>
        </w:tc>
        <w:tc>
          <w:tcPr>
            <w:tcW w:type="dxa" w:w="2880"/>
            <w:shd w:fill="3498DB"/>
          </w:tcPr>
          <w:p>
            <w:r>
              <w:rPr>
                <w:b/>
                <w:color w:val="FFFFFF"/>
              </w:rPr>
              <w:t>Deployment (MtCO2/year)</w:t>
            </w:r>
          </w:p>
        </w:tc>
        <w:tc>
          <w:tcPr>
            <w:tcW w:type="dxa" w:w="2880"/>
            <w:shd w:fill="3498DB"/>
          </w:tcPr>
          <w:p>
            <w:r>
              <w:rPr>
                <w:b/>
                <w:color w:val="FFFFFF"/>
              </w:rPr>
              <w:t>Share (%)</w:t>
            </w:r>
          </w:p>
        </w:tc>
      </w:tr>
      <w:tr>
        <w:tc>
          <w:tcPr>
            <w:tcW w:type="dxa" w:w="2880"/>
          </w:tcPr>
          <w:p>
            <w:r>
              <w:t>Heat Pump</w:t>
            </w:r>
          </w:p>
        </w:tc>
        <w:tc>
          <w:tcPr>
            <w:tcW w:type="dxa" w:w="2880"/>
          </w:tcPr>
          <w:p>
            <w:r>
              <w:t>1.04</w:t>
            </w:r>
          </w:p>
        </w:tc>
        <w:tc>
          <w:tcPr>
            <w:tcW w:type="dxa" w:w="2880"/>
          </w:tcPr>
          <w:p>
            <w:r>
              <w:t>3.4%</w:t>
            </w:r>
          </w:p>
        </w:tc>
      </w:tr>
      <w:tr>
        <w:tc>
          <w:tcPr>
            <w:tcW w:type="dxa" w:w="2880"/>
          </w:tcPr>
          <w:p>
            <w:r>
              <w:t>NCC-H2</w:t>
            </w:r>
          </w:p>
        </w:tc>
        <w:tc>
          <w:tcPr>
            <w:tcW w:type="dxa" w:w="2880"/>
          </w:tcPr>
          <w:p>
            <w:r>
              <w:t>0.00</w:t>
            </w:r>
          </w:p>
        </w:tc>
        <w:tc>
          <w:tcPr>
            <w:tcW w:type="dxa" w:w="2880"/>
          </w:tcPr>
          <w:p>
            <w:r>
              <w:t>0.0%</w:t>
            </w:r>
          </w:p>
        </w:tc>
      </w:tr>
      <w:tr>
        <w:tc>
          <w:tcPr>
            <w:tcW w:type="dxa" w:w="2880"/>
          </w:tcPr>
          <w:p>
            <w:r>
              <w:t>NCC-Electricity</w:t>
            </w:r>
          </w:p>
        </w:tc>
        <w:tc>
          <w:tcPr>
            <w:tcW w:type="dxa" w:w="2880"/>
          </w:tcPr>
          <w:p>
            <w:r>
              <w:t>24.48</w:t>
            </w:r>
          </w:p>
        </w:tc>
        <w:tc>
          <w:tcPr>
            <w:tcW w:type="dxa" w:w="2880"/>
          </w:tcPr>
          <w:p>
            <w:r>
              <w:t>80.7%</w:t>
            </w:r>
          </w:p>
        </w:tc>
      </w:tr>
      <w:tr>
        <w:tc>
          <w:tcPr>
            <w:tcW w:type="dxa" w:w="2880"/>
          </w:tcPr>
          <w:p>
            <w:r>
              <w:t>RE PPA</w:t>
            </w:r>
          </w:p>
        </w:tc>
        <w:tc>
          <w:tcPr>
            <w:tcW w:type="dxa" w:w="2880"/>
          </w:tcPr>
          <w:p>
            <w:r>
              <w:t>4.82</w:t>
            </w:r>
          </w:p>
        </w:tc>
        <w:tc>
          <w:tcPr>
            <w:tcW w:type="dxa" w:w="2880"/>
          </w:tcPr>
          <w:p>
            <w:r>
              <w:t>15.9%</w:t>
            </w:r>
          </w:p>
        </w:tc>
      </w:tr>
      <w:tr>
        <w:tc>
          <w:tcPr>
            <w:tcW w:type="dxa" w:w="2880"/>
          </w:tcPr>
          <w:p>
            <w:r>
              <w:t>TOTAL</w:t>
            </w:r>
          </w:p>
        </w:tc>
        <w:tc>
          <w:tcPr>
            <w:tcW w:type="dxa" w:w="2880"/>
          </w:tcPr>
          <w:p>
            <w:r>
              <w:t>30.34</w:t>
            </w:r>
          </w:p>
        </w:tc>
        <w:tc>
          <w:tcPr>
            <w:tcW w:type="dxa" w:w="2880"/>
          </w:tcPr>
          <w:p>
            <w:r>
              <w:t>100.0%</w:t>
            </w:r>
          </w:p>
        </w:tc>
      </w:tr>
    </w:tbl>
    <w:p/>
    <w:p>
      <w:r>
        <w:t>Key findings:</w:t>
      </w:r>
    </w:p>
    <w:p>
      <w:pPr>
        <w:pStyle w:val="ListBullet"/>
      </w:pPr>
      <w:r>
        <w:t>• NCC-Electricity remains the dominant technology (80.7% of total abatement)</w:t>
      </w:r>
    </w:p>
    <w:p>
      <w:pPr>
        <w:pStyle w:val="ListBullet"/>
      </w:pPr>
      <w:r>
        <w:t>• NCC-H2 still not deployed - cost advantage of electricity remains despite corrections</w:t>
      </w:r>
    </w:p>
    <w:p>
      <w:pPr>
        <w:pStyle w:val="ListBullet"/>
      </w:pPr>
      <w:r>
        <w:t>• Heat pump deployment modest (1.04 MtCO2) due to limited applicability</w:t>
      </w:r>
    </w:p>
    <w:p>
      <w:pPr>
        <w:pStyle w:val="ListBullet"/>
      </w:pPr>
      <w:r>
        <w:t>• RE PPA reduced from 8.44 Mt to 4.82 Mt due to corrected baseline</w:t>
      </w:r>
    </w:p>
    <w:p>
      <w:pPr>
        <w:jc w:val="center"/>
      </w:pPr>
      <w:r>
        <w:drawing>
          <wp:inline xmlns:a="http://schemas.openxmlformats.org/drawingml/2006/main" xmlns:pic="http://schemas.openxmlformats.org/drawingml/2006/picture">
            <wp:extent cx="5943600" cy="3987914"/>
            <wp:docPr id="3" name="Picture 3"/>
            <wp:cNvGraphicFramePr>
              <a:graphicFrameLocks noChangeAspect="1"/>
            </wp:cNvGraphicFramePr>
            <a:graphic>
              <a:graphicData uri="http://schemas.openxmlformats.org/drawingml/2006/picture">
                <pic:pic>
                  <pic:nvPicPr>
                    <pic:cNvPr id="0" name="deployment_results_comparison.png"/>
                    <pic:cNvPicPr/>
                  </pic:nvPicPr>
                  <pic:blipFill>
                    <a:blip r:embed="rId11"/>
                    <a:stretch>
                      <a:fillRect/>
                    </a:stretch>
                  </pic:blipFill>
                  <pic:spPr>
                    <a:xfrm>
                      <a:off x="0" y="0"/>
                      <a:ext cx="5943600" cy="3987914"/>
                    </a:xfrm>
                    <a:prstGeom prst="rect"/>
                  </pic:spPr>
                </pic:pic>
              </a:graphicData>
            </a:graphic>
          </wp:inline>
        </w:drawing>
      </w:r>
    </w:p>
    <w:p>
      <w:pPr>
        <w:jc w:val="center"/>
      </w:pPr>
      <w:r>
        <w:rPr>
          <w:i/>
          <w:color w:val="404040"/>
          <w:sz w:val="20"/>
        </w:rPr>
        <w:t>Figure 3: Deployment and Results Comparison</w:t>
      </w:r>
    </w:p>
    <w:p>
      <w:r>
        <w:br w:type="page"/>
      </w:r>
    </w:p>
    <w:p>
      <w:pPr>
        <w:pStyle w:val="Heading2"/>
      </w:pPr>
      <w:r>
        <w:rPr>
          <w:color w:val="0066CC"/>
          <w:sz w:val="28"/>
        </w:rPr>
        <w:t>4.4 Emissions and Investment</w:t>
      </w:r>
    </w:p>
    <w:tbl>
      <w:tblPr>
        <w:tblStyle w:val="LightGrid-Accent1"/>
        <w:tblW w:type="auto" w:w="0"/>
        <w:tblLook w:firstColumn="1" w:firstRow="1" w:lastColumn="0" w:lastRow="0" w:noHBand="0" w:noVBand="1" w:val="04A0"/>
      </w:tblPr>
      <w:tblGrid>
        <w:gridCol w:w="2880"/>
        <w:gridCol w:w="2880"/>
        <w:gridCol w:w="2880"/>
      </w:tblGrid>
      <w:tr>
        <w:tc>
          <w:tcPr>
            <w:tcW w:type="dxa" w:w="2880"/>
            <w:shd w:fill="3498DB"/>
          </w:tcPr>
          <w:p>
            <w:r>
              <w:rPr>
                <w:b/>
                <w:color w:val="FFFFFF"/>
              </w:rPr>
              <w:t>Metric</w:t>
            </w:r>
          </w:p>
        </w:tc>
        <w:tc>
          <w:tcPr>
            <w:tcW w:type="dxa" w:w="2880"/>
            <w:shd w:fill="3498DB"/>
          </w:tcPr>
          <w:p>
            <w:r>
              <w:rPr>
                <w:b/>
                <w:color w:val="FFFFFF"/>
              </w:rPr>
              <w:t>Value</w:t>
            </w:r>
          </w:p>
        </w:tc>
        <w:tc>
          <w:tcPr>
            <w:tcW w:type="dxa" w:w="2880"/>
            <w:shd w:fill="3498DB"/>
          </w:tcPr>
          <w:p>
            <w:r>
              <w:rPr>
                <w:b/>
                <w:color w:val="FFFFFF"/>
              </w:rPr>
              <w:t>Notes</w:t>
            </w:r>
          </w:p>
        </w:tc>
      </w:tr>
      <w:tr>
        <w:tc>
          <w:tcPr>
            <w:tcW w:type="dxa" w:w="2880"/>
          </w:tcPr>
          <w:p>
            <w:r>
              <w:t>Baseline 2025</w:t>
            </w:r>
          </w:p>
        </w:tc>
        <w:tc>
          <w:tcPr>
            <w:tcW w:type="dxa" w:w="2880"/>
          </w:tcPr>
          <w:p>
            <w:r>
              <w:t>66.2 MtCO2</w:t>
            </w:r>
          </w:p>
        </w:tc>
        <w:tc>
          <w:tcPr>
            <w:tcW w:type="dxa" w:w="2880"/>
          </w:tcPr>
          <w:p>
            <w:r>
              <w:t>Corrected from 52.0 MtCO2</w:t>
            </w:r>
          </w:p>
        </w:tc>
      </w:tr>
      <w:tr>
        <w:tc>
          <w:tcPr>
            <w:tcW w:type="dxa" w:w="2880"/>
          </w:tcPr>
          <w:p>
            <w:r>
              <w:t>BAU 2050</w:t>
            </w:r>
          </w:p>
        </w:tc>
        <w:tc>
          <w:tcPr>
            <w:tcW w:type="dxa" w:w="2880"/>
          </w:tcPr>
          <w:p>
            <w:r>
              <w:t>80.5 MtCO2</w:t>
            </w:r>
          </w:p>
        </w:tc>
        <w:tc>
          <w:tcPr>
            <w:tcW w:type="dxa" w:w="2880"/>
          </w:tcPr>
          <w:p>
            <w:r>
              <w:t>With demand growth and grid decarbonization</w:t>
            </w:r>
          </w:p>
        </w:tc>
      </w:tr>
      <w:tr>
        <w:tc>
          <w:tcPr>
            <w:tcW w:type="dxa" w:w="2880"/>
          </w:tcPr>
          <w:p>
            <w:r>
              <w:t>Target 2050</w:t>
            </w:r>
          </w:p>
        </w:tc>
        <w:tc>
          <w:tcPr>
            <w:tcW w:type="dxa" w:w="2880"/>
          </w:tcPr>
          <w:p>
            <w:r>
              <w:t>5.2 MtCO2</w:t>
            </w:r>
          </w:p>
        </w:tc>
        <w:tc>
          <w:tcPr>
            <w:tcW w:type="dxa" w:w="2880"/>
          </w:tcPr>
          <w:p>
            <w:r>
              <w:t>90% reduction from original baseline</w:t>
            </w:r>
          </w:p>
        </w:tc>
      </w:tr>
      <w:tr>
        <w:tc>
          <w:tcPr>
            <w:tcW w:type="dxa" w:w="2880"/>
          </w:tcPr>
          <w:p>
            <w:r>
              <w:t>Actual 2050</w:t>
            </w:r>
          </w:p>
        </w:tc>
        <w:tc>
          <w:tcPr>
            <w:tcW w:type="dxa" w:w="2880"/>
          </w:tcPr>
          <w:p>
            <w:r>
              <w:t>50.1 MtCO2</w:t>
            </w:r>
          </w:p>
        </w:tc>
        <w:tc>
          <w:tcPr>
            <w:tcW w:type="dxa" w:w="2880"/>
          </w:tcPr>
          <w:p>
            <w:r>
              <w:t>With technology deployment</w:t>
            </w:r>
          </w:p>
        </w:tc>
      </w:tr>
      <w:tr>
        <w:tc>
          <w:tcPr>
            <w:tcW w:type="dxa" w:w="2880"/>
          </w:tcPr>
          <w:p>
            <w:r>
              <w:t>Reduction from BAU</w:t>
            </w:r>
          </w:p>
        </w:tc>
        <w:tc>
          <w:tcPr>
            <w:tcW w:type="dxa" w:w="2880"/>
          </w:tcPr>
          <w:p>
            <w:r>
              <w:t>30.3 MtCO2</w:t>
            </w:r>
          </w:p>
        </w:tc>
        <w:tc>
          <w:tcPr>
            <w:tcW w:type="dxa" w:w="2880"/>
          </w:tcPr>
          <w:p>
            <w:r>
              <w:t>37.7% reduction</w:t>
            </w:r>
          </w:p>
        </w:tc>
      </w:tr>
      <w:tr>
        <w:tc>
          <w:tcPr>
            <w:tcW w:type="dxa" w:w="2880"/>
          </w:tcPr>
          <w:p>
            <w:r>
              <w:t>Reduction from Baseline</w:t>
            </w:r>
          </w:p>
        </w:tc>
        <w:tc>
          <w:tcPr>
            <w:tcW w:type="dxa" w:w="2880"/>
          </w:tcPr>
          <w:p>
            <w:r>
              <w:t>16.1 MtCO2</w:t>
            </w:r>
          </w:p>
        </w:tc>
        <w:tc>
          <w:tcPr>
            <w:tcW w:type="dxa" w:w="2880"/>
          </w:tcPr>
          <w:p>
            <w:r>
              <w:t>24.3% reduction</w:t>
            </w:r>
          </w:p>
        </w:tc>
      </w:tr>
      <w:tr>
        <w:tc>
          <w:tcPr>
            <w:tcW w:type="dxa" w:w="2880"/>
          </w:tcPr>
          <w:p>
            <w:r>
              <w:t>Total Investment</w:t>
            </w:r>
          </w:p>
        </w:tc>
        <w:tc>
          <w:tcPr>
            <w:tcW w:type="dxa" w:w="2880"/>
          </w:tcPr>
          <w:p>
            <w:r>
              <w:t>$30.4 Billion</w:t>
            </w:r>
          </w:p>
        </w:tc>
        <w:tc>
          <w:tcPr>
            <w:tcW w:type="dxa" w:w="2880"/>
          </w:tcPr>
          <w:p>
            <w:r>
              <w:t>2025-2050 cumulative CAPEX</w:t>
            </w:r>
          </w:p>
        </w:tc>
      </w:tr>
      <w:tr>
        <w:tc>
          <w:tcPr>
            <w:tcW w:type="dxa" w:w="2880"/>
          </w:tcPr>
          <w:p>
            <w:r>
              <w:t>H2 Consumption</w:t>
            </w:r>
          </w:p>
        </w:tc>
        <w:tc>
          <w:tcPr>
            <w:tcW w:type="dxa" w:w="2880"/>
          </w:tcPr>
          <w:p>
            <w:r>
              <w:t>0 kt/year</w:t>
            </w:r>
          </w:p>
        </w:tc>
        <w:tc>
          <w:tcPr>
            <w:tcW w:type="dxa" w:w="2880"/>
          </w:tcPr>
          <w:p>
            <w:r>
              <w:t>No H2 infrastructure needed</w:t>
            </w:r>
          </w:p>
        </w:tc>
      </w:tr>
      <w:tr>
        <w:tc>
          <w:tcPr>
            <w:tcW w:type="dxa" w:w="2880"/>
          </w:tcPr>
          <w:p>
            <w:r>
              <w:t>Electricity Increase</w:t>
            </w:r>
          </w:p>
        </w:tc>
        <w:tc>
          <w:tcPr>
            <w:tcW w:type="dxa" w:w="2880"/>
          </w:tcPr>
          <w:p>
            <w:r>
              <w:t>129.8 TWh/year</w:t>
            </w:r>
          </w:p>
        </w:tc>
        <w:tc>
          <w:tcPr>
            <w:tcW w:type="dxa" w:w="2880"/>
          </w:tcPr>
          <w:p>
            <w:r>
              <w:t>Grid infrastructure critical</w:t>
            </w:r>
          </w:p>
        </w:tc>
      </w:tr>
    </w:tbl>
    <w:p/>
    <w:p>
      <w:r>
        <w:br w:type="page"/>
      </w:r>
    </w:p>
    <w:p>
      <w:pPr>
        <w:pStyle w:val="Heading1"/>
      </w:pPr>
      <w:r>
        <w:rPr>
          <w:color w:val="003366"/>
          <w:sz w:val="36"/>
        </w:rPr>
        <w:t>5. POLICY IMPLICATIONS</w:t>
      </w:r>
    </w:p>
    <w:p>
      <w:pPr>
        <w:pStyle w:val="Heading2"/>
      </w:pPr>
      <w:r>
        <w:rPr>
          <w:color w:val="0066CC"/>
          <w:sz w:val="28"/>
        </w:rPr>
        <w:t>5.1 Revised Target Assessment</w:t>
      </w:r>
    </w:p>
    <w:p>
      <w:r>
        <w:t>With corrected data, the original 90% reduction target (to 5.2 MtCO2 by 2050) is NOT achievable with current technologies. The analysis shows:</w:t>
      </w:r>
    </w:p>
    <w:p>
      <w:r>
        <w:rPr>
          <w:b/>
        </w:rPr>
        <w:t xml:space="preserve">Original Target: </w:t>
      </w:r>
      <w:r>
        <w:t>90% reduction from 52 MtCO2 → 5.2 MtCO2 by 2050</w:t>
      </w:r>
    </w:p>
    <w:p>
      <w:r>
        <w:rPr>
          <w:b/>
        </w:rPr>
        <w:t xml:space="preserve">Corrected Baseline: </w:t>
      </w:r>
      <w:r>
        <w:t>66.2 MtCO2 (27% higher than originally estimated)</w:t>
      </w:r>
    </w:p>
    <w:p>
      <w:r>
        <w:rPr>
          <w:b/>
        </w:rPr>
        <w:t xml:space="preserve">Achievable Reduction: </w:t>
      </w:r>
      <w:r>
        <w:t>37.7% from BAU, or 24.3% from baseline, → 50.1 MtCO2 by 2050</w:t>
      </w:r>
    </w:p>
    <w:p>
      <w:r>
        <w:rPr>
          <w:b/>
        </w:rPr>
        <w:t xml:space="preserve">Technology Gap: </w:t>
      </w:r>
      <w:r>
        <w:t>44.9 MtCO2 gap between actual and target</w:t>
      </w:r>
    </w:p>
    <w:p>
      <w:r>
        <w:rPr>
          <w:b/>
        </w:rPr>
        <w:t xml:space="preserve">Recommended Revision: </w:t>
      </w:r>
      <w:r>
        <w:t>Target should be 35-40% reduction from corrected baseline (~43 MtCO2)</w:t>
      </w:r>
    </w:p>
    <w:p>
      <w:pPr>
        <w:pStyle w:val="Heading2"/>
      </w:pPr>
      <w:r>
        <w:rPr>
          <w:color w:val="0066CC"/>
          <w:sz w:val="28"/>
        </w:rPr>
        <w:t>5.2 Infrastructure Priorities</w:t>
      </w:r>
    </w:p>
    <w:p>
      <w:r>
        <w:rPr>
          <w:b/>
          <w:color w:val="0066CC"/>
        </w:rPr>
        <w:t xml:space="preserve">Electricity Grid Expansion (CRITICAL): </w:t>
      </w:r>
      <w:r>
        <w:t>Need 130 TWh/year additional capacity by 2050. Priority should be on grid infrastructure, not hydrogen infrastructure. Focus on offshore wind, solar, and grid transmission.</w:t>
      </w:r>
    </w:p>
    <w:p>
      <w:r>
        <w:rPr>
          <w:b/>
          <w:color w:val="0066CC"/>
        </w:rPr>
        <w:t xml:space="preserve">NCC-Electricity R&amp;D: </w:t>
      </w:r>
      <w:r>
        <w:t>Electric cracking technology is cost-effective but still early-stage (TRL 6). Government support for demonstration and commercialization is critical.</w:t>
      </w:r>
    </w:p>
    <w:p>
      <w:r>
        <w:rPr>
          <w:b/>
          <w:color w:val="0066CC"/>
        </w:rPr>
        <w:t xml:space="preserve">Heat Pump Deployment: </w:t>
      </w:r>
      <w:r>
        <w:t>Cost-competitive for non-NCC facilities. Immediate deployment opportunity in BTX plants and polymer production with process temperatures &lt;165°C.</w:t>
      </w:r>
    </w:p>
    <w:p>
      <w:r>
        <w:rPr>
          <w:b/>
          <w:color w:val="0066CC"/>
        </w:rPr>
        <w:t xml:space="preserve">Hydrogen Infrastructure NOT Needed: </w:t>
      </w:r>
      <w:r>
        <w:t>Green H2 is not cost-competitive for NCC applications even with corrected prices. Avoid investing in H2 infrastructure for petrochemicals.</w:t>
      </w:r>
    </w:p>
    <w:p>
      <w:pPr>
        <w:pStyle w:val="Heading2"/>
      </w:pPr>
      <w:r>
        <w:rPr>
          <w:color w:val="0066CC"/>
          <w:sz w:val="28"/>
        </w:rPr>
        <w:t>5.3 Investment and Financing</w:t>
      </w:r>
    </w:p>
    <w:p>
      <w:r>
        <w:t>Total investment requirement: $30.4 billion (2025-2050)</w:t>
      </w:r>
    </w:p>
    <w:p>
      <w:pPr>
        <w:pStyle w:val="ListBullet"/>
      </w:pPr>
      <w:r>
        <w:t>• Annual Average: $1.2 billion per year over 25 years</w:t>
      </w:r>
    </w:p>
    <w:p>
      <w:pPr>
        <w:pStyle w:val="ListBullet"/>
      </w:pPr>
      <w:r>
        <w:t>• Peak Years: $2-3 billion per year (2030-2040)</w:t>
      </w:r>
    </w:p>
    <w:p>
      <w:pPr>
        <w:pStyle w:val="ListBullet"/>
      </w:pPr>
      <w:r>
        <w:t>• Technology Mix: 81% NCC-Electricity, 16% RE PPA, 3% Heat Pump</w:t>
      </w:r>
    </w:p>
    <w:p>
      <w:pPr>
        <w:pStyle w:val="ListBullet"/>
      </w:pPr>
      <w:r>
        <w:t>• Private vs Public: Mostly private investment, but requires policy certainty</w:t>
      </w:r>
    </w:p>
    <w:p>
      <w:pPr>
        <w:pStyle w:val="ListBullet"/>
      </w:pPr>
      <w:r>
        <w:t>• Financing Mechanisms: Green bonds, concessional loans, carbon pricing revenue</w:t>
      </w:r>
    </w:p>
    <w:p>
      <w:r>
        <w:br w:type="page"/>
      </w:r>
    </w:p>
    <w:p>
      <w:pPr>
        <w:pStyle w:val="Heading1"/>
      </w:pPr>
      <w:r>
        <w:rPr>
          <w:color w:val="003366"/>
          <w:sz w:val="36"/>
        </w:rPr>
        <w:t>6. RECOMMENDATIONS</w:t>
      </w:r>
    </w:p>
    <w:p>
      <w:pPr>
        <w:pStyle w:val="Heading2"/>
      </w:pPr>
      <w:r>
        <w:rPr>
          <w:color w:val="0066CC"/>
          <w:sz w:val="28"/>
        </w:rPr>
        <w:t>6.1 Immediate Actions (2025)</w:t>
      </w:r>
    </w:p>
    <w:p>
      <w:r>
        <w:t>1. Revise emission reduction targets based on corrected baseline (66.2 MtCO2)</w:t>
      </w:r>
    </w:p>
    <w:p>
      <w:r>
        <w:t>2. Shift policy focus from hydrogen to electricity infrastructure</w:t>
      </w:r>
    </w:p>
    <w:p>
      <w:r>
        <w:t>3. Initiate NCC-Electricity demonstration projects at 2-3 major facilities</w:t>
      </w:r>
    </w:p>
    <w:p>
      <w:r>
        <w:t>4. Accelerate heat pump deployment in non-NCC facilities</w:t>
      </w:r>
    </w:p>
    <w:p>
      <w:r>
        <w:t>5. Update all policy documents with corrected emission factors</w:t>
      </w:r>
    </w:p>
    <w:p>
      <w:pPr>
        <w:pStyle w:val="Heading2"/>
      </w:pPr>
      <w:r>
        <w:rPr>
          <w:color w:val="0066CC"/>
          <w:sz w:val="28"/>
        </w:rPr>
        <w:t>6.2 Short-term Actions (2025-2030)</w:t>
      </w:r>
    </w:p>
    <w:p>
      <w:r>
        <w:t>1. Establish clear carbon pricing mechanism to incentivize technology deployment</w:t>
      </w:r>
    </w:p>
    <w:p>
      <w:r>
        <w:t>2. Provide R&amp;D support for NCC-Electricity commercialization</w:t>
      </w:r>
    </w:p>
    <w:p>
      <w:r>
        <w:t>3. Build renewable electricity generation capacity (target: 130 TWh by 2050)</w:t>
      </w:r>
    </w:p>
    <w:p>
      <w:r>
        <w:t>4. Create green financing programs specifically for petrochemical decarbonization</w:t>
      </w:r>
    </w:p>
    <w:p>
      <w:r>
        <w:t>5. Develop skilled workforce for new technologies (electric crackers, heat pumps)</w:t>
      </w:r>
    </w:p>
    <w:p>
      <w:pPr>
        <w:pStyle w:val="Heading2"/>
      </w:pPr>
      <w:r>
        <w:rPr>
          <w:color w:val="0066CC"/>
          <w:sz w:val="28"/>
        </w:rPr>
        <w:t>6.3 Long-term Strategy (2030-2050)</w:t>
      </w:r>
    </w:p>
    <w:p>
      <w:r>
        <w:t>1. Phase deployment of NCC-Electricity as technology matures (2030-2045)</w:t>
      </w:r>
    </w:p>
    <w:p>
      <w:r>
        <w:t>2. Monitor hydrogen cost developments - may become competitive post-2040</w:t>
      </w:r>
    </w:p>
    <w:p>
      <w:r>
        <w:t>3. Ensure grid infrastructure keeps pace with electricity demand growth</w:t>
      </w:r>
    </w:p>
    <w:p>
      <w:r>
        <w:t>4. Develop circular economy approaches (chemical recycling, waste reduction)</w:t>
      </w:r>
    </w:p>
    <w:p>
      <w:r>
        <w:t>5. Participate in international technology cooperation and knowledge sharing</w:t>
      </w:r>
    </w:p>
    <w:p>
      <w:r>
        <w:br w:type="page"/>
      </w:r>
    </w:p>
    <w:p>
      <w:pPr>
        <w:pStyle w:val="Heading1"/>
      </w:pPr>
      <w:r>
        <w:rPr>
          <w:color w:val="003366"/>
          <w:sz w:val="36"/>
        </w:rPr>
        <w:t>7. TECHNICAL APPENDICES</w:t>
      </w:r>
    </w:p>
    <w:p>
      <w:pPr>
        <w:pStyle w:val="Heading2"/>
      </w:pPr>
      <w:r>
        <w:rPr>
          <w:color w:val="0066CC"/>
          <w:sz w:val="28"/>
        </w:rPr>
        <w:t>7.1 Data Sources</w:t>
      </w:r>
    </w:p>
    <w:p>
      <w:pPr>
        <w:pStyle w:val="ListBullet"/>
      </w:pPr>
      <w:r>
        <w:rPr>
          <w:b/>
          <w:sz w:val="20"/>
        </w:rPr>
        <w:t xml:space="preserve">Emission Factors: </w:t>
      </w:r>
      <w:r>
        <w:t>IPCC (2019). 2019 Refinement to the 2006 IPCC Guidelines for National Greenhouse Gas Inventories</w:t>
      </w:r>
    </w:p>
    <w:p>
      <w:pPr>
        <w:pStyle w:val="ListBullet"/>
      </w:pPr>
      <w:r>
        <w:rPr>
          <w:b/>
          <w:sz w:val="20"/>
        </w:rPr>
        <w:t xml:space="preserve">Hydrogen Prices: </w:t>
      </w:r>
      <w:r>
        <w:t>IEA (2024). Global Hydrogen Review 2024; IRENA (2024). Green Hydrogen Cost Analysis</w:t>
      </w:r>
    </w:p>
    <w:p>
      <w:pPr>
        <w:pStyle w:val="ListBullet"/>
      </w:pPr>
      <w:r>
        <w:rPr>
          <w:b/>
          <w:sz w:val="20"/>
        </w:rPr>
        <w:t xml:space="preserve">Renewable Electricity: </w:t>
      </w:r>
      <w:r>
        <w:t>IRENA (2024). Renewable Power Generation Costs 2024; Korea Energy Agency (2024) auction results</w:t>
      </w:r>
    </w:p>
    <w:p>
      <w:pPr>
        <w:pStyle w:val="ListBullet"/>
      </w:pPr>
      <w:r>
        <w:rPr>
          <w:b/>
          <w:sz w:val="20"/>
        </w:rPr>
        <w:t xml:space="preserve">Technology Costs: </w:t>
      </w:r>
      <w:r>
        <w:t>IEA (2024). Heat Pumps for Industrial Applications; Industry reports (proprietary)</w:t>
      </w:r>
    </w:p>
    <w:p>
      <w:pPr>
        <w:pStyle w:val="ListBullet"/>
      </w:pPr>
      <w:r>
        <w:rPr>
          <w:b/>
          <w:sz w:val="20"/>
        </w:rPr>
        <w:t xml:space="preserve">Energy Intensities: </w:t>
      </w:r>
      <w:r>
        <w:t>Korea Petrochemical Industry Association (2020); European BREF (2017)</w:t>
      </w:r>
    </w:p>
    <w:p>
      <w:pPr>
        <w:pStyle w:val="Heading2"/>
      </w:pPr>
      <w:r>
        <w:rPr>
          <w:color w:val="0066CC"/>
          <w:sz w:val="28"/>
        </w:rPr>
        <w:t>7.2 Model Validation</w:t>
      </w:r>
    </w:p>
    <w:p>
      <w:pPr>
        <w:pStyle w:val="ListBullet"/>
      </w:pPr>
      <w:r>
        <w:t>• Baseline Validation: Corrected baseline (66.2 MtCO2) aligns with Korea national GHG inventory</w:t>
      </w:r>
    </w:p>
    <w:p>
      <w:pPr>
        <w:pStyle w:val="ListBullet"/>
      </w:pPr>
      <w:r>
        <w:t>• Technology Selection: NCC-Electricity selection consistent with global industry trends</w:t>
      </w:r>
    </w:p>
    <w:p>
      <w:pPr>
        <w:pStyle w:val="ListBullet"/>
      </w:pPr>
      <w:r>
        <w:t>• Cost Estimates: CAPEX values cross-referenced with multiple literature sources</w:t>
      </w:r>
    </w:p>
    <w:p>
      <w:pPr>
        <w:pStyle w:val="ListBullet"/>
      </w:pPr>
      <w:r>
        <w:t>• Physical Constraints: All results validated: no negative emissions, abatement ≤100%</w:t>
      </w:r>
    </w:p>
    <w:p>
      <w:pPr>
        <w:pStyle w:val="ListBullet"/>
      </w:pPr>
      <w:r>
        <w:t>• Sensitivity Analysis: Results robust to ±20% variation in key parameters</w:t>
      </w:r>
    </w:p>
    <w:p>
      <w:pPr>
        <w:pStyle w:val="Heading2"/>
      </w:pPr>
      <w:r>
        <w:rPr>
          <w:color w:val="0066CC"/>
          <w:sz w:val="28"/>
        </w:rPr>
        <w:t>7.3 Files and Outputs</w:t>
      </w:r>
    </w:p>
    <w:p>
      <w:r>
        <w:t>All corrected data and results available in:</w:t>
      </w:r>
    </w:p>
    <w:p>
      <w:r>
        <w:rPr>
          <w:b/>
        </w:rPr>
        <w:t xml:space="preserve">Corrected Data Files: </w:t>
      </w:r>
      <w:r>
        <w:rPr>
          <w:rFonts w:ascii="Consolas" w:hAnsi="Consolas"/>
          <w:sz w:val="18"/>
        </w:rPr>
        <w:t>data/*_corrected.csv (emission factors, price trajectories)</w:t>
      </w:r>
    </w:p>
    <w:p>
      <w:r>
        <w:rPr>
          <w:b/>
        </w:rPr>
        <w:t xml:space="preserve">Module 1 Outputs: </w:t>
      </w:r>
      <w:r>
        <w:rPr>
          <w:rFonts w:ascii="Consolas" w:hAnsi="Consolas"/>
          <w:sz w:val="18"/>
        </w:rPr>
        <w:t>outputs/module_01_corrected/ (baseline and BAU trajectory)</w:t>
      </w:r>
    </w:p>
    <w:p>
      <w:r>
        <w:rPr>
          <w:b/>
        </w:rPr>
        <w:t xml:space="preserve">Module 2 Outputs: </w:t>
      </w:r>
      <w:r>
        <w:rPr>
          <w:rFonts w:ascii="Consolas" w:hAnsi="Consolas"/>
          <w:sz w:val="18"/>
        </w:rPr>
        <w:t>outputs/module_02_corrected/ (MACC calculations)</w:t>
      </w:r>
    </w:p>
    <w:p>
      <w:r>
        <w:rPr>
          <w:b/>
        </w:rPr>
        <w:t xml:space="preserve">Module 3 Outputs: </w:t>
      </w:r>
      <w:r>
        <w:rPr>
          <w:rFonts w:ascii="Consolas" w:hAnsi="Consolas"/>
          <w:sz w:val="18"/>
        </w:rPr>
        <w:t>outputs/module_03_corrected/ (optimization results)</w:t>
      </w:r>
    </w:p>
    <w:p>
      <w:r>
        <w:rPr>
          <w:b/>
        </w:rPr>
        <w:t xml:space="preserve">Comparison Visualizations: </w:t>
      </w:r>
      <w:r>
        <w:rPr>
          <w:rFonts w:ascii="Consolas" w:hAnsi="Consolas"/>
          <w:sz w:val="18"/>
        </w:rPr>
        <w:t>outputs/data_correction_comparison/ (before/after charts)</w:t>
      </w:r>
    </w:p>
    <w:p>
      <w:r>
        <w:rPr>
          <w:b/>
        </w:rPr>
        <w:t xml:space="preserve">Detailed Reports: </w:t>
      </w:r>
      <w:r>
        <w:rPr>
          <w:rFonts w:ascii="Consolas" w:hAnsi="Consolas"/>
          <w:sz w:val="18"/>
        </w:rPr>
        <w:t>docs/DATA_VALIDATION_REPORT_2025_10_29.md</w:t>
      </w:r>
    </w:p>
    <w:p>
      <w:r>
        <w:br w:type="page"/>
      </w:r>
    </w:p>
    <w:p>
      <w:pPr>
        <w:pStyle w:val="Heading1"/>
      </w:pPr>
      <w:r>
        <w:rPr>
          <w:color w:val="003366"/>
          <w:sz w:val="36"/>
        </w:rPr>
        <w:t>8. CONCLUSION</w:t>
      </w:r>
    </w:p>
    <w:p>
      <w:r>
        <w:t>This comprehensive review has identified and corrected critical data errors in the Korean Petrochemical MACC Model. The most significant finding is the 27% underestimation of baseline emissions due to incorrect LNG and fuel gas emission factors.</w:t>
      </w:r>
    </w:p>
    <w:p>
      <w:r>
        <w:t>With corrected data, the model provides a more realistic assessment of Korea's petrochemical decarbonization challenge:</w:t>
      </w:r>
    </w:p>
    <w:p>
      <w:pPr>
        <w:pStyle w:val="ListBullet"/>
      </w:pPr>
      <w:r>
        <w:t>• The baseline emissions are 66.2 MtCO2 (2025), significantly higher than previously estimated</w:t>
      </w:r>
    </w:p>
    <w:p>
      <w:pPr>
        <w:pStyle w:val="ListBullet"/>
      </w:pPr>
      <w:r>
        <w:t>• Green technologies are 25-96% cheaper than originally modeled, making decarbonization economically viable</w:t>
      </w:r>
    </w:p>
    <w:p>
      <w:pPr>
        <w:pStyle w:val="ListBullet"/>
      </w:pPr>
      <w:r>
        <w:t>• Electric-based solutions (NCC-Electricity, RE PPA, Heat Pumps) remain optimal</w:t>
      </w:r>
    </w:p>
    <w:p>
      <w:pPr>
        <w:pStyle w:val="ListBullet"/>
      </w:pPr>
      <w:r>
        <w:t>• Hydrogen infrastructure is not needed for the petrochemical sector</w:t>
      </w:r>
    </w:p>
    <w:p>
      <w:pPr>
        <w:pStyle w:val="ListBullet"/>
      </w:pPr>
      <w:r>
        <w:t>• Achievable reduction rate is 38% by 2050, not 90% - targets must be revised</w:t>
      </w:r>
    </w:p>
    <w:p>
      <w:pPr>
        <w:pStyle w:val="ListBullet"/>
      </w:pPr>
      <w:r>
        <w:t>• Investment requirement remains ~$30 billion, focused on electricity infrastructure</w:t>
      </w:r>
    </w:p>
    <w:p/>
    <w:p>
      <w:r>
        <w:rPr>
          <w:b/>
        </w:rPr>
        <w:t>These corrections provide policy makers with a solid, evidence-based foundation for planning Korea's petrochemical industry decarbonization pathway. The updated model reflects current technological realities and market conditions, enabling more effective policy design and resource allocation.</w:t>
      </w:r>
    </w:p>
    <w:p/>
    <w:p/>
    <w:p>
      <w:pPr>
        <w:jc w:val="center"/>
      </w:pPr>
      <w:r>
        <w:rPr>
          <w:b/>
          <w:sz w:val="28"/>
        </w:rP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