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9D3D" w14:textId="19358564" w:rsidR="00C724E9" w:rsidRDefault="00C724E9" w:rsidP="00C724E9">
      <w:pPr>
        <w:jc w:val="center"/>
        <w:rPr>
          <w:b/>
          <w:bCs/>
        </w:rPr>
      </w:pPr>
      <w:r w:rsidRPr="00C724E9">
        <w:rPr>
          <w:b/>
          <w:bCs/>
        </w:rPr>
        <w:t xml:space="preserve">Notable Prosecutions </w:t>
      </w:r>
      <w:r>
        <w:rPr>
          <w:b/>
          <w:bCs/>
        </w:rPr>
        <w:t>–</w:t>
      </w:r>
      <w:r w:rsidRPr="00C724E9">
        <w:rPr>
          <w:b/>
          <w:bCs/>
        </w:rPr>
        <w:t xml:space="preserve"> </w:t>
      </w:r>
      <w:r w:rsidR="00543447">
        <w:rPr>
          <w:b/>
          <w:bCs/>
        </w:rPr>
        <w:t>Additional 4</w:t>
      </w:r>
    </w:p>
    <w:p w14:paraId="4ACDDF27" w14:textId="77777777" w:rsidR="009258CE" w:rsidRDefault="009258CE" w:rsidP="008E1777">
      <w:pPr>
        <w:pBdr>
          <w:bottom w:val="single" w:sz="6" w:space="1" w:color="auto"/>
        </w:pBdr>
        <w:jc w:val="both"/>
      </w:pPr>
    </w:p>
    <w:p w14:paraId="74292D32" w14:textId="77777777" w:rsidR="006F5958" w:rsidRPr="006F5958" w:rsidRDefault="006F5958" w:rsidP="006F5958">
      <w:pPr>
        <w:jc w:val="both"/>
        <w:rPr>
          <w:rFonts w:ascii="Segoe UI Emoji" w:hAnsi="Segoe UI Emoji" w:cs="Segoe UI Emoji"/>
        </w:rPr>
      </w:pPr>
      <w:r w:rsidRPr="006F5958">
        <w:rPr>
          <w:rFonts w:ascii="Segoe UI Emoji" w:hAnsi="Segoe UI Emoji" w:cs="Segoe UI Emoji"/>
          <w:b/>
          <w:bCs/>
        </w:rPr>
        <w:t>United States v. Parthasarathi "Bob" Majumder</w:t>
      </w:r>
    </w:p>
    <w:p w14:paraId="6AB7C349" w14:textId="77777777" w:rsidR="006F5958" w:rsidRPr="006F5958" w:rsidRDefault="006F5958" w:rsidP="006F5958">
      <w:pPr>
        <w:jc w:val="both"/>
        <w:rPr>
          <w:rFonts w:ascii="Segoe UI Emoji" w:hAnsi="Segoe UI Emoji" w:cs="Segoe UI Emoji"/>
        </w:rPr>
      </w:pPr>
      <w:r w:rsidRPr="006F5958">
        <w:rPr>
          <w:rFonts w:ascii="Segoe UI Emoji" w:hAnsi="Segoe UI Emoji" w:cs="Segoe UI Emoji"/>
        </w:rPr>
        <w:t>Campaign Finance · Straw Donors · Defense Contracting Influence</w:t>
      </w:r>
    </w:p>
    <w:p w14:paraId="26CBA58E" w14:textId="77777777" w:rsidR="006F5958" w:rsidRPr="006F5958" w:rsidRDefault="006F5958" w:rsidP="006F5958">
      <w:pPr>
        <w:jc w:val="both"/>
        <w:rPr>
          <w:rFonts w:ascii="Segoe UI Emoji" w:hAnsi="Segoe UI Emoji" w:cs="Segoe UI Emoji"/>
        </w:rPr>
      </w:pPr>
      <w:r w:rsidRPr="006F5958">
        <w:rPr>
          <w:rFonts w:ascii="Segoe UI Emoji" w:hAnsi="Segoe UI Emoji" w:cs="Segoe UI Emoji"/>
        </w:rPr>
        <w:t>Sole Prosecutor</w:t>
      </w:r>
    </w:p>
    <w:p w14:paraId="6D9B10D9" w14:textId="77777777" w:rsidR="006F5958" w:rsidRPr="006F5958" w:rsidRDefault="006F5958" w:rsidP="006F5958">
      <w:pPr>
        <w:jc w:val="both"/>
        <w:rPr>
          <w:rFonts w:ascii="Segoe UI Emoji" w:hAnsi="Segoe UI Emoji" w:cs="Segoe UI Emoji"/>
        </w:rPr>
      </w:pPr>
      <w:r w:rsidRPr="006F5958">
        <w:rPr>
          <w:rFonts w:ascii="Segoe UI Emoji" w:hAnsi="Segoe UI Emoji" w:cs="Segoe UI Emoji"/>
        </w:rPr>
        <w:t>Parthasarathi "Bob" Majumder, the owner of a San Diego-area defense contracting company, orchestrated a scheme to funnel illegal campaign contributions to members of Congress, including Representatives Duncan Hunter and Randy Cunningham, and Senator John Kerry. Over several years, Majumder recruited "straw donors" from his employees, subcontractors, and associates and convinced them to make political contributions in their own names. He would then reimburse them and, in this manner, conceal himself as the true source of the funds. Majumder's contributions were aimed at these three lawmakers as they all had influence over defense appropriations—which he was illegally seeking for his company while evading federal limits and disclosure requirements.</w:t>
      </w:r>
    </w:p>
    <w:p w14:paraId="70E253FC" w14:textId="77777777" w:rsidR="006F5958" w:rsidRPr="006F5958" w:rsidRDefault="006F5958" w:rsidP="006F5958">
      <w:pPr>
        <w:jc w:val="both"/>
        <w:rPr>
          <w:rFonts w:ascii="Segoe UI Emoji" w:hAnsi="Segoe UI Emoji" w:cs="Segoe UI Emoji"/>
        </w:rPr>
      </w:pPr>
      <w:r w:rsidRPr="006F5958">
        <w:rPr>
          <w:rFonts w:ascii="Segoe UI Emoji" w:hAnsi="Segoe UI Emoji" w:cs="Segoe UI Emoji"/>
        </w:rPr>
        <w:t xml:space="preserve">The case was built through financial records and witness testimony establishing the coordinated reimbursement scheme. Majumder pleaded guilty to felony campaign finance violations. The prosecution underscored a fundamental rule of federal election law: contributions must be made in the name of the true donor. When that rule is deliberately evaded through straw donors, the system designed to ensure transparency—disclosure requirements, contribution limits—becomes a fiction. Money flows to influence, and the public has no way to know whose interests are </w:t>
      </w:r>
      <w:proofErr w:type="gramStart"/>
      <w:r w:rsidRPr="006F5958">
        <w:rPr>
          <w:rFonts w:ascii="Segoe UI Emoji" w:hAnsi="Segoe UI Emoji" w:cs="Segoe UI Emoji"/>
        </w:rPr>
        <w:t>actually being</w:t>
      </w:r>
      <w:proofErr w:type="gramEnd"/>
      <w:r w:rsidRPr="006F5958">
        <w:rPr>
          <w:rFonts w:ascii="Segoe UI Emoji" w:hAnsi="Segoe UI Emoji" w:cs="Segoe UI Emoji"/>
        </w:rPr>
        <w:t xml:space="preserve"> served.</w:t>
      </w:r>
    </w:p>
    <w:p w14:paraId="10EB6E37" w14:textId="77777777" w:rsidR="001A66A1" w:rsidRDefault="001A66A1" w:rsidP="00E74052">
      <w:pPr>
        <w:jc w:val="both"/>
      </w:pPr>
    </w:p>
    <w:p w14:paraId="67E314A8" w14:textId="77777777" w:rsidR="0082700D" w:rsidRPr="0082700D" w:rsidRDefault="0082700D" w:rsidP="0082700D">
      <w:pPr>
        <w:jc w:val="both"/>
        <w:rPr>
          <w:b/>
          <w:bCs/>
        </w:rPr>
      </w:pPr>
      <w:r w:rsidRPr="0082700D">
        <w:rPr>
          <w:b/>
          <w:bCs/>
        </w:rPr>
        <w:t>United States v. Dan Duchaine ("The Steroid Guru")</w:t>
      </w:r>
    </w:p>
    <w:p w14:paraId="0D9C65D9" w14:textId="77777777" w:rsidR="0082700D" w:rsidRPr="0082700D" w:rsidRDefault="0082700D" w:rsidP="0082700D">
      <w:pPr>
        <w:jc w:val="both"/>
        <w:rPr>
          <w:b/>
          <w:bCs/>
        </w:rPr>
      </w:pPr>
      <w:r w:rsidRPr="0082700D">
        <w:rPr>
          <w:b/>
          <w:bCs/>
        </w:rPr>
        <w:t>Controlled Substances · Underground Distribution</w:t>
      </w:r>
    </w:p>
    <w:p w14:paraId="43FBF020" w14:textId="77777777" w:rsidR="0082700D" w:rsidRPr="0082700D" w:rsidRDefault="0082700D" w:rsidP="0082700D">
      <w:pPr>
        <w:jc w:val="both"/>
        <w:rPr>
          <w:b/>
          <w:bCs/>
        </w:rPr>
      </w:pPr>
      <w:r w:rsidRPr="0082700D">
        <w:rPr>
          <w:b/>
          <w:bCs/>
        </w:rPr>
        <w:t>Sole Prosecutor</w:t>
      </w:r>
    </w:p>
    <w:p w14:paraId="3337E19A" w14:textId="77777777" w:rsidR="0082700D" w:rsidRPr="0082700D" w:rsidRDefault="0082700D" w:rsidP="0082700D">
      <w:pPr>
        <w:jc w:val="both"/>
        <w:rPr>
          <w:b/>
          <w:bCs/>
        </w:rPr>
      </w:pPr>
      <w:r w:rsidRPr="0082700D">
        <w:rPr>
          <w:b/>
          <w:bCs/>
        </w:rPr>
        <w:t xml:space="preserve">Dan Duchaine was the defining figure in the underground anabolic steroid market—the Guru whose writings, consulting network, and direct participation in acquisition and distribution made him the architect of a black-market economy designed to operate entirely outside federal oversight. As government control of anabolic steroids tightened in the 1980s, Duchaine had become the movement's ideological and operational center, </w:t>
      </w:r>
      <w:r w:rsidRPr="0082700D">
        <w:rPr>
          <w:b/>
          <w:bCs/>
        </w:rPr>
        <w:lastRenderedPageBreak/>
        <w:t>normalizing the diversion of controlled substances from legitimate medical channels into an unregulated shadow market that served thousands of users.</w:t>
      </w:r>
    </w:p>
    <w:p w14:paraId="01D6B2F5" w14:textId="77777777" w:rsidR="0082700D" w:rsidRPr="0082700D" w:rsidRDefault="0082700D" w:rsidP="0082700D">
      <w:pPr>
        <w:jc w:val="both"/>
        <w:rPr>
          <w:b/>
          <w:bCs/>
        </w:rPr>
      </w:pPr>
      <w:r w:rsidRPr="0082700D">
        <w:rPr>
          <w:b/>
          <w:bCs/>
        </w:rPr>
        <w:t xml:space="preserve">His downfall came through an undercover operation using a cooperating associate who recorded Duchaine openly discussing the scope of his </w:t>
      </w:r>
      <w:proofErr w:type="gramStart"/>
      <w:r w:rsidRPr="0082700D">
        <w:rPr>
          <w:b/>
          <w:bCs/>
        </w:rPr>
        <w:t>operation—</w:t>
      </w:r>
      <w:proofErr w:type="gramEnd"/>
      <w:r w:rsidRPr="0082700D">
        <w:rPr>
          <w:b/>
          <w:bCs/>
        </w:rPr>
        <w:t xml:space="preserve">the scale of his shipments, the number of clients, the profits. The recordings provided the foundation for federal charges, but Duchaine led the investigation on a chase before ultimately being brought </w:t>
      </w:r>
      <w:proofErr w:type="gramStart"/>
      <w:r w:rsidRPr="0082700D">
        <w:rPr>
          <w:b/>
          <w:bCs/>
        </w:rPr>
        <w:t>to</w:t>
      </w:r>
      <w:proofErr w:type="gramEnd"/>
      <w:r w:rsidRPr="0082700D">
        <w:rPr>
          <w:b/>
          <w:bCs/>
        </w:rPr>
        <w:t xml:space="preserve"> account. He pleaded guilty and was convicted. In his Underground Steroid Handbook, he had advised readers to avoid the Southern District of California—an acknowledgment, however grudging, that he understood the risks. The prosecution underscored a simple rule: when demand drives markets </w:t>
      </w:r>
      <w:proofErr w:type="gramStart"/>
      <w:r w:rsidRPr="0082700D">
        <w:rPr>
          <w:b/>
          <w:bCs/>
        </w:rPr>
        <w:t>in</w:t>
      </w:r>
      <w:proofErr w:type="gramEnd"/>
      <w:r w:rsidRPr="0082700D">
        <w:rPr>
          <w:b/>
          <w:bCs/>
        </w:rPr>
        <w:t xml:space="preserve"> controlled substances, those markets do not escape federal law by operating in shadow channels. The answer is not </w:t>
      </w:r>
      <w:proofErr w:type="gramStart"/>
      <w:r w:rsidRPr="0082700D">
        <w:rPr>
          <w:b/>
          <w:bCs/>
        </w:rPr>
        <w:t>tolerance—</w:t>
      </w:r>
      <w:proofErr w:type="gramEnd"/>
      <w:r w:rsidRPr="0082700D">
        <w:rPr>
          <w:b/>
          <w:bCs/>
        </w:rPr>
        <w:t>it is prosecution.</w:t>
      </w:r>
    </w:p>
    <w:p w14:paraId="3506BD3D" w14:textId="711CA507" w:rsidR="000E3724" w:rsidRPr="00E20C3C" w:rsidRDefault="000E3724" w:rsidP="00E20C3C">
      <w:pPr>
        <w:jc w:val="both"/>
      </w:pPr>
      <w:r>
        <w:t>Sole Prosecutor</w:t>
      </w:r>
    </w:p>
    <w:p w14:paraId="5254679F" w14:textId="3F3C1293" w:rsidR="001A66A1" w:rsidRPr="001A66A1" w:rsidRDefault="00E20C3C" w:rsidP="001A66A1">
      <w:pPr>
        <w:jc w:val="both"/>
      </w:pPr>
      <w:r>
        <w:t>-------------</w:t>
      </w:r>
    </w:p>
    <w:p w14:paraId="3E94AF02" w14:textId="14B335D6" w:rsidR="000E3724" w:rsidRPr="008E389C" w:rsidRDefault="000E3724" w:rsidP="008E389C">
      <w:pPr>
        <w:jc w:val="both"/>
      </w:pPr>
    </w:p>
    <w:p w14:paraId="088C2A7B" w14:textId="77777777" w:rsidR="000E3724" w:rsidRDefault="000E3724" w:rsidP="000E3724">
      <w:pPr>
        <w:jc w:val="both"/>
      </w:pPr>
      <w:r>
        <w:t>---------</w:t>
      </w:r>
    </w:p>
    <w:p w14:paraId="044668BC" w14:textId="77777777" w:rsidR="000E3724" w:rsidRDefault="000E3724" w:rsidP="000E3724">
      <w:pPr>
        <w:jc w:val="both"/>
      </w:pPr>
      <w:r w:rsidRPr="00162C40">
        <w:rPr>
          <w:b/>
          <w:bCs/>
        </w:rPr>
        <w:t>United States v. Richard P. Sullivan</w:t>
      </w:r>
      <w:r w:rsidRPr="00162C40">
        <w:t xml:space="preserve"> </w:t>
      </w:r>
    </w:p>
    <w:p w14:paraId="1C2CA2AE" w14:textId="77777777" w:rsidR="000E3724" w:rsidRPr="00162C40" w:rsidRDefault="000E3724" w:rsidP="000E3724">
      <w:pPr>
        <w:jc w:val="both"/>
      </w:pPr>
      <w:r w:rsidRPr="00162C40">
        <w:rPr>
          <w:i/>
          <w:iCs/>
        </w:rPr>
        <w:t xml:space="preserve">Drug </w:t>
      </w:r>
      <w:proofErr w:type="gramStart"/>
      <w:r w:rsidRPr="00162C40">
        <w:rPr>
          <w:i/>
          <w:iCs/>
        </w:rPr>
        <w:t xml:space="preserve">Trafficking · </w:t>
      </w:r>
      <w:r>
        <w:rPr>
          <w:i/>
          <w:iCs/>
        </w:rPr>
        <w:t>Pubic</w:t>
      </w:r>
      <w:proofErr w:type="gramEnd"/>
      <w:r>
        <w:rPr>
          <w:i/>
          <w:iCs/>
        </w:rPr>
        <w:t xml:space="preserve"> </w:t>
      </w:r>
      <w:r w:rsidRPr="00162C40">
        <w:rPr>
          <w:i/>
          <w:iCs/>
        </w:rPr>
        <w:t xml:space="preserve">Corruption </w:t>
      </w:r>
    </w:p>
    <w:p w14:paraId="7769B165" w14:textId="77777777" w:rsidR="000E3724" w:rsidRDefault="000E3724" w:rsidP="000E3724">
      <w:pPr>
        <w:jc w:val="both"/>
      </w:pPr>
      <w:r>
        <w:t>Sole Prosecutor</w:t>
      </w:r>
    </w:p>
    <w:p w14:paraId="2CC754C5" w14:textId="77777777" w:rsidR="000E3724" w:rsidRDefault="000E3724" w:rsidP="000E3724">
      <w:pPr>
        <w:jc w:val="both"/>
      </w:pPr>
      <w:r>
        <w:t>When Vice President George Bush launched the South Florida Task Force it was the most ambitious and expensive drug enforcement operation in the nation's history. In response, traffickers began rerouting their operations westward. Customs Special Agent Richard P. Sullivan, assigned to guard that border, saw this as an opportunity and took it. Rather than intercepting drugs, he facilitated their distribution — supplying the organization with aeronautical charts designating radar-free zones, border patrol schedules, and safe landing areas — effectively handing them a map through the government's own defenses. Sullivan also worked with other corrupt Customs officers to ensure the flights crossed the Mexican border without scrutiny. For his role, Sullivan received hundreds of thousands of dollars delivered in cash-filled manila envelopes.</w:t>
      </w:r>
    </w:p>
    <w:p w14:paraId="760BE4C0" w14:textId="71C8A6EA" w:rsidR="000E3724" w:rsidRDefault="000E3724" w:rsidP="000E3724">
      <w:pPr>
        <w:pBdr>
          <w:bottom w:val="single" w:sz="6" w:space="1" w:color="auto"/>
        </w:pBdr>
        <w:jc w:val="both"/>
        <w:rPr>
          <w:b/>
          <w:bCs/>
        </w:rPr>
      </w:pPr>
      <w:r>
        <w:t xml:space="preserve">To handle distribution on the ground, Sullivan recruited his brother — a member of the Outlaw Motorcycle Gang — to use gang members to offload and move the product. The case was extraordinarily complex to investigate and </w:t>
      </w:r>
      <w:proofErr w:type="gramStart"/>
      <w:r>
        <w:t>try,</w:t>
      </w:r>
      <w:proofErr w:type="gramEnd"/>
      <w:r>
        <w:t xml:space="preserve"> a corruption case layered inside a narcotics conspiracy layered inside an institutional betrayal. Sullivan's conviction in 1986 </w:t>
      </w:r>
      <w:r>
        <w:lastRenderedPageBreak/>
        <w:t>stood for a principle that goes beyond the underlying offenses: when the gatekeeper becomes the conduit, the system's defenses aren't merely tested — they are bypassed from within. Accountability, the case made clear, must run inward as well as outward.</w:t>
      </w:r>
    </w:p>
    <w:p w14:paraId="07CBE3DA" w14:textId="77777777" w:rsidR="00045B6A" w:rsidRDefault="00045B6A" w:rsidP="000E3724">
      <w:pPr>
        <w:pBdr>
          <w:bottom w:val="single" w:sz="6" w:space="1" w:color="auto"/>
        </w:pBdr>
        <w:jc w:val="both"/>
        <w:rPr>
          <w:b/>
          <w:bCs/>
        </w:rPr>
      </w:pPr>
    </w:p>
    <w:p w14:paraId="0FC41718" w14:textId="77777777" w:rsidR="007D4F64" w:rsidRPr="007D4F64" w:rsidRDefault="007D4F64" w:rsidP="007D4F64">
      <w:pPr>
        <w:pBdr>
          <w:bottom w:val="single" w:sz="6" w:space="1" w:color="auto"/>
        </w:pBdr>
      </w:pPr>
    </w:p>
    <w:p w14:paraId="2AE8C87A" w14:textId="77777777" w:rsidR="008933FE" w:rsidRPr="008933FE" w:rsidRDefault="008933FE" w:rsidP="008933FE">
      <w:pPr>
        <w:rPr>
          <w:b/>
          <w:bCs/>
        </w:rPr>
      </w:pPr>
      <w:r w:rsidRPr="008933FE">
        <w:rPr>
          <w:b/>
          <w:bCs/>
        </w:rPr>
        <w:t>United States v. Harold J. Sherbondy</w:t>
      </w:r>
    </w:p>
    <w:p w14:paraId="3F5FAB37" w14:textId="77777777" w:rsidR="008933FE" w:rsidRPr="008933FE" w:rsidRDefault="008933FE" w:rsidP="008933FE">
      <w:pPr>
        <w:rPr>
          <w:b/>
          <w:bCs/>
        </w:rPr>
      </w:pPr>
      <w:r w:rsidRPr="008933FE">
        <w:rPr>
          <w:b/>
          <w:bCs/>
        </w:rPr>
        <w:t>Securities Fraud · Ponzi Scheme · Money Laundering</w:t>
      </w:r>
    </w:p>
    <w:p w14:paraId="54382DFA" w14:textId="77777777" w:rsidR="008933FE" w:rsidRPr="008933FE" w:rsidRDefault="008933FE" w:rsidP="008933FE">
      <w:pPr>
        <w:rPr>
          <w:b/>
          <w:bCs/>
        </w:rPr>
      </w:pPr>
      <w:r w:rsidRPr="008933FE">
        <w:rPr>
          <w:b/>
          <w:bCs/>
        </w:rPr>
        <w:t>Sole Prosecutor</w:t>
      </w:r>
    </w:p>
    <w:p w14:paraId="0A48B73A" w14:textId="77777777" w:rsidR="008933FE" w:rsidRPr="008933FE" w:rsidRDefault="008933FE" w:rsidP="008933FE">
      <w:pPr>
        <w:rPr>
          <w:b/>
          <w:bCs/>
        </w:rPr>
      </w:pPr>
      <w:r w:rsidRPr="008933FE">
        <w:rPr>
          <w:b/>
          <w:bCs/>
        </w:rPr>
        <w:t>Harold J. Sherbondy operated a multi-</w:t>
      </w:r>
      <w:proofErr w:type="gramStart"/>
      <w:r w:rsidRPr="008933FE">
        <w:rPr>
          <w:b/>
          <w:bCs/>
        </w:rPr>
        <w:t>million dollar</w:t>
      </w:r>
      <w:proofErr w:type="gramEnd"/>
      <w:r w:rsidRPr="008933FE">
        <w:rPr>
          <w:b/>
          <w:bCs/>
        </w:rPr>
        <w:t xml:space="preserve"> Ponzi scheme that lured investors with promises of extraordinary returns from trading Eurobonds and commodities on the Chicago Mercantile Exchange. Rather than generating legitimate profits, he used new investor money to pay returns to earlier participants, while issuing fraudulent account statements showing consistent gains. To maintain this classic Ponzi scheme, Sherbondy discouraged withdrawals and required investors to lock up their funds, all while portraying himself as a wealthy international financier with ties to major institutions and corporate boards.</w:t>
      </w:r>
    </w:p>
    <w:p w14:paraId="22A9D2A9" w14:textId="77777777" w:rsidR="008933FE" w:rsidRPr="008933FE" w:rsidRDefault="008933FE" w:rsidP="008933FE">
      <w:pPr>
        <w:rPr>
          <w:b/>
          <w:bCs/>
        </w:rPr>
      </w:pPr>
      <w:r w:rsidRPr="008933FE">
        <w:rPr>
          <w:b/>
          <w:bCs/>
        </w:rPr>
        <w:t>Sherbondy was particularly effective at targeting former PSA employees, convincing them to invest their entire individual retirement accounts (IRA funds) generated from the PSA buyout. He financed an extravagant lifestyle with stolen investor money—corporate jets, luxury vehicles, Mexican groves, international travel—while bragging about having made billions through his investments. As with all Ponzi schemes, the operation depended on a continuous flow of new money and ultimately collapsed under its own weight. The prosecution underscored a simple rule: investment returns must be earned, not fabricated. When profits are paid from investor funds rather than real activity, the enterprise is not investment—it is fraud.</w:t>
      </w:r>
    </w:p>
    <w:p w14:paraId="7DE86122" w14:textId="34D0E961" w:rsidR="007D4F64" w:rsidRDefault="007D4F64" w:rsidP="005A444F"/>
    <w:sectPr w:rsidR="007D4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20187"/>
    <w:multiLevelType w:val="multilevel"/>
    <w:tmpl w:val="6F6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18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E9"/>
    <w:rsid w:val="00045B6A"/>
    <w:rsid w:val="000622B2"/>
    <w:rsid w:val="000E3724"/>
    <w:rsid w:val="001421AC"/>
    <w:rsid w:val="00162C40"/>
    <w:rsid w:val="001A66A1"/>
    <w:rsid w:val="001F6A4F"/>
    <w:rsid w:val="003A6113"/>
    <w:rsid w:val="004061D4"/>
    <w:rsid w:val="004139EC"/>
    <w:rsid w:val="00543447"/>
    <w:rsid w:val="005A444F"/>
    <w:rsid w:val="00625DFF"/>
    <w:rsid w:val="006F5958"/>
    <w:rsid w:val="0075435F"/>
    <w:rsid w:val="007D4F64"/>
    <w:rsid w:val="0082700D"/>
    <w:rsid w:val="00851C98"/>
    <w:rsid w:val="008933FE"/>
    <w:rsid w:val="008D49F5"/>
    <w:rsid w:val="008E1777"/>
    <w:rsid w:val="008E389C"/>
    <w:rsid w:val="009258CE"/>
    <w:rsid w:val="00932BB3"/>
    <w:rsid w:val="009B3DC8"/>
    <w:rsid w:val="009F7F56"/>
    <w:rsid w:val="00A70CE8"/>
    <w:rsid w:val="00AF009A"/>
    <w:rsid w:val="00B610D0"/>
    <w:rsid w:val="00C40979"/>
    <w:rsid w:val="00C724E9"/>
    <w:rsid w:val="00D27A35"/>
    <w:rsid w:val="00D64081"/>
    <w:rsid w:val="00DE69DB"/>
    <w:rsid w:val="00E20C3C"/>
    <w:rsid w:val="00E5319F"/>
    <w:rsid w:val="00E7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CA57"/>
  <w15:chartTrackingRefBased/>
  <w15:docId w15:val="{5F188D59-5DC2-4887-933B-0E0B1441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4E9"/>
    <w:rPr>
      <w:rFonts w:eastAsiaTheme="majorEastAsia" w:cstheme="majorBidi"/>
      <w:color w:val="272727" w:themeColor="text1" w:themeTint="D8"/>
    </w:rPr>
  </w:style>
  <w:style w:type="paragraph" w:styleId="Title">
    <w:name w:val="Title"/>
    <w:basedOn w:val="Normal"/>
    <w:next w:val="Normal"/>
    <w:link w:val="TitleChar"/>
    <w:uiPriority w:val="10"/>
    <w:qFormat/>
    <w:rsid w:val="00C7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4E9"/>
    <w:pPr>
      <w:spacing w:before="160"/>
      <w:jc w:val="center"/>
    </w:pPr>
    <w:rPr>
      <w:i/>
      <w:iCs/>
      <w:color w:val="404040" w:themeColor="text1" w:themeTint="BF"/>
    </w:rPr>
  </w:style>
  <w:style w:type="character" w:customStyle="1" w:styleId="QuoteChar">
    <w:name w:val="Quote Char"/>
    <w:basedOn w:val="DefaultParagraphFont"/>
    <w:link w:val="Quote"/>
    <w:uiPriority w:val="29"/>
    <w:rsid w:val="00C724E9"/>
    <w:rPr>
      <w:i/>
      <w:iCs/>
      <w:color w:val="404040" w:themeColor="text1" w:themeTint="BF"/>
    </w:rPr>
  </w:style>
  <w:style w:type="paragraph" w:styleId="ListParagraph">
    <w:name w:val="List Paragraph"/>
    <w:basedOn w:val="Normal"/>
    <w:uiPriority w:val="34"/>
    <w:qFormat/>
    <w:rsid w:val="00C724E9"/>
    <w:pPr>
      <w:ind w:left="720"/>
      <w:contextualSpacing/>
    </w:pPr>
  </w:style>
  <w:style w:type="character" w:styleId="IntenseEmphasis">
    <w:name w:val="Intense Emphasis"/>
    <w:basedOn w:val="DefaultParagraphFont"/>
    <w:uiPriority w:val="21"/>
    <w:qFormat/>
    <w:rsid w:val="00C724E9"/>
    <w:rPr>
      <w:i/>
      <w:iCs/>
      <w:color w:val="0F4761" w:themeColor="accent1" w:themeShade="BF"/>
    </w:rPr>
  </w:style>
  <w:style w:type="paragraph" w:styleId="IntenseQuote">
    <w:name w:val="Intense Quote"/>
    <w:basedOn w:val="Normal"/>
    <w:next w:val="Normal"/>
    <w:link w:val="IntenseQuoteChar"/>
    <w:uiPriority w:val="30"/>
    <w:qFormat/>
    <w:rsid w:val="00C7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4E9"/>
    <w:rPr>
      <w:i/>
      <w:iCs/>
      <w:color w:val="0F4761" w:themeColor="accent1" w:themeShade="BF"/>
    </w:rPr>
  </w:style>
  <w:style w:type="character" w:styleId="IntenseReference">
    <w:name w:val="Intense Reference"/>
    <w:basedOn w:val="DefaultParagraphFont"/>
    <w:uiPriority w:val="32"/>
    <w:qFormat/>
    <w:rsid w:val="00C724E9"/>
    <w:rPr>
      <w:b/>
      <w:bCs/>
      <w:smallCaps/>
      <w:color w:val="0F4761" w:themeColor="accent1" w:themeShade="BF"/>
      <w:spacing w:val="5"/>
    </w:rPr>
  </w:style>
  <w:style w:type="paragraph" w:styleId="NormalWeb">
    <w:name w:val="Normal (Web)"/>
    <w:basedOn w:val="Normal"/>
    <w:uiPriority w:val="99"/>
    <w:semiHidden/>
    <w:unhideWhenUsed/>
    <w:rsid w:val="00E20C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2</cp:revision>
  <dcterms:created xsi:type="dcterms:W3CDTF">2026-04-14T18:52:00Z</dcterms:created>
  <dcterms:modified xsi:type="dcterms:W3CDTF">2026-04-14T18:52:00Z</dcterms:modified>
</cp:coreProperties>
</file>