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left w:val="none"/>
          <w:bottom w:val="none"/>
          <w:right w:val="none"/>
          <w:insideH w:val="single" w:color="auto" w:sz="4"/>
          <w:insideV w:val="single" w:color="auto" w:sz="4"/>
        </w:tblBorders>
      </w:tblPr>
      <w:tblGrid>
        <w:gridCol w:w="9000"/>
      </w:tblGrid>
      <w:tr>
        <w:tc>
          <w:tcPr>
            <w:tcW w:type="dxa" w:w="9000"/>
            <w:tcMar>
              <w:top w:type="dxa" w:w="60"/>
              <w:left w:type="dxa" w:w="110"/>
              <w:bottom w:type="dxa" w:w="60"/>
              <w:right w:type="dxa" w:w="110"/>
            </w:tcMar>
            <w:vAlign w:val="center"/>
          </w:tcPr>
          <w:p>
            <w:pPr>
              <w:spacing w:after="20"/>
              <w:jc w:val="center"/>
            </w:pPr>
            <w:r>
              <w:rPr>
                <w:b/>
                <w:bCs/>
                <w:sz w:val="26"/>
                <w:szCs w:val="26"/>
              </w:rPr>
              <w:t xml:space="preserve">MINISTRY OF EDUCATION AND TRAINING</w:t>
            </w:r>
          </w:p>
        </w:tc>
      </w:tr>
      <w:tr>
        <w:tc>
          <w:tcPr>
            <w:tcW w:type="dxa" w:w="9000"/>
            <w:tcMar>
              <w:top w:type="dxa" w:w="60"/>
              <w:left w:type="dxa" w:w="110"/>
              <w:bottom w:type="dxa" w:w="60"/>
              <w:right w:type="dxa" w:w="110"/>
            </w:tcMar>
            <w:vAlign w:val="center"/>
          </w:tcPr>
          <w:p>
            <w:pPr>
              <w:spacing w:after="0"/>
              <w:jc w:val="center"/>
            </w:pPr>
            <w:r>
              <w:rPr>
                <w:b/>
                <w:bCs/>
                <w:color w:val="1F3864"/>
                <w:sz w:val="40"/>
                <w:szCs w:val="40"/>
              </w:rPr>
              <w:t xml:space="preserve">FPT UNIVERSITY</w:t>
            </w:r>
          </w:p>
        </w:tc>
      </w:tr>
    </w:tbl>
    <w:p>
      <w:pPr>
        <w:pBdr>
          <w:bottom w:val="single" w:color="1F3864" w:sz="12"/>
        </w:pBdr>
        <w:spacing w:after="260" w:before="60"/>
      </w:pPr>
    </w:p>
    <w:p>
      <w:pPr>
        <w:spacing w:after="60"/>
        <w:jc w:val="center"/>
      </w:pPr>
      <w:r>
        <w:rPr>
          <w:b/>
          <w:bCs/>
          <w:color w:val="2E4E7E"/>
          <w:sz w:val="30"/>
          <w:szCs w:val="30"/>
        </w:rPr>
        <w:t xml:space="preserve">CAPSTONE PROJECT DOCUMENT</w:t>
      </w:r>
    </w:p>
    <w:p>
      <w:pPr>
        <w:spacing w:after="340"/>
        <w:jc w:val="center"/>
      </w:pPr>
      <w:r>
        <w:rPr>
          <w:i/>
          <w:iCs/>
          <w:color w:val="5A6472"/>
          <w:sz w:val="26"/>
          <w:szCs w:val="26"/>
        </w:rPr>
        <w:t xml:space="preserve">Report #1 — Project Introduction</w:t>
      </w:r>
    </w:p>
    <w:p>
      <w:pPr>
        <w:spacing w:after="120"/>
        <w:jc w:val="center"/>
      </w:pPr>
      <w:r>
        <w:rPr>
          <w:b/>
          <w:bCs/>
          <w:color w:val="1F3864"/>
          <w:sz w:val="34"/>
          <w:szCs w:val="34"/>
        </w:rPr>
        <w:t xml:space="preserve">A Multimodal Agentic RAG System for Vietnamese Agricultural Visual Question Answering with Grounded, Abstention-Aware Diagnosis</w:t>
      </w:r>
    </w:p>
    <w:p>
      <w:pPr>
        <w:spacing w:after="140"/>
        <w:jc w:val="center"/>
      </w:pPr>
      <w:r>
        <w:rPr>
          <w:b/>
          <w:bCs/>
          <w:color w:val="1F3864"/>
          <w:sz w:val="30"/>
          <w:szCs w:val="30"/>
        </w:rPr>
        <w:t xml:space="preserve">(Vi-AgriVQA)</w:t>
      </w:r>
    </w:p>
    <w:p>
      <w:pPr>
        <w:spacing w:after="360"/>
        <w:jc w:val="center"/>
      </w:pPr>
      <w:r>
        <w:rPr>
          <w:i/>
          <w:iCs/>
          <w:color w:val="3B3B3B"/>
          <w:sz w:val="26"/>
          <w:szCs w:val="26"/>
        </w:rPr>
        <w:t xml:space="preserve">Xây dựng hệ thống Multimodal Agentic RAG cấp độ Production cho Hỏi–Đáp Trực quan (VQA) trong lĩnh vực Nông nghiệp Việt Nam, có trích dẫn nguồn và cơ chế từ chối trả lời</w:t>
      </w:r>
    </w:p>
    <w:tbl>
      <w:tblPr>
        <w:tblW w:type="dxa" w:w="9000"/>
        <w:tblBorders>
          <w:top w:val="single" w:color="9AA6B2" w:sz="4"/>
          <w:left w:val="single" w:color="9AA6B2" w:sz="4"/>
          <w:bottom w:val="single" w:color="9AA6B2" w:sz="4"/>
          <w:right w:val="single" w:color="9AA6B2" w:sz="4"/>
          <w:insideH w:val="single" w:color="9AA6B2" w:sz="4"/>
          <w:insideV w:val="single" w:color="9AA6B2" w:sz="4"/>
        </w:tblBorders>
      </w:tblPr>
      <w:tblGrid>
        <w:gridCol w:w="3000"/>
        <w:gridCol w:w="6000"/>
      </w:tblGrid>
      <w:tr>
        <w:trPr>
          <w:tblHeader/>
        </w:trPr>
        <w:tc>
          <w:tcPr>
            <w:tcW w:type="dxa" w:w="30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Field</w:t>
            </w:r>
          </w:p>
        </w:tc>
        <w:tc>
          <w:tcPr>
            <w:tcW w:type="dxa" w:w="60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Details</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Group Name</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[To be confirmed — e.g., FA26AIxx]</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Capstone Project Code</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AIP491 — [Group code to be confirmed]</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Group Members</w:t>
            </w:r>
          </w:p>
        </w:tc>
        <w:tc>
          <w:tcPr>
            <w:tcW w:type="dxa" w:w="6000"/>
            <w:tcMar>
              <w:top w:type="dxa" w:w="60"/>
              <w:left w:type="dxa" w:w="110"/>
              <w:bottom w:type="dxa" w:w="60"/>
              <w:right w:type="dxa" w:w="110"/>
            </w:tcMar>
            <w:vAlign w:val="center"/>
          </w:tcPr>
          <w:p>
            <w:pPr>
              <w:spacing w:after="20" w:line="264"/>
            </w:pPr>
            <w:r>
              <w:rPr>
                <w:sz w:val="24"/>
                <w:szCs w:val="24"/>
              </w:rPr>
              <w:t xml:space="preserve">Phạm Lê Huy Hoàng — [Student ID] — </w:t>
            </w:r>
            <w:r>
              <w:rPr>
                <w:b/>
                <w:bCs/>
                <w:sz w:val="24"/>
                <w:szCs w:val="24"/>
              </w:rPr>
              <w:t xml:space="preserve">Team Leader</w:t>
            </w:r>
          </w:p>
          <w:p>
            <w:pPr>
              <w:spacing w:after="20" w:line="264"/>
            </w:pPr>
            <w:r>
              <w:rPr>
                <w:sz w:val="24"/>
                <w:szCs w:val="24"/>
              </w:rPr>
              <w:t xml:space="preserve">[Member 2 full name] — [Student ID] — Member</w:t>
            </w:r>
          </w:p>
          <w:p>
            <w:pPr>
              <w:spacing w:after="20" w:line="264"/>
            </w:pPr>
            <w:r>
              <w:rPr>
                <w:sz w:val="24"/>
                <w:szCs w:val="24"/>
              </w:rPr>
              <w:t xml:space="preserve">[Member 3 full name] — [Student ID] — Member</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Supervisor</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[Supervisor full name] — [email@fe.edu.vn]</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External Supervisor</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[If applicable]</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Duration</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09/2026 – 12/2026 (Fall 2026, 15 weeks) — [confirm]</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Base Reference</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github.com/jamwithai/production-agentic-rag-course (adapted &amp; extended)</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Document Version</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v0.1 — Draft — Report #1 milestone</w:t>
            </w:r>
          </w:p>
        </w:tc>
      </w:tr>
    </w:tbl>
    <w:p>
      <w:pPr>
        <w:spacing w:after="0" w:before="320"/>
        <w:jc w:val="center"/>
      </w:pPr>
      <w:r>
        <w:rPr>
          <w:sz w:val="26"/>
          <w:szCs w:val="26"/>
        </w:rPr>
        <w:t xml:space="preserve">Ho Chi Minh City, [month]/2026</w:t>
      </w:r>
    </w:p>
    <w:p>
      <w:r>
        <w:br w:type="page"/>
      </w:r>
    </w:p>
    <w:p>
      <w:pPr>
        <w:spacing w:after="120"/>
      </w:pPr>
      <w:r>
        <w:rPr>
          <w:b/>
          <w:bCs/>
          <w:color w:val="1F3864"/>
          <w:sz w:val="30"/>
          <w:szCs w:val="30"/>
        </w:rPr>
        <w:t xml:space="preserve">Table of Contents</w:t>
      </w:r>
    </w:p>
    <w:p>
      <w:pPr>
        <w:spacing w:after="160"/>
      </w:pPr>
      <w:r>
        <w:rPr>
          <w:i/>
          <w:iCs/>
          <w:color w:val="808080"/>
          <w:sz w:val="20"/>
          <w:szCs w:val="20"/>
        </w:rPr>
        <w:t xml:space="preserve">(Right-click → “Update field”, or in Google Docs refresh the Table of Contents,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How to Read This Document</w:t>
      </w:r>
    </w:p>
    <w:p>
      <w:pPr>
        <w:spacing w:after="140" w:before="0" w:line="360"/>
        <w:jc w:val="both"/>
      </w:pPr>
      <w:r>
        <w:t xml:space="preserve">This is the </w:t>
      </w:r>
      <w:r>
        <w:rPr>
          <w:b/>
          <w:bCs/>
        </w:rPr>
        <w:t xml:space="preserve">cumulative master report</w:t>
      </w:r>
      <w:r>
        <w:t xml:space="preserve"> for the capstone project. Following the FPT AIP491 template, the document is organised as nine chapters (I–IX) that map one-to-one to the nine periodic reports and are populated progressively across the semester. At the </w:t>
      </w:r>
      <w:r>
        <w:rPr>
          <w:b/>
          <w:bCs/>
        </w:rPr>
        <w:t xml:space="preserve">Report #1</w:t>
      </w:r>
      <w:r>
        <w:t xml:space="preserve"> milestone, the preliminary pages and </w:t>
      </w:r>
      <w:r>
        <w:rPr>
          <w:b/>
          <w:bCs/>
        </w:rPr>
        <w:t xml:space="preserve">Chapter I — Project Introduction</w:t>
      </w:r>
      <w:r>
        <w:t xml:space="preserve"> are written in full, while Chapters II–IX are presented as a detailed </w:t>
      </w:r>
      <w:r>
        <w:rPr>
          <w:b/>
          <w:bCs/>
        </w:rPr>
        <w:t xml:space="preserve">Master Outline</w:t>
      </w:r>
      <w:r>
        <w:t xml:space="preserve"> (section-level scaffolding with the intended content and the report/epic in which each will be developed). This lets the committee see the complete thesis structure now, and lets the team fill each chapter in place at every milestone.</w:t>
      </w:r>
    </w:p>
    <w:tbl>
      <w:tblPr>
        <w:tblW w:type="dxa" w:w="9000"/>
        <w:tblBorders>
          <w:top w:val="single" w:color="9AA6B2" w:sz="4"/>
          <w:left w:val="single" w:color="9AA6B2" w:sz="4"/>
          <w:bottom w:val="single" w:color="9AA6B2" w:sz="4"/>
          <w:right w:val="single" w:color="9AA6B2" w:sz="4"/>
          <w:insideH w:val="single" w:color="9AA6B2" w:sz="4"/>
          <w:insideV w:val="single" w:color="9AA6B2" w:sz="4"/>
        </w:tblBorders>
      </w:tblPr>
      <w:tblGrid>
        <w:gridCol w:w="1300"/>
        <w:gridCol w:w="4600"/>
        <w:gridCol w:w="3100"/>
      </w:tblGrid>
      <w:tr>
        <w:trPr>
          <w:tblHeader/>
        </w:trPr>
        <w:tc>
          <w:tcPr>
            <w:tcW w:type="dxa" w:w="13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Chapter</w:t>
            </w:r>
          </w:p>
        </w:tc>
        <w:tc>
          <w:tcPr>
            <w:tcW w:type="dxa" w:w="46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Title</w:t>
            </w:r>
          </w:p>
        </w:tc>
        <w:tc>
          <w:tcPr>
            <w:tcW w:type="dxa" w:w="31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Report # / Jira Epic</w:t>
            </w:r>
          </w:p>
        </w:tc>
      </w:tr>
      <w:tr>
        <w:trPr>
          <w:tblHeader w:val="false"/>
        </w:trPr>
        <w:tc>
          <w:tcPr>
            <w:tcW w:type="dxa" w:w="1300"/>
            <w:tcMar>
              <w:top w:type="dxa" w:w="60"/>
              <w:left w:type="dxa" w:w="110"/>
              <w:bottom w:type="dxa" w:w="60"/>
              <w:right w:type="dxa" w:w="110"/>
            </w:tcMar>
            <w:vAlign w:val="center"/>
          </w:tcPr>
          <w:p>
            <w:pPr>
              <w:spacing w:after="40" w:before="20" w:line="264"/>
              <w:jc w:val="left"/>
            </w:pPr>
            <w:r>
              <w:rPr>
                <w:sz w:val="24"/>
                <w:szCs w:val="24"/>
              </w:rPr>
              <w:t xml:space="preserve">I</w:t>
            </w:r>
          </w:p>
        </w:tc>
        <w:tc>
          <w:tcPr>
            <w:tcW w:type="dxa" w:w="4600"/>
            <w:tcMar>
              <w:top w:type="dxa" w:w="60"/>
              <w:left w:type="dxa" w:w="110"/>
              <w:bottom w:type="dxa" w:w="60"/>
              <w:right w:type="dxa" w:w="110"/>
            </w:tcMar>
            <w:vAlign w:val="center"/>
          </w:tcPr>
          <w:p>
            <w:pPr>
              <w:spacing w:after="40" w:before="20" w:line="264"/>
              <w:jc w:val="left"/>
            </w:pPr>
            <w:r>
              <w:rPr>
                <w:b/>
                <w:bCs/>
                <w:sz w:val="24"/>
                <w:szCs w:val="24"/>
              </w:rPr>
              <w:t xml:space="preserve">Project Introduction</w:t>
            </w:r>
          </w:p>
        </w:tc>
        <w:tc>
          <w:tcPr>
            <w:tcW w:type="dxa" w:w="3100"/>
            <w:tcMar>
              <w:top w:type="dxa" w:w="60"/>
              <w:left w:type="dxa" w:w="110"/>
              <w:bottom w:type="dxa" w:w="60"/>
              <w:right w:type="dxa" w:w="110"/>
            </w:tcMar>
            <w:vAlign w:val="center"/>
          </w:tcPr>
          <w:p>
            <w:pPr>
              <w:spacing w:after="40" w:before="20" w:line="264"/>
              <w:jc w:val="left"/>
            </w:pPr>
            <w:r>
              <w:rPr>
                <w:sz w:val="24"/>
                <w:szCs w:val="24"/>
              </w:rPr>
              <w:t xml:space="preserve">Report #1 · Epic 1 (kickoff)</w:t>
            </w:r>
          </w:p>
        </w:tc>
      </w:tr>
      <w:tr>
        <w:trPr>
          <w:tblHeader w:val="false"/>
        </w:trPr>
        <w:tc>
          <w:tcPr>
            <w:tcW w:type="dxa" w:w="1300"/>
            <w:tcMar>
              <w:top w:type="dxa" w:w="60"/>
              <w:left w:type="dxa" w:w="110"/>
              <w:bottom w:type="dxa" w:w="60"/>
              <w:right w:type="dxa" w:w="110"/>
            </w:tcMar>
            <w:vAlign w:val="center"/>
          </w:tcPr>
          <w:p>
            <w:pPr>
              <w:spacing w:after="40" w:before="20" w:line="264"/>
              <w:jc w:val="left"/>
            </w:pPr>
            <w:r>
              <w:rPr>
                <w:sz w:val="24"/>
                <w:szCs w:val="24"/>
              </w:rPr>
              <w:t xml:space="preserve">II</w:t>
            </w:r>
          </w:p>
        </w:tc>
        <w:tc>
          <w:tcPr>
            <w:tcW w:type="dxa" w:w="4600"/>
            <w:tcMar>
              <w:top w:type="dxa" w:w="60"/>
              <w:left w:type="dxa" w:w="110"/>
              <w:bottom w:type="dxa" w:w="60"/>
              <w:right w:type="dxa" w:w="110"/>
            </w:tcMar>
            <w:vAlign w:val="center"/>
          </w:tcPr>
          <w:p>
            <w:pPr>
              <w:spacing w:after="40" w:before="20" w:line="264"/>
              <w:jc w:val="left"/>
            </w:pPr>
            <w:r>
              <w:rPr>
                <w:sz w:val="24"/>
                <w:szCs w:val="24"/>
              </w:rPr>
              <w:t xml:space="preserve">Project Management Plan</w:t>
            </w:r>
          </w:p>
        </w:tc>
        <w:tc>
          <w:tcPr>
            <w:tcW w:type="dxa" w:w="3100"/>
            <w:tcMar>
              <w:top w:type="dxa" w:w="60"/>
              <w:left w:type="dxa" w:w="110"/>
              <w:bottom w:type="dxa" w:w="60"/>
              <w:right w:type="dxa" w:w="110"/>
            </w:tcMar>
            <w:vAlign w:val="center"/>
          </w:tcPr>
          <w:p>
            <w:pPr>
              <w:spacing w:after="40" w:before="20" w:line="264"/>
              <w:jc w:val="left"/>
            </w:pPr>
            <w:r>
              <w:rPr>
                <w:sz w:val="24"/>
                <w:szCs w:val="24"/>
              </w:rPr>
              <w:t xml:space="preserve">Report #2 · Epic 1</w:t>
            </w:r>
          </w:p>
        </w:tc>
      </w:tr>
      <w:tr>
        <w:trPr>
          <w:tblHeader w:val="false"/>
        </w:trPr>
        <w:tc>
          <w:tcPr>
            <w:tcW w:type="dxa" w:w="1300"/>
            <w:tcMar>
              <w:top w:type="dxa" w:w="60"/>
              <w:left w:type="dxa" w:w="110"/>
              <w:bottom w:type="dxa" w:w="60"/>
              <w:right w:type="dxa" w:w="110"/>
            </w:tcMar>
            <w:vAlign w:val="center"/>
          </w:tcPr>
          <w:p>
            <w:pPr>
              <w:spacing w:after="40" w:before="20" w:line="264"/>
              <w:jc w:val="left"/>
            </w:pPr>
            <w:r>
              <w:rPr>
                <w:sz w:val="24"/>
                <w:szCs w:val="24"/>
              </w:rPr>
              <w:t xml:space="preserve">III</w:t>
            </w:r>
          </w:p>
        </w:tc>
        <w:tc>
          <w:tcPr>
            <w:tcW w:type="dxa" w:w="4600"/>
            <w:tcMar>
              <w:top w:type="dxa" w:w="60"/>
              <w:left w:type="dxa" w:w="110"/>
              <w:bottom w:type="dxa" w:w="60"/>
              <w:right w:type="dxa" w:w="110"/>
            </w:tcMar>
            <w:vAlign w:val="center"/>
          </w:tcPr>
          <w:p>
            <w:pPr>
              <w:spacing w:after="40" w:before="20" w:line="264"/>
              <w:jc w:val="left"/>
            </w:pPr>
            <w:r>
              <w:rPr>
                <w:sz w:val="24"/>
                <w:szCs w:val="24"/>
              </w:rPr>
              <w:t xml:space="preserve">Existing Systems / State of the Art</w:t>
            </w:r>
          </w:p>
        </w:tc>
        <w:tc>
          <w:tcPr>
            <w:tcW w:type="dxa" w:w="3100"/>
            <w:tcMar>
              <w:top w:type="dxa" w:w="60"/>
              <w:left w:type="dxa" w:w="110"/>
              <w:bottom w:type="dxa" w:w="60"/>
              <w:right w:type="dxa" w:w="110"/>
            </w:tcMar>
            <w:vAlign w:val="center"/>
          </w:tcPr>
          <w:p>
            <w:pPr>
              <w:spacing w:after="40" w:before="20" w:line="264"/>
              <w:jc w:val="left"/>
            </w:pPr>
            <w:r>
              <w:rPr>
                <w:sz w:val="24"/>
                <w:szCs w:val="24"/>
              </w:rPr>
              <w:t xml:space="preserve">Report #3 · Epic 2</w:t>
            </w:r>
          </w:p>
        </w:tc>
      </w:tr>
      <w:tr>
        <w:trPr>
          <w:tblHeader w:val="false"/>
        </w:trPr>
        <w:tc>
          <w:tcPr>
            <w:tcW w:type="dxa" w:w="1300"/>
            <w:tcMar>
              <w:top w:type="dxa" w:w="60"/>
              <w:left w:type="dxa" w:w="110"/>
              <w:bottom w:type="dxa" w:w="60"/>
              <w:right w:type="dxa" w:w="110"/>
            </w:tcMar>
            <w:vAlign w:val="center"/>
          </w:tcPr>
          <w:p>
            <w:pPr>
              <w:spacing w:after="40" w:before="20" w:line="264"/>
              <w:jc w:val="left"/>
            </w:pPr>
            <w:r>
              <w:rPr>
                <w:sz w:val="24"/>
                <w:szCs w:val="24"/>
              </w:rPr>
              <w:t xml:space="preserve">IV</w:t>
            </w:r>
          </w:p>
        </w:tc>
        <w:tc>
          <w:tcPr>
            <w:tcW w:type="dxa" w:w="4600"/>
            <w:tcMar>
              <w:top w:type="dxa" w:w="60"/>
              <w:left w:type="dxa" w:w="110"/>
              <w:bottom w:type="dxa" w:w="60"/>
              <w:right w:type="dxa" w:w="110"/>
            </w:tcMar>
            <w:vAlign w:val="center"/>
          </w:tcPr>
          <w:p>
            <w:pPr>
              <w:spacing w:after="40" w:before="20" w:line="264"/>
              <w:jc w:val="left"/>
            </w:pPr>
            <w:r>
              <w:rPr>
                <w:sz w:val="24"/>
                <w:szCs w:val="24"/>
              </w:rPr>
              <w:t xml:space="preserve">Methodology</w:t>
            </w:r>
          </w:p>
        </w:tc>
        <w:tc>
          <w:tcPr>
            <w:tcW w:type="dxa" w:w="3100"/>
            <w:tcMar>
              <w:top w:type="dxa" w:w="60"/>
              <w:left w:type="dxa" w:w="110"/>
              <w:bottom w:type="dxa" w:w="60"/>
              <w:right w:type="dxa" w:w="110"/>
            </w:tcMar>
            <w:vAlign w:val="center"/>
          </w:tcPr>
          <w:p>
            <w:pPr>
              <w:spacing w:after="40" w:before="20" w:line="264"/>
              <w:jc w:val="left"/>
            </w:pPr>
            <w:r>
              <w:rPr>
                <w:sz w:val="24"/>
                <w:szCs w:val="24"/>
              </w:rPr>
              <w:t xml:space="preserve">Report #4 · Epics 2–4</w:t>
            </w:r>
          </w:p>
        </w:tc>
      </w:tr>
      <w:tr>
        <w:trPr>
          <w:tblHeader w:val="false"/>
        </w:trPr>
        <w:tc>
          <w:tcPr>
            <w:tcW w:type="dxa" w:w="1300"/>
            <w:tcMar>
              <w:top w:type="dxa" w:w="60"/>
              <w:left w:type="dxa" w:w="110"/>
              <w:bottom w:type="dxa" w:w="60"/>
              <w:right w:type="dxa" w:w="110"/>
            </w:tcMar>
            <w:vAlign w:val="center"/>
          </w:tcPr>
          <w:p>
            <w:pPr>
              <w:spacing w:after="40" w:before="20" w:line="264"/>
              <w:jc w:val="left"/>
            </w:pPr>
            <w:r>
              <w:rPr>
                <w:sz w:val="24"/>
                <w:szCs w:val="24"/>
              </w:rPr>
              <w:t xml:space="preserve">V</w:t>
            </w:r>
          </w:p>
        </w:tc>
        <w:tc>
          <w:tcPr>
            <w:tcW w:type="dxa" w:w="4600"/>
            <w:tcMar>
              <w:top w:type="dxa" w:w="60"/>
              <w:left w:type="dxa" w:w="110"/>
              <w:bottom w:type="dxa" w:w="60"/>
              <w:right w:type="dxa" w:w="110"/>
            </w:tcMar>
            <w:vAlign w:val="center"/>
          </w:tcPr>
          <w:p>
            <w:pPr>
              <w:spacing w:after="40" w:before="20" w:line="264"/>
              <w:jc w:val="left"/>
            </w:pPr>
            <w:r>
              <w:rPr>
                <w:sz w:val="24"/>
                <w:szCs w:val="24"/>
              </w:rPr>
              <w:t xml:space="preserve">System Design and Implementation</w:t>
            </w:r>
          </w:p>
        </w:tc>
        <w:tc>
          <w:tcPr>
            <w:tcW w:type="dxa" w:w="3100"/>
            <w:tcMar>
              <w:top w:type="dxa" w:w="60"/>
              <w:left w:type="dxa" w:w="110"/>
              <w:bottom w:type="dxa" w:w="60"/>
              <w:right w:type="dxa" w:w="110"/>
            </w:tcMar>
            <w:vAlign w:val="center"/>
          </w:tcPr>
          <w:p>
            <w:pPr>
              <w:spacing w:after="40" w:before="20" w:line="264"/>
              <w:jc w:val="left"/>
            </w:pPr>
            <w:r>
              <w:rPr>
                <w:sz w:val="24"/>
                <w:szCs w:val="24"/>
              </w:rPr>
              <w:t xml:space="preserve">Report #5 · Epics 3–6</w:t>
            </w:r>
          </w:p>
        </w:tc>
      </w:tr>
      <w:tr>
        <w:trPr>
          <w:tblHeader w:val="false"/>
        </w:trPr>
        <w:tc>
          <w:tcPr>
            <w:tcW w:type="dxa" w:w="1300"/>
            <w:tcMar>
              <w:top w:type="dxa" w:w="60"/>
              <w:left w:type="dxa" w:w="110"/>
              <w:bottom w:type="dxa" w:w="60"/>
              <w:right w:type="dxa" w:w="110"/>
            </w:tcMar>
            <w:vAlign w:val="center"/>
          </w:tcPr>
          <w:p>
            <w:pPr>
              <w:spacing w:after="40" w:before="20" w:line="264"/>
              <w:jc w:val="left"/>
            </w:pPr>
            <w:r>
              <w:rPr>
                <w:sz w:val="24"/>
                <w:szCs w:val="24"/>
              </w:rPr>
              <w:t xml:space="preserve">VI</w:t>
            </w:r>
          </w:p>
        </w:tc>
        <w:tc>
          <w:tcPr>
            <w:tcW w:type="dxa" w:w="4600"/>
            <w:tcMar>
              <w:top w:type="dxa" w:w="60"/>
              <w:left w:type="dxa" w:w="110"/>
              <w:bottom w:type="dxa" w:w="60"/>
              <w:right w:type="dxa" w:w="110"/>
            </w:tcMar>
            <w:vAlign w:val="center"/>
          </w:tcPr>
          <w:p>
            <w:pPr>
              <w:spacing w:after="40" w:before="20" w:line="264"/>
              <w:jc w:val="left"/>
            </w:pPr>
            <w:r>
              <w:rPr>
                <w:sz w:val="24"/>
                <w:szCs w:val="24"/>
              </w:rPr>
              <w:t xml:space="preserve">Results and Discussion</w:t>
            </w:r>
          </w:p>
        </w:tc>
        <w:tc>
          <w:tcPr>
            <w:tcW w:type="dxa" w:w="3100"/>
            <w:tcMar>
              <w:top w:type="dxa" w:w="60"/>
              <w:left w:type="dxa" w:w="110"/>
              <w:bottom w:type="dxa" w:w="60"/>
              <w:right w:type="dxa" w:w="110"/>
            </w:tcMar>
            <w:vAlign w:val="center"/>
          </w:tcPr>
          <w:p>
            <w:pPr>
              <w:spacing w:after="40" w:before="20" w:line="264"/>
              <w:jc w:val="left"/>
            </w:pPr>
            <w:r>
              <w:rPr>
                <w:sz w:val="24"/>
                <w:szCs w:val="24"/>
              </w:rPr>
              <w:t xml:space="preserve">Report #6 · Epic 5</w:t>
            </w:r>
          </w:p>
        </w:tc>
      </w:tr>
      <w:tr>
        <w:trPr>
          <w:tblHeader w:val="false"/>
        </w:trPr>
        <w:tc>
          <w:tcPr>
            <w:tcW w:type="dxa" w:w="1300"/>
            <w:tcMar>
              <w:top w:type="dxa" w:w="60"/>
              <w:left w:type="dxa" w:w="110"/>
              <w:bottom w:type="dxa" w:w="60"/>
              <w:right w:type="dxa" w:w="110"/>
            </w:tcMar>
            <w:vAlign w:val="center"/>
          </w:tcPr>
          <w:p>
            <w:pPr>
              <w:spacing w:after="40" w:before="20" w:line="264"/>
              <w:jc w:val="left"/>
            </w:pPr>
            <w:r>
              <w:rPr>
                <w:sz w:val="24"/>
                <w:szCs w:val="24"/>
              </w:rPr>
              <w:t xml:space="preserve">VII</w:t>
            </w:r>
          </w:p>
        </w:tc>
        <w:tc>
          <w:tcPr>
            <w:tcW w:type="dxa" w:w="4600"/>
            <w:tcMar>
              <w:top w:type="dxa" w:w="60"/>
              <w:left w:type="dxa" w:w="110"/>
              <w:bottom w:type="dxa" w:w="60"/>
              <w:right w:type="dxa" w:w="110"/>
            </w:tcMar>
            <w:vAlign w:val="center"/>
          </w:tcPr>
          <w:p>
            <w:pPr>
              <w:spacing w:after="40" w:before="20" w:line="264"/>
              <w:jc w:val="left"/>
            </w:pPr>
            <w:r>
              <w:rPr>
                <w:sz w:val="24"/>
                <w:szCs w:val="24"/>
              </w:rPr>
              <w:t xml:space="preserve">Conclusion</w:t>
            </w:r>
          </w:p>
        </w:tc>
        <w:tc>
          <w:tcPr>
            <w:tcW w:type="dxa" w:w="3100"/>
            <w:tcMar>
              <w:top w:type="dxa" w:w="60"/>
              <w:left w:type="dxa" w:w="110"/>
              <w:bottom w:type="dxa" w:w="60"/>
              <w:right w:type="dxa" w:w="110"/>
            </w:tcMar>
            <w:vAlign w:val="center"/>
          </w:tcPr>
          <w:p>
            <w:pPr>
              <w:spacing w:after="40" w:before="20" w:line="264"/>
              <w:jc w:val="left"/>
            </w:pPr>
            <w:r>
              <w:rPr>
                <w:sz w:val="24"/>
                <w:szCs w:val="24"/>
              </w:rPr>
              <w:t xml:space="preserve">Report #7 · Epic 7</w:t>
            </w:r>
          </w:p>
        </w:tc>
      </w:tr>
      <w:tr>
        <w:trPr>
          <w:tblHeader w:val="false"/>
        </w:trPr>
        <w:tc>
          <w:tcPr>
            <w:tcW w:type="dxa" w:w="1300"/>
            <w:tcMar>
              <w:top w:type="dxa" w:w="60"/>
              <w:left w:type="dxa" w:w="110"/>
              <w:bottom w:type="dxa" w:w="60"/>
              <w:right w:type="dxa" w:w="110"/>
            </w:tcMar>
            <w:vAlign w:val="center"/>
          </w:tcPr>
          <w:p>
            <w:pPr>
              <w:spacing w:after="40" w:before="20" w:line="264"/>
              <w:jc w:val="left"/>
            </w:pPr>
            <w:r>
              <w:rPr>
                <w:sz w:val="24"/>
                <w:szCs w:val="24"/>
              </w:rPr>
              <w:t xml:space="preserve">VIII</w:t>
            </w:r>
          </w:p>
        </w:tc>
        <w:tc>
          <w:tcPr>
            <w:tcW w:type="dxa" w:w="4600"/>
            <w:tcMar>
              <w:top w:type="dxa" w:w="60"/>
              <w:left w:type="dxa" w:w="110"/>
              <w:bottom w:type="dxa" w:w="60"/>
              <w:right w:type="dxa" w:w="110"/>
            </w:tcMar>
            <w:vAlign w:val="center"/>
          </w:tcPr>
          <w:p>
            <w:pPr>
              <w:spacing w:after="40" w:before="20" w:line="264"/>
              <w:jc w:val="left"/>
            </w:pPr>
            <w:r>
              <w:rPr>
                <w:sz w:val="24"/>
                <w:szCs w:val="24"/>
              </w:rPr>
              <w:t xml:space="preserve">References</w:t>
            </w:r>
          </w:p>
        </w:tc>
        <w:tc>
          <w:tcPr>
            <w:tcW w:type="dxa" w:w="3100"/>
            <w:tcMar>
              <w:top w:type="dxa" w:w="60"/>
              <w:left w:type="dxa" w:w="110"/>
              <w:bottom w:type="dxa" w:w="60"/>
              <w:right w:type="dxa" w:w="110"/>
            </w:tcMar>
            <w:vAlign w:val="center"/>
          </w:tcPr>
          <w:p>
            <w:pPr>
              <w:spacing w:after="40" w:before="20" w:line="264"/>
              <w:jc w:val="left"/>
            </w:pPr>
            <w:r>
              <w:rPr>
                <w:sz w:val="24"/>
                <w:szCs w:val="24"/>
              </w:rPr>
              <w:t xml:space="preserve">Report #8 · continuous</w:t>
            </w:r>
          </w:p>
        </w:tc>
      </w:tr>
      <w:tr>
        <w:trPr>
          <w:tblHeader w:val="false"/>
        </w:trPr>
        <w:tc>
          <w:tcPr>
            <w:tcW w:type="dxa" w:w="1300"/>
            <w:tcMar>
              <w:top w:type="dxa" w:w="60"/>
              <w:left w:type="dxa" w:w="110"/>
              <w:bottom w:type="dxa" w:w="60"/>
              <w:right w:type="dxa" w:w="110"/>
            </w:tcMar>
            <w:vAlign w:val="center"/>
          </w:tcPr>
          <w:p>
            <w:pPr>
              <w:spacing w:after="40" w:before="20" w:line="264"/>
              <w:jc w:val="left"/>
            </w:pPr>
            <w:r>
              <w:rPr>
                <w:sz w:val="24"/>
                <w:szCs w:val="24"/>
              </w:rPr>
              <w:t xml:space="preserve">IX</w:t>
            </w:r>
          </w:p>
        </w:tc>
        <w:tc>
          <w:tcPr>
            <w:tcW w:type="dxa" w:w="4600"/>
            <w:tcMar>
              <w:top w:type="dxa" w:w="60"/>
              <w:left w:type="dxa" w:w="110"/>
              <w:bottom w:type="dxa" w:w="60"/>
              <w:right w:type="dxa" w:w="110"/>
            </w:tcMar>
            <w:vAlign w:val="center"/>
          </w:tcPr>
          <w:p>
            <w:pPr>
              <w:spacing w:after="40" w:before="20" w:line="264"/>
              <w:jc w:val="left"/>
            </w:pPr>
            <w:r>
              <w:rPr>
                <w:sz w:val="24"/>
                <w:szCs w:val="24"/>
              </w:rPr>
              <w:t xml:space="preserve">Appendices</w:t>
            </w:r>
          </w:p>
        </w:tc>
        <w:tc>
          <w:tcPr>
            <w:tcW w:type="dxa" w:w="3100"/>
            <w:tcMar>
              <w:top w:type="dxa" w:w="60"/>
              <w:left w:type="dxa" w:w="110"/>
              <w:bottom w:type="dxa" w:w="60"/>
              <w:right w:type="dxa" w:w="110"/>
            </w:tcMar>
            <w:vAlign w:val="center"/>
          </w:tcPr>
          <w:p>
            <w:pPr>
              <w:spacing w:after="40" w:before="20" w:line="264"/>
              <w:jc w:val="left"/>
            </w:pPr>
            <w:r>
              <w:rPr>
                <w:sz w:val="24"/>
                <w:szCs w:val="24"/>
              </w:rPr>
              <w:t xml:space="preserve">Report #9 · Epic 7</w:t>
            </w:r>
          </w:p>
        </w:tc>
      </w:tr>
    </w:tbl>
    <w:p>
      <w:r>
        <w:br w:type="page"/>
      </w:r>
    </w:p>
    <w:p>
      <w:pPr>
        <w:pStyle w:val="Heading1"/>
      </w:pPr>
      <w:r>
        <w:t xml:space="preserve">Acknowledgement</w:t>
      </w:r>
    </w:p>
    <w:p>
      <w:pPr>
        <w:spacing w:after="140" w:before="0" w:line="360"/>
        <w:jc w:val="both"/>
      </w:pPr>
      <w:r>
        <w:t xml:space="preserve">We would like to express our sincere gratitude to our supervisor, [Supervisor full name], for the expert guidance, technical rigour, and constructive feedback that have shaped this project from its inception. Their insistence on production-grade engineering discipline and academically defensible evaluation has been instrumental in defining the scope and standards of this work.</w:t>
      </w:r>
    </w:p>
    <w:p>
      <w:pPr>
        <w:spacing w:after="140" w:before="0" w:line="360"/>
        <w:jc w:val="both"/>
      </w:pPr>
      <w:r>
        <w:t xml:space="preserve">We also thank the review committee for their critical questions and suggestions, which continue to sharpen both our technical decisions and our written argument. We are grateful to FPT University for providing the educational foundation, computing resources, and academic environment that made this capstone possible.</w:t>
      </w:r>
    </w:p>
    <w:p>
      <w:pPr>
        <w:spacing w:after="140" w:before="0" w:line="360"/>
        <w:jc w:val="both"/>
      </w:pPr>
      <w:r>
        <w:t xml:space="preserve">Finally, we thank the agronomy practitioners and agricultural-extension specialists whose domain insight guided the construction of the Vietnamese agricultural knowledge base and the expert-verified evaluation set, and we thank our families and peers for their unwavering support throughout the project.</w:t>
      </w:r>
    </w:p>
    <w:p>
      <w:pPr>
        <w:spacing w:after="120"/>
      </w:pPr>
      <w:r>
        <w:rPr>
          <w:i/>
          <w:iCs/>
          <w:color w:val="808080"/>
          <w:sz w:val="20"/>
          <w:szCs w:val="20"/>
        </w:rPr>
        <w:t xml:space="preserve">[This section is not mandatory and may be personalised before final submission.]</w:t>
      </w:r>
    </w:p>
    <w:p>
      <w:r>
        <w:br w:type="page"/>
      </w:r>
    </w:p>
    <w:p>
      <w:pPr>
        <w:pStyle w:val="Heading1"/>
      </w:pPr>
      <w:r>
        <w:t xml:space="preserve">Definition and Acronyms</w:t>
      </w:r>
    </w:p>
    <w:p>
      <w:pPr>
        <w:spacing w:after="140" w:before="0" w:line="360"/>
        <w:jc w:val="both"/>
      </w:pPr>
      <w:r>
        <w:t xml:space="preserve">This section lists the abbreviations and specialised terms used throughout the report so that all readers share a common vocabulary. Table 1 lists acronyms; Table 2 defines the core conceptual terms that underpin the proposed system.</w:t>
      </w:r>
    </w:p>
    <w:p>
      <w:pPr>
        <w:spacing w:after="80" w:before="60"/>
      </w:pPr>
      <w:r>
        <w:rPr>
          <w:b/>
          <w:bCs/>
          <w:sz w:val="22"/>
          <w:szCs w:val="22"/>
        </w:rPr>
        <w:t xml:space="preserve">Table 1. List of Acronyms.</w:t>
      </w:r>
    </w:p>
    <w:tbl>
      <w:tblPr>
        <w:tblW w:type="dxa" w:w="9000"/>
        <w:tblBorders>
          <w:top w:val="single" w:color="9AA6B2" w:sz="4"/>
          <w:left w:val="single" w:color="9AA6B2" w:sz="4"/>
          <w:bottom w:val="single" w:color="9AA6B2" w:sz="4"/>
          <w:right w:val="single" w:color="9AA6B2" w:sz="4"/>
          <w:insideH w:val="single" w:color="9AA6B2" w:sz="4"/>
          <w:insideV w:val="single" w:color="9AA6B2" w:sz="4"/>
        </w:tblBorders>
      </w:tblPr>
      <w:tblGrid>
        <w:gridCol w:w="2400"/>
        <w:gridCol w:w="6600"/>
      </w:tblGrid>
      <w:tr>
        <w:trPr>
          <w:tblHeader/>
        </w:trPr>
        <w:tc>
          <w:tcPr>
            <w:tcW w:type="dxa" w:w="24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Acronym</w:t>
            </w:r>
          </w:p>
        </w:tc>
        <w:tc>
          <w:tcPr>
            <w:tcW w:type="dxa" w:w="66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Definition</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AI</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Artificial Intelligence</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ML</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Machine Learning</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DL</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Deep Learning</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NLP</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Natural Language Processing</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CV</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Computer Vision</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LLM</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Large Language Model</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VLM</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Vision–Language Model</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VQA</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Visual Question Answering</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RAG</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Retrieval-Augmented Generation</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CRAG</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Corrective Retrieval-Augmented Generation</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Self-RAG</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Self-Reflective Retrieval-Augmented Generation</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RRF</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Reciprocal Rank Fusion</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BM25</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Best Matching 25 (lexical ranking function)</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IR</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Information Retrieval</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kNN</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k-Nearest Neighbours</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ANN</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Approximate Nearest Neighbour (search)</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HNSW</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Hierarchical Navigable Small World (ANN index)</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CLIP</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Contrastive Language–Image Pre-training</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OCR</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Optical Character Recognition</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DAG</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Directed Acyclic Graph</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ETL</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Extract–Transform–Load</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API</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Application Programming Interface</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REST</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Representational State Transfer</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SSE</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Server-Sent Events (streaming protocol)</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ORM</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Object–Relational Mapping</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GPU</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Graphics Processing Unit</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VRAM</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Video Random Access Memory</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RAGAs</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Retrieval-Augmented Generation Assessment (evaluation framework)</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TTFT</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Time To First Token</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p50 / p95</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50th / 95th Percentile (of a latency distribution)</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SLA</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Service-Level Agreement</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CI/CD</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Continuous Integration / Continuous Deployment</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JSON</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JavaScript Object Notation</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UUID</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Universally Unique Identifier</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UI</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User Interface</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IPM</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Integrated Pest Management</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EPPO</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European and Mediterranean Plant Protection Organization (pest nomenclature)</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MRR</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Mean Reciprocal Rank</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nDCG</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Normalised Discounted Cumulative Gain</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LoRA</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Low-Rank Adaptation (parameter-efficient fine-tuning)</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BNNMT</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Bộ Nông nghiệp và Môi trường (Ministry of Agriculture and Environment)</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MARD</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Ministry of Agriculture and Rural Development (former ministry)</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TT</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Thông tư (Circular — a Vietnamese legal instrument)</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GSO</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General Statistics Office of Vietnam</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FAO</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Food and Agriculture Organization of the United Nations</w:t>
            </w:r>
          </w:p>
        </w:tc>
      </w:tr>
      <w:tr>
        <w:trPr>
          <w:tblHeader w:val="false"/>
        </w:trPr>
        <w:tc>
          <w:tcPr>
            <w:tcW w:type="dxa" w:w="2400"/>
            <w:tcMar>
              <w:top w:type="dxa" w:w="60"/>
              <w:left w:type="dxa" w:w="110"/>
              <w:bottom w:type="dxa" w:w="60"/>
              <w:right w:type="dxa" w:w="110"/>
            </w:tcMar>
            <w:vAlign w:val="center"/>
          </w:tcPr>
          <w:p>
            <w:pPr>
              <w:spacing w:after="40" w:before="20" w:line="264"/>
              <w:jc w:val="left"/>
            </w:pPr>
            <w:r>
              <w:rPr>
                <w:b/>
                <w:bCs/>
                <w:sz w:val="24"/>
                <w:szCs w:val="24"/>
              </w:rPr>
              <w:t xml:space="preserve">EC2</w:t>
            </w:r>
          </w:p>
        </w:tc>
        <w:tc>
          <w:tcPr>
            <w:tcW w:type="dxa" w:w="6600"/>
            <w:tcMar>
              <w:top w:type="dxa" w:w="60"/>
              <w:left w:type="dxa" w:w="110"/>
              <w:bottom w:type="dxa" w:w="60"/>
              <w:right w:type="dxa" w:w="110"/>
            </w:tcMar>
            <w:vAlign w:val="center"/>
          </w:tcPr>
          <w:p>
            <w:pPr>
              <w:spacing w:after="40" w:before="20" w:line="264"/>
              <w:jc w:val="left"/>
            </w:pPr>
            <w:r>
              <w:rPr>
                <w:sz w:val="24"/>
                <w:szCs w:val="24"/>
              </w:rPr>
              <w:t xml:space="preserve">Elastic Compute Cloud (Amazon Web Services)</w:t>
            </w:r>
          </w:p>
        </w:tc>
      </w:tr>
    </w:tbl>
    <w:p>
      <w:pPr>
        <w:spacing w:after="80" w:before="200"/>
      </w:pPr>
      <w:r>
        <w:rPr>
          <w:b/>
          <w:bCs/>
          <w:sz w:val="22"/>
          <w:szCs w:val="22"/>
        </w:rPr>
        <w:t xml:space="preserve">Table 2. Definitions of Core Terms.</w:t>
      </w:r>
    </w:p>
    <w:tbl>
      <w:tblPr>
        <w:tblW w:type="dxa" w:w="9000"/>
        <w:tblBorders>
          <w:top w:val="single" w:color="9AA6B2" w:sz="4"/>
          <w:left w:val="single" w:color="9AA6B2" w:sz="4"/>
          <w:bottom w:val="single" w:color="9AA6B2" w:sz="4"/>
          <w:right w:val="single" w:color="9AA6B2" w:sz="4"/>
          <w:insideH w:val="single" w:color="9AA6B2" w:sz="4"/>
          <w:insideV w:val="single" w:color="9AA6B2" w:sz="4"/>
        </w:tblBorders>
      </w:tblPr>
      <w:tblGrid>
        <w:gridCol w:w="2600"/>
        <w:gridCol w:w="6400"/>
      </w:tblGrid>
      <w:tr>
        <w:trPr>
          <w:tblHeader/>
        </w:trPr>
        <w:tc>
          <w:tcPr>
            <w:tcW w:type="dxa" w:w="26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Term</w:t>
            </w:r>
          </w:p>
        </w:tc>
        <w:tc>
          <w:tcPr>
            <w:tcW w:type="dxa" w:w="64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Definition</w:t>
            </w:r>
          </w:p>
        </w:tc>
      </w:tr>
      <w:tr>
        <w:trPr>
          <w:tblHeader w:val="false"/>
        </w:trPr>
        <w:tc>
          <w:tcPr>
            <w:tcW w:type="dxa" w:w="2600"/>
            <w:tcMar>
              <w:top w:type="dxa" w:w="60"/>
              <w:left w:type="dxa" w:w="110"/>
              <w:bottom w:type="dxa" w:w="60"/>
              <w:right w:type="dxa" w:w="110"/>
            </w:tcMar>
            <w:vAlign w:val="center"/>
          </w:tcPr>
          <w:p>
            <w:pPr>
              <w:spacing w:after="40" w:before="20" w:line="264"/>
              <w:jc w:val="left"/>
            </w:pPr>
            <w:r>
              <w:rPr>
                <w:b/>
                <w:bCs/>
                <w:sz w:val="24"/>
                <w:szCs w:val="24"/>
              </w:rPr>
              <w:t xml:space="preserve">Agentic RAG</w:t>
            </w:r>
          </w:p>
        </w:tc>
        <w:tc>
          <w:tcPr>
            <w:tcW w:type="dxa" w:w="6400"/>
            <w:tcMar>
              <w:top w:type="dxa" w:w="60"/>
              <w:left w:type="dxa" w:w="110"/>
              <w:bottom w:type="dxa" w:w="60"/>
              <w:right w:type="dxa" w:w="110"/>
            </w:tcMar>
            <w:vAlign w:val="center"/>
          </w:tcPr>
          <w:p>
            <w:pPr>
              <w:spacing w:after="40" w:before="20" w:line="264"/>
              <w:jc w:val="left"/>
            </w:pPr>
            <w:r>
              <w:rPr>
                <w:sz w:val="24"/>
                <w:szCs w:val="24"/>
              </w:rPr>
              <w:t xml:space="preserve">A RAG paradigm in which an autonomous controller (agent) governs a multi-step workflow — deciding when to retrieve, grade, rewrite, generate, or abstain — instead of executing a single fixed retrieve-then-generate pass.</w:t>
            </w:r>
          </w:p>
        </w:tc>
      </w:tr>
      <w:tr>
        <w:trPr>
          <w:tblHeader w:val="false"/>
        </w:trPr>
        <w:tc>
          <w:tcPr>
            <w:tcW w:type="dxa" w:w="2600"/>
            <w:tcMar>
              <w:top w:type="dxa" w:w="60"/>
              <w:left w:type="dxa" w:w="110"/>
              <w:bottom w:type="dxa" w:w="60"/>
              <w:right w:type="dxa" w:w="110"/>
            </w:tcMar>
            <w:vAlign w:val="center"/>
          </w:tcPr>
          <w:p>
            <w:pPr>
              <w:spacing w:after="40" w:before="20" w:line="264"/>
              <w:jc w:val="left"/>
            </w:pPr>
            <w:r>
              <w:rPr>
                <w:b/>
                <w:bCs/>
                <w:sz w:val="24"/>
                <w:szCs w:val="24"/>
              </w:rPr>
              <w:t xml:space="preserve">Multimodal RAG</w:t>
            </w:r>
          </w:p>
        </w:tc>
        <w:tc>
          <w:tcPr>
            <w:tcW w:type="dxa" w:w="6400"/>
            <w:tcMar>
              <w:top w:type="dxa" w:w="60"/>
              <w:left w:type="dxa" w:w="110"/>
              <w:bottom w:type="dxa" w:w="60"/>
              <w:right w:type="dxa" w:w="110"/>
            </w:tcMar>
            <w:vAlign w:val="center"/>
          </w:tcPr>
          <w:p>
            <w:pPr>
              <w:spacing w:after="40" w:before="20" w:line="264"/>
              <w:jc w:val="left"/>
            </w:pPr>
            <w:r>
              <w:rPr>
                <w:sz w:val="24"/>
                <w:szCs w:val="24"/>
              </w:rPr>
              <w:t xml:space="preserve">Retrieval-augmented generation that grounds the answer on evidence retrieved across multiple modalities; here, a Vietnamese text knowledge base and image evidence.</w:t>
            </w:r>
          </w:p>
        </w:tc>
      </w:tr>
      <w:tr>
        <w:trPr>
          <w:tblHeader w:val="false"/>
        </w:trPr>
        <w:tc>
          <w:tcPr>
            <w:tcW w:type="dxa" w:w="2600"/>
            <w:tcMar>
              <w:top w:type="dxa" w:w="60"/>
              <w:left w:type="dxa" w:w="110"/>
              <w:bottom w:type="dxa" w:w="60"/>
              <w:right w:type="dxa" w:w="110"/>
            </w:tcMar>
            <w:vAlign w:val="center"/>
          </w:tcPr>
          <w:p>
            <w:pPr>
              <w:spacing w:after="40" w:before="20" w:line="264"/>
              <w:jc w:val="left"/>
            </w:pPr>
            <w:r>
              <w:rPr>
                <w:b/>
                <w:bCs/>
                <w:sz w:val="24"/>
                <w:szCs w:val="24"/>
              </w:rPr>
              <w:t xml:space="preserve">Grounding / Grounded Generation</w:t>
            </w:r>
          </w:p>
        </w:tc>
        <w:tc>
          <w:tcPr>
            <w:tcW w:type="dxa" w:w="6400"/>
            <w:tcMar>
              <w:top w:type="dxa" w:w="60"/>
              <w:left w:type="dxa" w:w="110"/>
              <w:bottom w:type="dxa" w:w="60"/>
              <w:right w:type="dxa" w:w="110"/>
            </w:tcMar>
            <w:vAlign w:val="center"/>
          </w:tcPr>
          <w:p>
            <w:pPr>
              <w:spacing w:after="40" w:before="20" w:line="264"/>
              <w:jc w:val="left"/>
            </w:pPr>
            <w:r>
              <w:rPr>
                <w:sz w:val="24"/>
                <w:szCs w:val="24"/>
              </w:rPr>
              <w:t xml:space="preserve">Constraining the model's output to be supported by retrieved evidence, so that every claim is traceable to a specific source passage.</w:t>
            </w:r>
          </w:p>
        </w:tc>
      </w:tr>
      <w:tr>
        <w:trPr>
          <w:tblHeader w:val="false"/>
        </w:trPr>
        <w:tc>
          <w:tcPr>
            <w:tcW w:type="dxa" w:w="2600"/>
            <w:tcMar>
              <w:top w:type="dxa" w:w="60"/>
              <w:left w:type="dxa" w:w="110"/>
              <w:bottom w:type="dxa" w:w="60"/>
              <w:right w:type="dxa" w:w="110"/>
            </w:tcMar>
            <w:vAlign w:val="center"/>
          </w:tcPr>
          <w:p>
            <w:pPr>
              <w:spacing w:after="40" w:before="20" w:line="264"/>
              <w:jc w:val="left"/>
            </w:pPr>
            <w:r>
              <w:rPr>
                <w:b/>
                <w:bCs/>
                <w:sz w:val="24"/>
                <w:szCs w:val="24"/>
              </w:rPr>
              <w:t xml:space="preserve">Citation (Source Attribution)</w:t>
            </w:r>
          </w:p>
        </w:tc>
        <w:tc>
          <w:tcPr>
            <w:tcW w:type="dxa" w:w="6400"/>
            <w:tcMar>
              <w:top w:type="dxa" w:w="60"/>
              <w:left w:type="dxa" w:w="110"/>
              <w:bottom w:type="dxa" w:w="60"/>
              <w:right w:type="dxa" w:w="110"/>
            </w:tcMar>
            <w:vAlign w:val="center"/>
          </w:tcPr>
          <w:p>
            <w:pPr>
              <w:spacing w:after="40" w:before="20" w:line="264"/>
              <w:jc w:val="left"/>
            </w:pPr>
            <w:r>
              <w:rPr>
                <w:sz w:val="24"/>
                <w:szCs w:val="24"/>
              </w:rPr>
              <w:t xml:space="preserve">An explicit inline reference that links a generated statement to the exact source passage supporting it.</w:t>
            </w:r>
          </w:p>
        </w:tc>
      </w:tr>
      <w:tr>
        <w:trPr>
          <w:tblHeader w:val="false"/>
        </w:trPr>
        <w:tc>
          <w:tcPr>
            <w:tcW w:type="dxa" w:w="2600"/>
            <w:tcMar>
              <w:top w:type="dxa" w:w="60"/>
              <w:left w:type="dxa" w:w="110"/>
              <w:bottom w:type="dxa" w:w="60"/>
              <w:right w:type="dxa" w:w="110"/>
            </w:tcMar>
            <w:vAlign w:val="center"/>
          </w:tcPr>
          <w:p>
            <w:pPr>
              <w:spacing w:after="40" w:before="20" w:line="264"/>
              <w:jc w:val="left"/>
            </w:pPr>
            <w:r>
              <w:rPr>
                <w:b/>
                <w:bCs/>
                <w:sz w:val="24"/>
                <w:szCs w:val="24"/>
              </w:rPr>
              <w:t xml:space="preserve">Abstention (Selective Prediction)</w:t>
            </w:r>
          </w:p>
        </w:tc>
        <w:tc>
          <w:tcPr>
            <w:tcW w:type="dxa" w:w="6400"/>
            <w:tcMar>
              <w:top w:type="dxa" w:w="60"/>
              <w:left w:type="dxa" w:w="110"/>
              <w:bottom w:type="dxa" w:w="60"/>
              <w:right w:type="dxa" w:w="110"/>
            </w:tcMar>
            <w:vAlign w:val="center"/>
          </w:tcPr>
          <w:p>
            <w:pPr>
              <w:spacing w:after="40" w:before="20" w:line="264"/>
              <w:jc w:val="left"/>
            </w:pPr>
            <w:r>
              <w:rPr>
                <w:sz w:val="24"/>
                <w:szCs w:val="24"/>
              </w:rPr>
              <w:t xml:space="preserve">The system's deliberate decision to withhold an answer when confidence or contextual sufficiency is inadequate, preferring an explicit “insufficient evidence” response over a potentially harmful hallucination.</w:t>
            </w:r>
          </w:p>
        </w:tc>
      </w:tr>
      <w:tr>
        <w:trPr>
          <w:tblHeader w:val="false"/>
        </w:trPr>
        <w:tc>
          <w:tcPr>
            <w:tcW w:type="dxa" w:w="2600"/>
            <w:tcMar>
              <w:top w:type="dxa" w:w="60"/>
              <w:left w:type="dxa" w:w="110"/>
              <w:bottom w:type="dxa" w:w="60"/>
              <w:right w:type="dxa" w:w="110"/>
            </w:tcMar>
            <w:vAlign w:val="center"/>
          </w:tcPr>
          <w:p>
            <w:pPr>
              <w:spacing w:after="40" w:before="20" w:line="264"/>
              <w:jc w:val="left"/>
            </w:pPr>
            <w:r>
              <w:rPr>
                <w:b/>
                <w:bCs/>
                <w:sz w:val="24"/>
                <w:szCs w:val="24"/>
              </w:rPr>
              <w:t xml:space="preserve">Coverage</w:t>
            </w:r>
          </w:p>
        </w:tc>
        <w:tc>
          <w:tcPr>
            <w:tcW w:type="dxa" w:w="6400"/>
            <w:tcMar>
              <w:top w:type="dxa" w:w="60"/>
              <w:left w:type="dxa" w:w="110"/>
              <w:bottom w:type="dxa" w:w="60"/>
              <w:right w:type="dxa" w:w="110"/>
            </w:tcMar>
            <w:vAlign w:val="center"/>
          </w:tcPr>
          <w:p>
            <w:pPr>
              <w:spacing w:after="40" w:before="20" w:line="264"/>
              <w:jc w:val="left"/>
            </w:pPr>
            <w:r>
              <w:rPr>
                <w:sz w:val="24"/>
                <w:szCs w:val="24"/>
              </w:rPr>
              <w:t xml:space="preserve">The fraction of incoming queries that the system chooses to answer rather than abstain on.</w:t>
            </w:r>
          </w:p>
        </w:tc>
      </w:tr>
      <w:tr>
        <w:trPr>
          <w:tblHeader w:val="false"/>
        </w:trPr>
        <w:tc>
          <w:tcPr>
            <w:tcW w:type="dxa" w:w="2600"/>
            <w:tcMar>
              <w:top w:type="dxa" w:w="60"/>
              <w:left w:type="dxa" w:w="110"/>
              <w:bottom w:type="dxa" w:w="60"/>
              <w:right w:type="dxa" w:w="110"/>
            </w:tcMar>
            <w:vAlign w:val="center"/>
          </w:tcPr>
          <w:p>
            <w:pPr>
              <w:spacing w:after="40" w:before="20" w:line="264"/>
              <w:jc w:val="left"/>
            </w:pPr>
            <w:r>
              <w:rPr>
                <w:b/>
                <w:bCs/>
                <w:sz w:val="24"/>
                <w:szCs w:val="24"/>
              </w:rPr>
              <w:t xml:space="preserve">Selective Accuracy</w:t>
            </w:r>
          </w:p>
        </w:tc>
        <w:tc>
          <w:tcPr>
            <w:tcW w:type="dxa" w:w="6400"/>
            <w:tcMar>
              <w:top w:type="dxa" w:w="60"/>
              <w:left w:type="dxa" w:w="110"/>
              <w:bottom w:type="dxa" w:w="60"/>
              <w:right w:type="dxa" w:w="110"/>
            </w:tcMar>
            <w:vAlign w:val="center"/>
          </w:tcPr>
          <w:p>
            <w:pPr>
              <w:spacing w:after="40" w:before="20" w:line="264"/>
              <w:jc w:val="left"/>
            </w:pPr>
            <w:r>
              <w:rPr>
                <w:sz w:val="24"/>
                <w:szCs w:val="24"/>
              </w:rPr>
              <w:t xml:space="preserve">Accuracy computed only over the answered (non-abstained) subset of queries.</w:t>
            </w:r>
          </w:p>
        </w:tc>
      </w:tr>
      <w:tr>
        <w:trPr>
          <w:tblHeader w:val="false"/>
        </w:trPr>
        <w:tc>
          <w:tcPr>
            <w:tcW w:type="dxa" w:w="2600"/>
            <w:tcMar>
              <w:top w:type="dxa" w:w="60"/>
              <w:left w:type="dxa" w:w="110"/>
              <w:bottom w:type="dxa" w:w="60"/>
              <w:right w:type="dxa" w:w="110"/>
            </w:tcMar>
            <w:vAlign w:val="center"/>
          </w:tcPr>
          <w:p>
            <w:pPr>
              <w:spacing w:after="40" w:before="20" w:line="264"/>
              <w:jc w:val="left"/>
            </w:pPr>
            <w:r>
              <w:rPr>
                <w:b/>
                <w:bCs/>
                <w:sz w:val="24"/>
                <w:szCs w:val="24"/>
              </w:rPr>
              <w:t xml:space="preserve">Guardrail</w:t>
            </w:r>
          </w:p>
        </w:tc>
        <w:tc>
          <w:tcPr>
            <w:tcW w:type="dxa" w:w="6400"/>
            <w:tcMar>
              <w:top w:type="dxa" w:w="60"/>
              <w:left w:type="dxa" w:w="110"/>
              <w:bottom w:type="dxa" w:w="60"/>
              <w:right w:type="dxa" w:w="110"/>
            </w:tcMar>
            <w:vAlign w:val="center"/>
          </w:tcPr>
          <w:p>
            <w:pPr>
              <w:spacing w:after="40" w:before="20" w:line="264"/>
              <w:jc w:val="left"/>
            </w:pPr>
            <w:r>
              <w:rPr>
                <w:sz w:val="24"/>
                <w:szCs w:val="24"/>
              </w:rPr>
              <w:t xml:space="preserve">A pre-processing control that filters out-of-scope or unsafe inputs before they enter the core reasoning pipeline.</w:t>
            </w:r>
          </w:p>
        </w:tc>
      </w:tr>
      <w:tr>
        <w:trPr>
          <w:tblHeader w:val="false"/>
        </w:trPr>
        <w:tc>
          <w:tcPr>
            <w:tcW w:type="dxa" w:w="2600"/>
            <w:tcMar>
              <w:top w:type="dxa" w:w="60"/>
              <w:left w:type="dxa" w:w="110"/>
              <w:bottom w:type="dxa" w:w="60"/>
              <w:right w:type="dxa" w:w="110"/>
            </w:tcMar>
            <w:vAlign w:val="center"/>
          </w:tcPr>
          <w:p>
            <w:pPr>
              <w:spacing w:after="40" w:before="20" w:line="264"/>
              <w:jc w:val="left"/>
            </w:pPr>
            <w:r>
              <w:rPr>
                <w:b/>
                <w:bCs/>
                <w:sz w:val="24"/>
                <w:szCs w:val="24"/>
              </w:rPr>
              <w:t xml:space="preserve">Hallucination</w:t>
            </w:r>
          </w:p>
        </w:tc>
        <w:tc>
          <w:tcPr>
            <w:tcW w:type="dxa" w:w="6400"/>
            <w:tcMar>
              <w:top w:type="dxa" w:w="60"/>
              <w:left w:type="dxa" w:w="110"/>
              <w:bottom w:type="dxa" w:w="60"/>
              <w:right w:type="dxa" w:w="110"/>
            </w:tcMar>
            <w:vAlign w:val="center"/>
          </w:tcPr>
          <w:p>
            <w:pPr>
              <w:spacing w:after="40" w:before="20" w:line="264"/>
              <w:jc w:val="left"/>
            </w:pPr>
            <w:r>
              <w:rPr>
                <w:sz w:val="24"/>
                <w:szCs w:val="24"/>
              </w:rPr>
              <w:t xml:space="preserve">Fluent but unsupported or factually incorrect content generated without grounding in retrieved evidence.</w:t>
            </w:r>
          </w:p>
        </w:tc>
      </w:tr>
      <w:tr>
        <w:trPr>
          <w:tblHeader w:val="false"/>
        </w:trPr>
        <w:tc>
          <w:tcPr>
            <w:tcW w:type="dxa" w:w="2600"/>
            <w:tcMar>
              <w:top w:type="dxa" w:w="60"/>
              <w:left w:type="dxa" w:w="110"/>
              <w:bottom w:type="dxa" w:w="60"/>
              <w:right w:type="dxa" w:w="110"/>
            </w:tcMar>
            <w:vAlign w:val="center"/>
          </w:tcPr>
          <w:p>
            <w:pPr>
              <w:spacing w:after="40" w:before="20" w:line="264"/>
              <w:jc w:val="left"/>
            </w:pPr>
            <w:r>
              <w:rPr>
                <w:b/>
                <w:bCs/>
                <w:sz w:val="24"/>
                <w:szCs w:val="24"/>
              </w:rPr>
              <w:t xml:space="preserve">Hybrid Retrieval</w:t>
            </w:r>
          </w:p>
        </w:tc>
        <w:tc>
          <w:tcPr>
            <w:tcW w:type="dxa" w:w="6400"/>
            <w:tcMar>
              <w:top w:type="dxa" w:w="60"/>
              <w:left w:type="dxa" w:w="110"/>
              <w:bottom w:type="dxa" w:w="60"/>
              <w:right w:type="dxa" w:w="110"/>
            </w:tcMar>
            <w:vAlign w:val="center"/>
          </w:tcPr>
          <w:p>
            <w:pPr>
              <w:spacing w:after="40" w:before="20" w:line="264"/>
              <w:jc w:val="left"/>
            </w:pPr>
            <w:r>
              <w:rPr>
                <w:sz w:val="24"/>
                <w:szCs w:val="24"/>
              </w:rPr>
              <w:t xml:space="preserve">Combining lexical (BM25), dense-vector, and visual-similarity retrieval into a single fused ranked list.</w:t>
            </w:r>
          </w:p>
        </w:tc>
      </w:tr>
      <w:tr>
        <w:trPr>
          <w:tblHeader w:val="false"/>
        </w:trPr>
        <w:tc>
          <w:tcPr>
            <w:tcW w:type="dxa" w:w="2600"/>
            <w:tcMar>
              <w:top w:type="dxa" w:w="60"/>
              <w:left w:type="dxa" w:w="110"/>
              <w:bottom w:type="dxa" w:w="60"/>
              <w:right w:type="dxa" w:w="110"/>
            </w:tcMar>
            <w:vAlign w:val="center"/>
          </w:tcPr>
          <w:p>
            <w:pPr>
              <w:spacing w:after="40" w:before="20" w:line="264"/>
              <w:jc w:val="left"/>
            </w:pPr>
            <w:r>
              <w:rPr>
                <w:b/>
                <w:bCs/>
                <w:sz w:val="24"/>
                <w:szCs w:val="24"/>
              </w:rPr>
              <w:t xml:space="preserve">Reciprocal Rank Fusion (RRF)</w:t>
            </w:r>
          </w:p>
        </w:tc>
        <w:tc>
          <w:tcPr>
            <w:tcW w:type="dxa" w:w="6400"/>
            <w:tcMar>
              <w:top w:type="dxa" w:w="60"/>
              <w:left w:type="dxa" w:w="110"/>
              <w:bottom w:type="dxa" w:w="60"/>
              <w:right w:type="dxa" w:w="110"/>
            </w:tcMar>
            <w:vAlign w:val="center"/>
          </w:tcPr>
          <w:p>
            <w:pPr>
              <w:spacing w:after="40" w:before="20" w:line="264"/>
              <w:jc w:val="left"/>
            </w:pPr>
            <w:r>
              <w:rPr>
                <w:sz w:val="24"/>
                <w:szCs w:val="24"/>
              </w:rPr>
              <w:t xml:space="preserve">A rank-aggregation method that merges several ranked lists using the reciprocal of each item's rank, robust to differing score scales.</w:t>
            </w:r>
          </w:p>
        </w:tc>
      </w:tr>
      <w:tr>
        <w:trPr>
          <w:tblHeader w:val="false"/>
        </w:trPr>
        <w:tc>
          <w:tcPr>
            <w:tcW w:type="dxa" w:w="2600"/>
            <w:tcMar>
              <w:top w:type="dxa" w:w="60"/>
              <w:left w:type="dxa" w:w="110"/>
              <w:bottom w:type="dxa" w:w="60"/>
              <w:right w:type="dxa" w:w="110"/>
            </w:tcMar>
            <w:vAlign w:val="center"/>
          </w:tcPr>
          <w:p>
            <w:pPr>
              <w:spacing w:after="40" w:before="20" w:line="264"/>
              <w:jc w:val="left"/>
            </w:pPr>
            <w:r>
              <w:rPr>
                <w:b/>
                <w:bCs/>
                <w:sz w:val="24"/>
                <w:szCs w:val="24"/>
              </w:rPr>
              <w:t xml:space="preserve">Section-aware Chunking</w:t>
            </w:r>
          </w:p>
        </w:tc>
        <w:tc>
          <w:tcPr>
            <w:tcW w:type="dxa" w:w="6400"/>
            <w:tcMar>
              <w:top w:type="dxa" w:w="60"/>
              <w:left w:type="dxa" w:w="110"/>
              <w:bottom w:type="dxa" w:w="60"/>
              <w:right w:type="dxa" w:w="110"/>
            </w:tcMar>
            <w:vAlign w:val="center"/>
          </w:tcPr>
          <w:p>
            <w:pPr>
              <w:spacing w:after="40" w:before="20" w:line="264"/>
              <w:jc w:val="left"/>
            </w:pPr>
            <w:r>
              <w:rPr>
                <w:sz w:val="24"/>
                <w:szCs w:val="24"/>
              </w:rPr>
              <w:t xml:space="preserve">Splitting documents along semantic/section boundaries so that retrieved passages remain coherent and self-contained.</w:t>
            </w:r>
          </w:p>
        </w:tc>
      </w:tr>
      <w:tr>
        <w:trPr>
          <w:tblHeader w:val="false"/>
        </w:trPr>
        <w:tc>
          <w:tcPr>
            <w:tcW w:type="dxa" w:w="2600"/>
            <w:tcMar>
              <w:top w:type="dxa" w:w="60"/>
              <w:left w:type="dxa" w:w="110"/>
              <w:bottom w:type="dxa" w:w="60"/>
              <w:right w:type="dxa" w:w="110"/>
            </w:tcMar>
            <w:vAlign w:val="center"/>
          </w:tcPr>
          <w:p>
            <w:pPr>
              <w:spacing w:after="40" w:before="20" w:line="264"/>
              <w:jc w:val="left"/>
            </w:pPr>
            <w:r>
              <w:rPr>
                <w:b/>
                <w:bCs/>
                <w:sz w:val="24"/>
                <w:szCs w:val="24"/>
              </w:rPr>
              <w:t xml:space="preserve">Faithfulness</w:t>
            </w:r>
          </w:p>
        </w:tc>
        <w:tc>
          <w:tcPr>
            <w:tcW w:type="dxa" w:w="6400"/>
            <w:tcMar>
              <w:top w:type="dxa" w:w="60"/>
              <w:left w:type="dxa" w:w="110"/>
              <w:bottom w:type="dxa" w:w="60"/>
              <w:right w:type="dxa" w:w="110"/>
            </w:tcMar>
            <w:vAlign w:val="center"/>
          </w:tcPr>
          <w:p>
            <w:pPr>
              <w:spacing w:after="40" w:before="20" w:line="264"/>
              <w:jc w:val="left"/>
            </w:pPr>
            <w:r>
              <w:rPr>
                <w:sz w:val="24"/>
                <w:szCs w:val="24"/>
              </w:rPr>
              <w:t xml:space="preserve">A RAGAs metric measuring the degree to which the claims in an answer are entailed by the retrieved context.</w:t>
            </w:r>
          </w:p>
        </w:tc>
      </w:tr>
      <w:tr>
        <w:trPr>
          <w:tblHeader w:val="false"/>
        </w:trPr>
        <w:tc>
          <w:tcPr>
            <w:tcW w:type="dxa" w:w="2600"/>
            <w:tcMar>
              <w:top w:type="dxa" w:w="60"/>
              <w:left w:type="dxa" w:w="110"/>
              <w:bottom w:type="dxa" w:w="60"/>
              <w:right w:type="dxa" w:w="110"/>
            </w:tcMar>
            <w:vAlign w:val="center"/>
          </w:tcPr>
          <w:p>
            <w:pPr>
              <w:spacing w:after="40" w:before="20" w:line="264"/>
              <w:jc w:val="left"/>
            </w:pPr>
            <w:r>
              <w:rPr>
                <w:b/>
                <w:bCs/>
                <w:sz w:val="24"/>
                <w:szCs w:val="24"/>
              </w:rPr>
              <w:t xml:space="preserve">Observability</w:t>
            </w:r>
          </w:p>
        </w:tc>
        <w:tc>
          <w:tcPr>
            <w:tcW w:type="dxa" w:w="6400"/>
            <w:tcMar>
              <w:top w:type="dxa" w:w="60"/>
              <w:left w:type="dxa" w:w="110"/>
              <w:bottom w:type="dxa" w:w="60"/>
              <w:right w:type="dxa" w:w="110"/>
            </w:tcMar>
            <w:vAlign w:val="center"/>
          </w:tcPr>
          <w:p>
            <w:pPr>
              <w:spacing w:after="40" w:before="20" w:line="264"/>
              <w:jc w:val="left"/>
            </w:pPr>
            <w:r>
              <w:rPr>
                <w:sz w:val="24"/>
                <w:szCs w:val="24"/>
              </w:rPr>
              <w:t xml:space="preserve">The instrumentation of a system — traces, latency, token and cost metrics — that makes its internal behaviour measurable in production.</w:t>
            </w:r>
          </w:p>
        </w:tc>
      </w:tr>
    </w:tbl>
    <w:p>
      <w:r>
        <w:br w:type="page"/>
      </w:r>
    </w:p>
    <w:p>
      <w:pPr>
        <w:pStyle w:val="Heading1"/>
      </w:pPr>
      <w:r>
        <w:t xml:space="preserve">List of Tables</w:t>
      </w:r>
    </w:p>
    <w:p>
      <w:pPr>
        <w:spacing w:after="140" w:before="0" w:line="360"/>
        <w:jc w:val="both"/>
      </w:pPr>
      <w:r>
        <w:t xml:space="preserve">Table 1. List of Acronyms.</w:t>
      </w:r>
    </w:p>
    <w:p>
      <w:pPr>
        <w:spacing w:after="140" w:before="0" w:line="360"/>
        <w:jc w:val="both"/>
      </w:pPr>
      <w:r>
        <w:t xml:space="preserve">Table 2. Definitions of Core Terms.</w:t>
      </w:r>
    </w:p>
    <w:p>
      <w:pPr>
        <w:spacing w:after="140" w:before="0" w:line="360"/>
        <w:jc w:val="both"/>
      </w:pPr>
      <w:r>
        <w:t xml:space="preserve">Table 3. Project Information.</w:t>
      </w:r>
    </w:p>
    <w:p>
      <w:pPr>
        <w:spacing w:after="140" w:before="0" w:line="360"/>
        <w:jc w:val="both"/>
      </w:pPr>
      <w:r>
        <w:t xml:space="preserve">Table 4. Project Objectives and Success Criteria.</w:t>
      </w:r>
    </w:p>
    <w:p>
      <w:pPr>
        <w:spacing w:after="140" w:before="0" w:line="360"/>
        <w:jc w:val="both"/>
      </w:pPr>
      <w:r>
        <w:t xml:space="preserve">Table 5. Project Scope — In-Scope vs. Out-of-Scope.</w:t>
      </w:r>
    </w:p>
    <w:p>
      <w:pPr>
        <w:spacing w:after="120"/>
      </w:pPr>
      <w:r>
        <w:rPr>
          <w:i/>
          <w:iCs/>
          <w:color w:val="808080"/>
          <w:sz w:val="20"/>
          <w:szCs w:val="20"/>
        </w:rPr>
        <w:t xml:space="preserve">[Additional tables will be appended automatically as later chapters are written. Use Insert → Table of contents (or a caption-based list) in the final document.]</w:t>
      </w:r>
    </w:p>
    <w:p>
      <w:pPr>
        <w:pStyle w:val="Heading1"/>
      </w:pPr>
      <w:r>
        <w:t xml:space="preserve">List of Figures</w:t>
      </w:r>
    </w:p>
    <w:p>
      <w:pPr>
        <w:spacing w:after="140" w:before="0" w:line="360"/>
        <w:jc w:val="both"/>
      </w:pPr>
      <w:r>
        <w:t xml:space="preserve">Figure 1. High-level architecture of the Vi-AgriVQA Multimodal Agentic RAG system. [To be inserted in Report #1/#5.]</w:t>
      </w:r>
    </w:p>
    <w:p>
      <w:pPr>
        <w:spacing w:after="120"/>
      </w:pPr>
      <w:r>
        <w:rPr>
          <w:i/>
          <w:iCs/>
          <w:color w:val="808080"/>
          <w:sz w:val="20"/>
          <w:szCs w:val="20"/>
        </w:rPr>
        <w:t xml:space="preserve">[The figure list will grow with the LangGraph state-machine diagram, the data-pipeline DAG, the retrieval-fusion diagram, and the results plots.]</w:t>
      </w:r>
    </w:p>
    <w:p>
      <w:r>
        <w:br w:type="page"/>
      </w:r>
    </w:p>
    <w:p>
      <w:pPr>
        <w:pStyle w:val="Heading1"/>
      </w:pPr>
      <w:r>
        <w:t xml:space="preserve">I. Project Introduction</w:t>
      </w:r>
    </w:p>
    <w:p>
      <w:pPr>
        <w:pStyle w:val="Heading2"/>
      </w:pPr>
      <w:r>
        <w:t xml:space="preserve">1. Overview</w:t>
      </w:r>
    </w:p>
    <w:p>
      <w:pPr>
        <w:pStyle w:val="Heading3"/>
      </w:pPr>
      <w:r>
        <w:t xml:space="preserve">1.1 Project Information</w:t>
      </w:r>
    </w:p>
    <w:p>
      <w:pPr>
        <w:spacing w:after="140" w:before="0" w:line="360"/>
        <w:jc w:val="both"/>
      </w:pPr>
      <w:r>
        <w:t xml:space="preserve">Table 3 summarises the identifying information of the project, its team, and its supervision.</w:t>
      </w:r>
    </w:p>
    <w:p>
      <w:pPr>
        <w:spacing w:after="80" w:before="40"/>
      </w:pPr>
      <w:r>
        <w:rPr>
          <w:b/>
          <w:bCs/>
          <w:sz w:val="22"/>
          <w:szCs w:val="22"/>
        </w:rPr>
        <w:t xml:space="preserve">Table 3. Project Information.</w:t>
      </w:r>
    </w:p>
    <w:tbl>
      <w:tblPr>
        <w:tblW w:type="dxa" w:w="9000"/>
        <w:tblBorders>
          <w:top w:val="single" w:color="9AA6B2" w:sz="4"/>
          <w:left w:val="single" w:color="9AA6B2" w:sz="4"/>
          <w:bottom w:val="single" w:color="9AA6B2" w:sz="4"/>
          <w:right w:val="single" w:color="9AA6B2" w:sz="4"/>
          <w:insideH w:val="single" w:color="9AA6B2" w:sz="4"/>
          <w:insideV w:val="single" w:color="9AA6B2" w:sz="4"/>
        </w:tblBorders>
      </w:tblPr>
      <w:tblGrid>
        <w:gridCol w:w="3000"/>
        <w:gridCol w:w="6000"/>
      </w:tblGrid>
      <w:tr>
        <w:trPr>
          <w:tblHeader/>
        </w:trPr>
        <w:tc>
          <w:tcPr>
            <w:tcW w:type="dxa" w:w="30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Field</w:t>
            </w:r>
          </w:p>
        </w:tc>
        <w:tc>
          <w:tcPr>
            <w:tcW w:type="dxa" w:w="60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Detail</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Project Title (EN)</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A Multimodal Agentic RAG System for Vietnamese Agricultural Visual Question Answering with Grounded, Abstention-Aware Diagnosis (Vi-AgriVQA)</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Project Title (VI)</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Xây dựng hệ thống Multimodal Agentic RAG cấp độ Production cho Hỏi–Đáp Trực quan (VQA) trong lĩnh vực Nông nghiệp Việt Nam, có trích dẫn nguồn và cơ chế từ chối trả lời</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Project Code</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AIP491 — [Group code to be confirmed]</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Group Name</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[To be confirmed]</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Duration</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09/2026 – 12/2026 (15 weeks, Fall 2026) — [confirm]</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Team Leader</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Phạm Lê Huy Hoàng — [Student ID]</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Members</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[Member 2 — ID]; [Member 3 — ID]</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Supervisor</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[Supervisor full name — email]</w:t>
            </w:r>
          </w:p>
        </w:tc>
      </w:tr>
      <w:tr>
        <w:trPr>
          <w:tblHeader w:val="false"/>
        </w:trPr>
        <w:tc>
          <w:tcPr>
            <w:tcW w:type="dxa" w:w="3000"/>
            <w:shd w:fill="EEF3FB" w:color="auto" w:val="clear"/>
            <w:tcMar>
              <w:top w:type="dxa" w:w="60"/>
              <w:left w:type="dxa" w:w="110"/>
              <w:bottom w:type="dxa" w:w="60"/>
              <w:right w:type="dxa" w:w="110"/>
            </w:tcMar>
            <w:vAlign w:val="center"/>
          </w:tcPr>
          <w:p>
            <w:pPr>
              <w:spacing w:after="40" w:before="20" w:line="264"/>
              <w:jc w:val="left"/>
            </w:pPr>
            <w:r>
              <w:rPr>
                <w:b/>
                <w:bCs/>
                <w:sz w:val="24"/>
                <w:szCs w:val="24"/>
              </w:rPr>
              <w:t xml:space="preserve">Base Reference</w:t>
            </w:r>
          </w:p>
        </w:tc>
        <w:tc>
          <w:tcPr>
            <w:tcW w:type="dxa" w:w="6000"/>
            <w:tcMar>
              <w:top w:type="dxa" w:w="60"/>
              <w:left w:type="dxa" w:w="110"/>
              <w:bottom w:type="dxa" w:w="60"/>
              <w:right w:type="dxa" w:w="110"/>
            </w:tcMar>
            <w:vAlign w:val="center"/>
          </w:tcPr>
          <w:p>
            <w:pPr>
              <w:spacing w:after="40" w:before="20" w:line="264"/>
              <w:jc w:val="left"/>
            </w:pPr>
            <w:r>
              <w:rPr>
                <w:sz w:val="24"/>
                <w:szCs w:val="24"/>
              </w:rPr>
              <w:t xml:space="preserve">jamwithai/production-agentic-rag-course (architecture inherited and substantially extended to the multimodal, agricultural setting)</w:t>
            </w:r>
          </w:p>
        </w:tc>
      </w:tr>
    </w:tbl>
    <w:p>
      <w:pPr>
        <w:pStyle w:val="Heading3"/>
      </w:pPr>
      <w:r>
        <w:t xml:space="preserve">1.2 Project Overview</w:t>
      </w:r>
    </w:p>
    <w:p>
      <w:pPr>
        <w:spacing w:after="140" w:before="0" w:line="360"/>
        <w:jc w:val="both"/>
      </w:pPr>
      <w:r>
        <w:t xml:space="preserve">This project develops Vi-AgriVQA, a production-grade Multimodal Agentic Retrieval-Augmented Generation (RAG) system that acts as a reliable, source-grounded assistant for diagnosing crop diseases from a photograph of an affected plant together with a question posed in Vietnamese. The distinctive engineering thesis of the work is not merely to answer, but to answer trustworthily: the system attributes every recommendation to an explicit source and, critically, declines to answer when the available evidence is insufficient — trading fluency for safety in what is fundamentally a safety-critical advisory task.</w:t>
      </w:r>
    </w:p>
    <w:p>
      <w:pPr>
        <w:spacing w:after="140" w:before="0" w:line="360"/>
        <w:jc w:val="both"/>
      </w:pPr>
      <w:r>
        <w:t xml:space="preserve">Architecturally, the system couples a vision-language perception front-end with a hybrid retrieval engine and an agentic orchestration layer. An open-weight </w:t>
      </w:r>
      <w:r>
        <w:rPr>
          <w:b/>
          <w:bCs/>
        </w:rPr>
        <w:t xml:space="preserve">Vision–Language Model</w:t>
      </w:r>
      <w:r>
        <w:t xml:space="preserve"> (Qwen2-VL / LLaVA) extracts structured visual evidence and an initial disease hypothesis from the uploaded image; a </w:t>
      </w:r>
      <w:r>
        <w:rPr>
          <w:b/>
          <w:bCs/>
        </w:rPr>
        <w:t xml:space="preserve">hybrid retriever</w:t>
      </w:r>
      <w:r>
        <w:t xml:space="preserve"> over OpenSearch fuses lexical (BM25, tuned for Vietnamese disease and active-ingredient terminology), dense-vector, and CLIP-based visual similarity via Reciprocal Rank Fusion; and a </w:t>
      </w:r>
      <w:r>
        <w:rPr>
          <w:b/>
          <w:bCs/>
        </w:rPr>
        <w:t xml:space="preserve">LangGraph state machine</w:t>
      </w:r>
      <w:r>
        <w:t xml:space="preserve"> governs a bounded, self-correcting workflow of specialised nodes — guardrail, visual analysis, retrieve, grade, rewrite, generate, and abstain. The whole is instrumented for production with Langfuse tracing and a Redis cache, exposed through a streaming FastAPI backend and a Streamlit interface, and packaged with Docker Compose for deployment on AWS EC2.</w:t>
      </w:r>
    </w:p>
    <w:p>
      <w:pPr>
        <w:spacing w:after="140" w:before="0" w:line="360"/>
        <w:jc w:val="both"/>
      </w:pPr>
      <w:r>
        <w:t xml:space="preserve">The remainder of this document is organised as follows. Chapter I (this chapter) states the background, objectives, problem, significance, and scope of the project. Chapter II presents the project-management plan, including team structure, work breakdown, and risk, quality, and change management. Chapter III reviews existing systems and the state of the art in VQA, multimodal RAG, and agricultural AI, and identifies the gap the project addresses. Chapter IV details the methodology — a systems-engineering methodology customised for an agentic RAG pipeline rather than for model training. Chapter V describes the system design and implementation. Chapter VI reports the experimental results and discussion against the evaluation framework. Chapter VII concludes with contributions, limitations, and future work. Chapters VIII and IX provide the references and appendices.</w:t>
      </w:r>
    </w:p>
    <w:p>
      <w:pPr>
        <w:pStyle w:val="Heading2"/>
      </w:pPr>
      <w:r>
        <w:t xml:space="preserve">2. Project Background</w:t>
      </w:r>
    </w:p>
    <w:p>
      <w:pPr>
        <w:pStyle w:val="Heading3"/>
      </w:pPr>
      <w:r>
        <w:t xml:space="preserve">2.1 The Role of Agriculture and the Cost of Plant Disease in Vietnam</w:t>
      </w:r>
    </w:p>
    <w:p>
      <w:pPr>
        <w:spacing w:after="140" w:before="0" w:line="360"/>
        <w:jc w:val="both"/>
      </w:pPr>
      <w:r>
        <w:t xml:space="preserve">Agriculture remains a foundational sector of the Vietnamese economy and a primary source of rural livelihoods, with rice, coffee, fruit, and vegetable production central to both domestic food security and export revenue [insert cited figures — GSO / FAO / MARD]. Within this sector, plant pests and diseases are a persistent and economically significant threat: undetected or misdiagnosed outbreaks reduce yield and quality, and — where they trigger unnecessary or incorrect pesticide use — inflate input costs, harm the environment, and endanger food safety. The economically consequential decisions in day-to-day farming are therefore diagnostic ones: correctly identifying what is wrong with a plant, and prescribing a proportionate, regulation-compliant response.</w:t>
      </w:r>
    </w:p>
    <w:p>
      <w:pPr>
        <w:pStyle w:val="Heading3"/>
      </w:pPr>
      <w:r>
        <w:t xml:space="preserve">2.2 The Diagnosis Bottleneck and the Extension-Service Gap</w:t>
      </w:r>
    </w:p>
    <w:p>
      <w:pPr>
        <w:spacing w:after="140" w:before="0" w:line="360"/>
        <w:jc w:val="both"/>
      </w:pPr>
      <w:r>
        <w:t xml:space="preserve">For most smallholder farmers, expert diagnosis is scarce. Agricultural-extension services (khuyến nông) provide invaluable guidance, but specialist agronomists are unevenly distributed and cannot be physically present at the moment a farmer first notices a lesion on a leaf. The practical result is a diagnosis bottleneck: decisions are frequently made from memory, hearsay, or informal online sources of uncertain reliability. At the same time, smartphone and mobile-internet penetration in rural Vietnam is now high enough that nearly every farmer carries a camera and a network connection — precisely the two inputs a visual diagnostic assistant needs. This combination of a real, high-stakes information need and a suitable delivery channel is the immediate motivation for the project.</w:t>
      </w:r>
    </w:p>
    <w:p>
      <w:pPr>
        <w:pStyle w:val="Heading3"/>
      </w:pPr>
      <w:r>
        <w:t xml:space="preserve">2.3 The Promise of Vision–Language Models — and the Reliability Problem</w:t>
      </w:r>
    </w:p>
    <w:p>
      <w:pPr>
        <w:spacing w:after="140" w:before="0" w:line="360"/>
        <w:jc w:val="both"/>
      </w:pPr>
      <w:r>
        <w:t xml:space="preserve">Recent open-weight Vision–Language Models can describe an image and answer questions about it with striking fluency, making an automated visual diagnostic assistant technically conceivable for the first time. However, fluency is not reliability. Left to generate freely, such models hallucinate: they can confidently name a disease that is not present, or recommend an active ingredient that is inappropriate — or unlawful — for the crop in question. In a casual chatbot this is an inconvenience; in agricultural advice it can cause real economic loss, crop damage, and chemical misuse. The central engineering problem this project confronts is therefore not perception alone but trust: how to convert a fluent multimodal model into an assistant whose every recommendation is grounded in a verifiable source and which knows when to remain silent.</w:t>
      </w:r>
    </w:p>
    <w:p>
      <w:pPr>
        <w:pStyle w:val="Heading3"/>
      </w:pPr>
      <w:r>
        <w:t xml:space="preserve">2.4 Knowledge Volatility and the Case for Retrieval over Fine-tuning</w:t>
      </w:r>
    </w:p>
    <w:p>
      <w:pPr>
        <w:spacing w:after="140" w:before="0" w:line="360"/>
        <w:jc w:val="both"/>
      </w:pPr>
      <w:r>
        <w:t xml:space="preserve">Agricultural knowledge — and especially its regulatory component — is not static. Approved active ingredients, dosages, and prohibited substances are governed by legal instruments that are periodically revised; for example, the current authoritative circular on pesticide management in Vietnam is </w:t>
      </w:r>
      <w:r>
        <w:rPr>
          <w:b/>
          <w:bCs/>
        </w:rPr>
        <w:t xml:space="preserve">Thông tư 75/2025/TT-BNNMT</w:t>
      </w:r>
      <w:r>
        <w:t xml:space="preserve"> (effective 10 February 2026), issued under the </w:t>
      </w:r>
      <w:r>
        <w:rPr>
          <w:b/>
          <w:bCs/>
        </w:rPr>
        <w:t xml:space="preserve">Ministry of Agriculture and Environment (BNNMT)</w:t>
      </w:r>
      <w:r>
        <w:t xml:space="preserve"> — the successor authority to the former MARD. A system that encoded such rules in fine-tuned model weights would be stale the moment the regulation changed and expensive to re-train. Retrieval-Augmented Generation is the more defensible architecture for exactly this reason: knowledge lives in an updatable external store, is retrieved at query time, and can be revised by editing documents rather than re-training a model. This trade-off — real-time knowledge updating, lower compute cost, and source traceability, at the price of retrieval-system complexity — is a deliberate design decision and is analysed explicitly in Chapter IV.</w:t>
      </w:r>
    </w:p>
    <w:p>
      <w:pPr>
        <w:pStyle w:val="Heading3"/>
      </w:pPr>
      <w:r>
        <w:t xml:space="preserve">2.5 Motivation Summary</w:t>
      </w:r>
    </w:p>
    <w:p>
      <w:pPr>
        <w:spacing w:after="140" w:before="0" w:line="360"/>
        <w:jc w:val="both"/>
      </w:pPr>
      <w:r>
        <w:t xml:space="preserve">Vi-AgriVQA is thus positioned at the intersection of a genuine societal need (accessible, reliable crop-disease diagnosis for Vietnamese farmers) and a timely engineering opportunity (mature open-weight multimodal models and RAG tooling). The project deliberately frames itself as systems engineering rather than model training: its contribution is a reliable, observable, and deployable multimodal reasoning system with a quantifiable abstention guarantee, not a new neural network.</w:t>
      </w:r>
    </w:p>
    <w:p>
      <w:pPr>
        <w:pStyle w:val="Heading2"/>
      </w:pPr>
      <w:r>
        <w:t xml:space="preserve">3. Project Objective</w:t>
      </w:r>
    </w:p>
    <w:p>
      <w:pPr>
        <w:spacing w:after="140" w:before="0" w:line="360"/>
        <w:jc w:val="both"/>
      </w:pPr>
      <w:r>
        <w:t xml:space="preserve">The overarching objective of the project is to design, implement, evaluate, and deploy a production-grade Multimodal Agentic RAG system for Vietnamese agricultural VQA that produces source-grounded diagnoses and abstains under insufficient evidence. This general aim is decomposed into the following specific, measurable, achievable, relevant, and time-bound (SMART) objectives, each paired with a primary success criterion. The stated numeric thresholds are target thresholds to be validated experimentally in Chapter VI, not claimed results.</w:t>
      </w:r>
    </w:p>
    <w:p>
      <w:pPr>
        <w:spacing w:after="80" w:before="40"/>
      </w:pPr>
      <w:r>
        <w:rPr>
          <w:b/>
          <w:bCs/>
          <w:sz w:val="22"/>
          <w:szCs w:val="22"/>
        </w:rPr>
        <w:t xml:space="preserve">Table 4. Project Objectives and Success Criteria.</w:t>
      </w:r>
    </w:p>
    <w:tbl>
      <w:tblPr>
        <w:tblW w:type="dxa" w:w="9000"/>
        <w:tblBorders>
          <w:top w:val="single" w:color="9AA6B2" w:sz="4"/>
          <w:left w:val="single" w:color="9AA6B2" w:sz="4"/>
          <w:bottom w:val="single" w:color="9AA6B2" w:sz="4"/>
          <w:right w:val="single" w:color="9AA6B2" w:sz="4"/>
          <w:insideH w:val="single" w:color="9AA6B2" w:sz="4"/>
          <w:insideV w:val="single" w:color="9AA6B2" w:sz="4"/>
        </w:tblBorders>
      </w:tblPr>
      <w:tblGrid>
        <w:gridCol w:w="700"/>
        <w:gridCol w:w="4700"/>
        <w:gridCol w:w="3600"/>
      </w:tblGrid>
      <w:tr>
        <w:trPr>
          <w:tblHeader/>
        </w:trPr>
        <w:tc>
          <w:tcPr>
            <w:tcW w:type="dxa" w:w="7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ID</w:t>
            </w:r>
          </w:p>
        </w:tc>
        <w:tc>
          <w:tcPr>
            <w:tcW w:type="dxa" w:w="47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Objective</w:t>
            </w:r>
          </w:p>
        </w:tc>
        <w:tc>
          <w:tcPr>
            <w:tcW w:type="dxa" w:w="36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Primary Success Criterion (Target)</w:t>
            </w:r>
          </w:p>
        </w:tc>
      </w:tr>
      <w:tr>
        <w:trPr>
          <w:tblHeader w:val="false"/>
        </w:trPr>
        <w:tc>
          <w:tcPr>
            <w:tcW w:type="dxa" w:w="700"/>
            <w:tcMar>
              <w:top w:type="dxa" w:w="60"/>
              <w:left w:type="dxa" w:w="110"/>
              <w:bottom w:type="dxa" w:w="60"/>
              <w:right w:type="dxa" w:w="110"/>
            </w:tcMar>
            <w:vAlign w:val="center"/>
          </w:tcPr>
          <w:p>
            <w:pPr>
              <w:spacing w:after="40" w:before="20" w:line="264"/>
              <w:jc w:val="left"/>
            </w:pPr>
            <w:r>
              <w:rPr>
                <w:b/>
                <w:bCs/>
                <w:sz w:val="24"/>
                <w:szCs w:val="24"/>
              </w:rPr>
              <w:t xml:space="preserve">O1</w:t>
            </w:r>
          </w:p>
        </w:tc>
        <w:tc>
          <w:tcPr>
            <w:tcW w:type="dxa" w:w="4700"/>
            <w:tcMar>
              <w:top w:type="dxa" w:w="60"/>
              <w:left w:type="dxa" w:w="110"/>
              <w:bottom w:type="dxa" w:w="60"/>
              <w:right w:type="dxa" w:w="110"/>
            </w:tcMar>
            <w:vAlign w:val="center"/>
          </w:tcPr>
          <w:p>
            <w:pPr>
              <w:spacing w:after="40" w:before="20" w:line="264"/>
              <w:jc w:val="left"/>
            </w:pPr>
            <w:r>
              <w:rPr>
                <w:sz w:val="24"/>
                <w:szCs w:val="24"/>
              </w:rPr>
              <w:t xml:space="preserve">Build a VLM perception module that extracts structured visual symptoms and a candidate disease hypothesis from a plant image (zero-/few-shot).</w:t>
            </w:r>
          </w:p>
        </w:tc>
        <w:tc>
          <w:tcPr>
            <w:tcW w:type="dxa" w:w="3600"/>
            <w:tcMar>
              <w:top w:type="dxa" w:w="60"/>
              <w:left w:type="dxa" w:w="110"/>
              <w:bottom w:type="dxa" w:w="60"/>
              <w:right w:type="dxa" w:w="110"/>
            </w:tcMar>
            <w:vAlign w:val="center"/>
          </w:tcPr>
          <w:p>
            <w:pPr>
              <w:spacing w:after="40" w:before="20" w:line="264"/>
              <w:jc w:val="left"/>
            </w:pPr>
            <w:r>
              <w:rPr>
                <w:sz w:val="24"/>
                <w:szCs w:val="24"/>
              </w:rPr>
              <w:t xml:space="preserve">Visual-Diagnostic Top-1 accuracy ≥ 0.70 on the curated evaluation set.</w:t>
            </w:r>
          </w:p>
        </w:tc>
      </w:tr>
      <w:tr>
        <w:trPr>
          <w:tblHeader w:val="false"/>
        </w:trPr>
        <w:tc>
          <w:tcPr>
            <w:tcW w:type="dxa" w:w="700"/>
            <w:tcMar>
              <w:top w:type="dxa" w:w="60"/>
              <w:left w:type="dxa" w:w="110"/>
              <w:bottom w:type="dxa" w:w="60"/>
              <w:right w:type="dxa" w:w="110"/>
            </w:tcMar>
            <w:vAlign w:val="center"/>
          </w:tcPr>
          <w:p>
            <w:pPr>
              <w:spacing w:after="40" w:before="20" w:line="264"/>
              <w:jc w:val="left"/>
            </w:pPr>
            <w:r>
              <w:rPr>
                <w:b/>
                <w:bCs/>
                <w:sz w:val="24"/>
                <w:szCs w:val="24"/>
              </w:rPr>
              <w:t xml:space="preserve">O2</w:t>
            </w:r>
          </w:p>
        </w:tc>
        <w:tc>
          <w:tcPr>
            <w:tcW w:type="dxa" w:w="4700"/>
            <w:tcMar>
              <w:top w:type="dxa" w:w="60"/>
              <w:left w:type="dxa" w:w="110"/>
              <w:bottom w:type="dxa" w:w="60"/>
              <w:right w:type="dxa" w:w="110"/>
            </w:tcMar>
            <w:vAlign w:val="center"/>
          </w:tcPr>
          <w:p>
            <w:pPr>
              <w:spacing w:after="40" w:before="20" w:line="264"/>
              <w:jc w:val="left"/>
            </w:pPr>
            <w:r>
              <w:rPr>
                <w:sz w:val="24"/>
                <w:szCs w:val="24"/>
              </w:rPr>
              <w:t xml:space="preserve">Generate Vietnamese answers that are grounded in retrieved evidence with explicit inline citations.</w:t>
            </w:r>
          </w:p>
        </w:tc>
        <w:tc>
          <w:tcPr>
            <w:tcW w:type="dxa" w:w="3600"/>
            <w:tcMar>
              <w:top w:type="dxa" w:w="60"/>
              <w:left w:type="dxa" w:w="110"/>
              <w:bottom w:type="dxa" w:w="60"/>
              <w:right w:type="dxa" w:w="110"/>
            </w:tcMar>
            <w:vAlign w:val="center"/>
          </w:tcPr>
          <w:p>
            <w:pPr>
              <w:spacing w:after="40" w:before="20" w:line="264"/>
              <w:jc w:val="left"/>
            </w:pPr>
            <w:r>
              <w:rPr>
                <w:sz w:val="24"/>
                <w:szCs w:val="24"/>
              </w:rPr>
              <w:t xml:space="preserve">RAGAs Faithfulness ≥ 0.85; Answer Relevancy ≥ 0.80.</w:t>
            </w:r>
          </w:p>
        </w:tc>
      </w:tr>
      <w:tr>
        <w:trPr>
          <w:tblHeader w:val="false"/>
        </w:trPr>
        <w:tc>
          <w:tcPr>
            <w:tcW w:type="dxa" w:w="700"/>
            <w:tcMar>
              <w:top w:type="dxa" w:w="60"/>
              <w:left w:type="dxa" w:w="110"/>
              <w:bottom w:type="dxa" w:w="60"/>
              <w:right w:type="dxa" w:w="110"/>
            </w:tcMar>
            <w:vAlign w:val="center"/>
          </w:tcPr>
          <w:p>
            <w:pPr>
              <w:spacing w:after="40" w:before="20" w:line="264"/>
              <w:jc w:val="left"/>
            </w:pPr>
            <w:r>
              <w:rPr>
                <w:b/>
                <w:bCs/>
                <w:sz w:val="24"/>
                <w:szCs w:val="24"/>
              </w:rPr>
              <w:t xml:space="preserve">O3</w:t>
            </w:r>
          </w:p>
        </w:tc>
        <w:tc>
          <w:tcPr>
            <w:tcW w:type="dxa" w:w="4700"/>
            <w:tcMar>
              <w:top w:type="dxa" w:w="60"/>
              <w:left w:type="dxa" w:w="110"/>
              <w:bottom w:type="dxa" w:w="60"/>
              <w:right w:type="dxa" w:w="110"/>
            </w:tcMar>
            <w:vAlign w:val="center"/>
          </w:tcPr>
          <w:p>
            <w:pPr>
              <w:spacing w:after="40" w:before="20" w:line="264"/>
              <w:jc w:val="left"/>
            </w:pPr>
            <w:r>
              <w:rPr>
                <w:sz w:val="24"/>
                <w:szCs w:val="24"/>
              </w:rPr>
              <w:t xml:space="preserve">Implement a hybrid retrieval engine (BM25 + dense + CLIP visual, fused by RRF) with section-aware chunking over a Vietnamese agronomy knowledge base.</w:t>
            </w:r>
          </w:p>
        </w:tc>
        <w:tc>
          <w:tcPr>
            <w:tcW w:type="dxa" w:w="3600"/>
            <w:tcMar>
              <w:top w:type="dxa" w:w="60"/>
              <w:left w:type="dxa" w:w="110"/>
              <w:bottom w:type="dxa" w:w="60"/>
              <w:right w:type="dxa" w:w="110"/>
            </w:tcMar>
            <w:vAlign w:val="center"/>
          </w:tcPr>
          <w:p>
            <w:pPr>
              <w:spacing w:after="40" w:before="20" w:line="264"/>
              <w:jc w:val="left"/>
            </w:pPr>
            <w:r>
              <w:rPr>
                <w:sz w:val="24"/>
                <w:szCs w:val="24"/>
              </w:rPr>
              <w:t xml:space="preserve">Context Precision ≥ 0.80; Context Recall ≥ 0.80.</w:t>
            </w:r>
          </w:p>
        </w:tc>
      </w:tr>
      <w:tr>
        <w:trPr>
          <w:tblHeader w:val="false"/>
        </w:trPr>
        <w:tc>
          <w:tcPr>
            <w:tcW w:type="dxa" w:w="700"/>
            <w:tcMar>
              <w:top w:type="dxa" w:w="60"/>
              <w:left w:type="dxa" w:w="110"/>
              <w:bottom w:type="dxa" w:w="60"/>
              <w:right w:type="dxa" w:w="110"/>
            </w:tcMar>
            <w:vAlign w:val="center"/>
          </w:tcPr>
          <w:p>
            <w:pPr>
              <w:spacing w:after="40" w:before="20" w:line="264"/>
              <w:jc w:val="left"/>
            </w:pPr>
            <w:r>
              <w:rPr>
                <w:b/>
                <w:bCs/>
                <w:sz w:val="24"/>
                <w:szCs w:val="24"/>
              </w:rPr>
              <w:t xml:space="preserve">O4</w:t>
            </w:r>
          </w:p>
        </w:tc>
        <w:tc>
          <w:tcPr>
            <w:tcW w:type="dxa" w:w="4700"/>
            <w:tcMar>
              <w:top w:type="dxa" w:w="60"/>
              <w:left w:type="dxa" w:w="110"/>
              <w:bottom w:type="dxa" w:w="60"/>
              <w:right w:type="dxa" w:w="110"/>
            </w:tcMar>
            <w:vAlign w:val="center"/>
          </w:tcPr>
          <w:p>
            <w:pPr>
              <w:spacing w:after="40" w:before="20" w:line="264"/>
              <w:jc w:val="left"/>
            </w:pPr>
            <w:r>
              <w:rPr>
                <w:sz w:val="24"/>
                <w:szCs w:val="24"/>
              </w:rPr>
              <w:t xml:space="preserve">Design an abstention mechanism (Confidence-and-Sufficiency Policy) that withholds answers when evidence is insufficient.</w:t>
            </w:r>
          </w:p>
        </w:tc>
        <w:tc>
          <w:tcPr>
            <w:tcW w:type="dxa" w:w="3600"/>
            <w:tcMar>
              <w:top w:type="dxa" w:w="60"/>
              <w:left w:type="dxa" w:w="110"/>
              <w:bottom w:type="dxa" w:w="60"/>
              <w:right w:type="dxa" w:w="110"/>
            </w:tcMar>
            <w:vAlign w:val="center"/>
          </w:tcPr>
          <w:p>
            <w:pPr>
              <w:spacing w:after="40" w:before="20" w:line="264"/>
              <w:jc w:val="left"/>
            </w:pPr>
            <w:r>
              <w:rPr>
                <w:sz w:val="24"/>
                <w:szCs w:val="24"/>
              </w:rPr>
              <w:t xml:space="preserve">Selective Accuracy ≥ 0.90 at Coverage ≥ 0.70 on the golden set.</w:t>
            </w:r>
          </w:p>
        </w:tc>
      </w:tr>
      <w:tr>
        <w:trPr>
          <w:tblHeader w:val="false"/>
        </w:trPr>
        <w:tc>
          <w:tcPr>
            <w:tcW w:type="dxa" w:w="700"/>
            <w:tcMar>
              <w:top w:type="dxa" w:w="60"/>
              <w:left w:type="dxa" w:w="110"/>
              <w:bottom w:type="dxa" w:w="60"/>
              <w:right w:type="dxa" w:w="110"/>
            </w:tcMar>
            <w:vAlign w:val="center"/>
          </w:tcPr>
          <w:p>
            <w:pPr>
              <w:spacing w:after="40" w:before="20" w:line="264"/>
              <w:jc w:val="left"/>
            </w:pPr>
            <w:r>
              <w:rPr>
                <w:b/>
                <w:bCs/>
                <w:sz w:val="24"/>
                <w:szCs w:val="24"/>
              </w:rPr>
              <w:t xml:space="preserve">O5</w:t>
            </w:r>
          </w:p>
        </w:tc>
        <w:tc>
          <w:tcPr>
            <w:tcW w:type="dxa" w:w="4700"/>
            <w:tcMar>
              <w:top w:type="dxa" w:w="60"/>
              <w:left w:type="dxa" w:w="110"/>
              <w:bottom w:type="dxa" w:w="60"/>
              <w:right w:type="dxa" w:w="110"/>
            </w:tcMar>
            <w:vAlign w:val="center"/>
          </w:tcPr>
          <w:p>
            <w:pPr>
              <w:spacing w:after="40" w:before="20" w:line="264"/>
              <w:jc w:val="left"/>
            </w:pPr>
            <w:r>
              <w:rPr>
                <w:sz w:val="24"/>
                <w:szCs w:val="24"/>
              </w:rPr>
              <w:t xml:space="preserve">Meet production performance targets through streaming, caching, and observability.</w:t>
            </w:r>
          </w:p>
        </w:tc>
        <w:tc>
          <w:tcPr>
            <w:tcW w:type="dxa" w:w="3600"/>
            <w:tcMar>
              <w:top w:type="dxa" w:w="60"/>
              <w:left w:type="dxa" w:w="110"/>
              <w:bottom w:type="dxa" w:w="60"/>
              <w:right w:type="dxa" w:w="110"/>
            </w:tcMar>
            <w:vAlign w:val="center"/>
          </w:tcPr>
          <w:p>
            <w:pPr>
              <w:spacing w:after="40" w:before="20" w:line="264"/>
              <w:jc w:val="left"/>
            </w:pPr>
            <w:r>
              <w:rPr>
                <w:sz w:val="24"/>
                <w:szCs w:val="24"/>
              </w:rPr>
              <w:t xml:space="preserve">End-to-end p95 latency ≤ 8 s; TTFT ≤ 2 s; Cache Hit Rate ≥ 30%; cost/query tracked in Langfuse.</w:t>
            </w:r>
          </w:p>
        </w:tc>
      </w:tr>
      <w:tr>
        <w:trPr>
          <w:tblHeader w:val="false"/>
        </w:trPr>
        <w:tc>
          <w:tcPr>
            <w:tcW w:type="dxa" w:w="700"/>
            <w:tcMar>
              <w:top w:type="dxa" w:w="60"/>
              <w:left w:type="dxa" w:w="110"/>
              <w:bottom w:type="dxa" w:w="60"/>
              <w:right w:type="dxa" w:w="110"/>
            </w:tcMar>
            <w:vAlign w:val="center"/>
          </w:tcPr>
          <w:p>
            <w:pPr>
              <w:spacing w:after="40" w:before="20" w:line="264"/>
              <w:jc w:val="left"/>
            </w:pPr>
            <w:r>
              <w:rPr>
                <w:b/>
                <w:bCs/>
                <w:sz w:val="24"/>
                <w:szCs w:val="24"/>
              </w:rPr>
              <w:t xml:space="preserve">O6</w:t>
            </w:r>
          </w:p>
        </w:tc>
        <w:tc>
          <w:tcPr>
            <w:tcW w:type="dxa" w:w="4700"/>
            <w:tcMar>
              <w:top w:type="dxa" w:w="60"/>
              <w:left w:type="dxa" w:w="110"/>
              <w:bottom w:type="dxa" w:w="60"/>
              <w:right w:type="dxa" w:w="110"/>
            </w:tcMar>
            <w:vAlign w:val="center"/>
          </w:tcPr>
          <w:p>
            <w:pPr>
              <w:spacing w:after="40" w:before="20" w:line="264"/>
              <w:jc w:val="left"/>
            </w:pPr>
            <w:r>
              <w:rPr>
                <w:sz w:val="24"/>
                <w:szCs w:val="24"/>
              </w:rPr>
              <w:t xml:space="preserve">Empirically demonstrate the value of the agentic design through baseline comparison and ablation.</w:t>
            </w:r>
          </w:p>
        </w:tc>
        <w:tc>
          <w:tcPr>
            <w:tcW w:type="dxa" w:w="3600"/>
            <w:tcMar>
              <w:top w:type="dxa" w:w="60"/>
              <w:left w:type="dxa" w:w="110"/>
              <w:bottom w:type="dxa" w:w="60"/>
              <w:right w:type="dxa" w:w="110"/>
            </w:tcMar>
            <w:vAlign w:val="center"/>
          </w:tcPr>
          <w:p>
            <w:pPr>
              <w:spacing w:after="40" w:before="20" w:line="264"/>
              <w:jc w:val="left"/>
            </w:pPr>
            <w:r>
              <w:rPr>
                <w:sz w:val="24"/>
                <w:szCs w:val="24"/>
              </w:rPr>
              <w:t xml:space="preserve">Proposed Agentic RAG outperforms Naive Multimodal RAG on Faithfulness; ablations isolate the contribution of the Redis cache and the Abstention Node.</w:t>
            </w:r>
          </w:p>
        </w:tc>
      </w:tr>
      <w:tr>
        <w:trPr>
          <w:tblHeader w:val="false"/>
        </w:trPr>
        <w:tc>
          <w:tcPr>
            <w:tcW w:type="dxa" w:w="700"/>
            <w:tcMar>
              <w:top w:type="dxa" w:w="60"/>
              <w:left w:type="dxa" w:w="110"/>
              <w:bottom w:type="dxa" w:w="60"/>
              <w:right w:type="dxa" w:w="110"/>
            </w:tcMar>
            <w:vAlign w:val="center"/>
          </w:tcPr>
          <w:p>
            <w:pPr>
              <w:spacing w:after="40" w:before="20" w:line="264"/>
              <w:jc w:val="left"/>
            </w:pPr>
            <w:r>
              <w:rPr>
                <w:b/>
                <w:bCs/>
                <w:sz w:val="24"/>
                <w:szCs w:val="24"/>
              </w:rPr>
              <w:t xml:space="preserve">O7</w:t>
            </w:r>
          </w:p>
        </w:tc>
        <w:tc>
          <w:tcPr>
            <w:tcW w:type="dxa" w:w="4700"/>
            <w:tcMar>
              <w:top w:type="dxa" w:w="60"/>
              <w:left w:type="dxa" w:w="110"/>
              <w:bottom w:type="dxa" w:w="60"/>
              <w:right w:type="dxa" w:w="110"/>
            </w:tcMar>
            <w:vAlign w:val="center"/>
          </w:tcPr>
          <w:p>
            <w:pPr>
              <w:spacing w:after="40" w:before="20" w:line="264"/>
              <w:jc w:val="left"/>
            </w:pPr>
            <w:r>
              <w:rPr>
                <w:sz w:val="24"/>
                <w:szCs w:val="24"/>
              </w:rPr>
              <w:t xml:space="preserve">Deliver a reproducible, deployable artifact with an interactive UI.</w:t>
            </w:r>
          </w:p>
        </w:tc>
        <w:tc>
          <w:tcPr>
            <w:tcW w:type="dxa" w:w="3600"/>
            <w:tcMar>
              <w:top w:type="dxa" w:w="60"/>
              <w:left w:type="dxa" w:w="110"/>
              <w:bottom w:type="dxa" w:w="60"/>
              <w:right w:type="dxa" w:w="110"/>
            </w:tcMar>
            <w:vAlign w:val="center"/>
          </w:tcPr>
          <w:p>
            <w:pPr>
              <w:spacing w:after="40" w:before="20" w:line="264"/>
              <w:jc w:val="left"/>
            </w:pPr>
            <w:r>
              <w:rPr>
                <w:sz w:val="24"/>
                <w:szCs w:val="24"/>
              </w:rPr>
              <w:t xml:space="preserve">Docker-Compose stack deployed on AWS EC2; Streamlit UI supporting image upload, citation display, and abstention state.</w:t>
            </w:r>
          </w:p>
        </w:tc>
      </w:tr>
    </w:tbl>
    <w:p>
      <w:pPr>
        <w:pStyle w:val="Heading2"/>
      </w:pPr>
      <w:r>
        <w:t xml:space="preserve">4. Problem Statement</w:t>
      </w:r>
    </w:p>
    <w:p>
      <w:pPr>
        <w:spacing w:after="140" w:before="0" w:line="360"/>
        <w:jc w:val="both"/>
      </w:pPr>
      <w:r>
        <w:t xml:space="preserve">The core problem is to transform a fluent but unreliable multimodal model into a trustworthy diagnostic assistant for a low-resource language and a safety-critical domain. This decomposes into six interconnected sub-problems, each with a distinct root cause and technical challenge.</w:t>
      </w:r>
    </w:p>
    <w:p>
      <w:pPr>
        <w:pStyle w:val="Heading3"/>
      </w:pPr>
      <w:r>
        <w:t xml:space="preserve">4.1 The Multimodal Grounding Gap</w:t>
      </w:r>
    </w:p>
    <w:p>
      <w:pPr>
        <w:spacing w:after="140" w:before="0" w:line="360"/>
        <w:jc w:val="both"/>
      </w:pPr>
      <w:r>
        <w:t xml:space="preserve">A correct answer depends jointly on what is visible in the image and on what an authoritative text source says. A text-only RAG system cannot see the lesion; a vision-only model cannot cite a regulation. The challenge is to fuse image-derived evidence and text-retrieved knowledge into a single grounded answer, so that visual observations condition retrieval and retrieved knowledge disciplines the visual hypothesis.</w:t>
      </w:r>
    </w:p>
    <w:p>
      <w:pPr>
        <w:pStyle w:val="Heading3"/>
      </w:pPr>
      <w:r>
        <w:t xml:space="preserve">4.2 Low-Resource Vietnamese Retrieval</w:t>
      </w:r>
    </w:p>
    <w:p>
      <w:pPr>
        <w:spacing w:after="140" w:before="0" w:line="360"/>
        <w:jc w:val="both"/>
      </w:pPr>
      <w:r>
        <w:t xml:space="preserve">Vietnamese is comparatively under-served by retrieval tooling, and agricultural language is dense with specialised terminology — local crop and disease names, and chemical active ingredients — that generic dense embeddings capture poorly. Purely semantic search misses exact-term matches (e.g., a specific active ingredient), while purely lexical search misses paraphrase. The challenge is to combine lexical precision and semantic recall, tuned for Vietnamese agronomy vocabulary.</w:t>
      </w:r>
    </w:p>
    <w:p>
      <w:pPr>
        <w:pStyle w:val="Heading3"/>
      </w:pPr>
      <w:r>
        <w:t xml:space="preserve">4.3 Hallucination in Safety-Critical Advice</w:t>
      </w:r>
    </w:p>
    <w:p>
      <w:pPr>
        <w:spacing w:after="140" w:before="0" w:line="360"/>
        <w:jc w:val="both"/>
      </w:pPr>
      <w:r>
        <w:t xml:space="preserve">The root cause of the reliability problem is that generative models optimise for plausibility, not truth, and will produce confident recommendations even without support. In this domain a hallucinated active ingredient or dosage can cause chemical misuse and crop or environmental harm. The challenge is to constrain generation to retrieved evidence and to make every claim source-attributable and auditable.</w:t>
      </w:r>
    </w:p>
    <w:p>
      <w:pPr>
        <w:pStyle w:val="Heading3"/>
      </w:pPr>
      <w:r>
        <w:t xml:space="preserve">4.4 Knowledge Staleness</w:t>
      </w:r>
    </w:p>
    <w:p>
      <w:pPr>
        <w:spacing w:after="140" w:before="0" w:line="360"/>
        <w:jc w:val="both"/>
      </w:pPr>
      <w:r>
        <w:t xml:space="preserve">Regulatory and agronomic knowledge changes over time (see §2.4). A system whose knowledge is frozen in model weights becomes incorrect as soon as the underlying rules are revised, and is costly to update. The challenge is an architecture in which knowledge can be refreshed by editing an external store rather than re-training a model — the fundamental argument for RAG over fine-tuning in this setting.</w:t>
      </w:r>
    </w:p>
    <w:p>
      <w:pPr>
        <w:pStyle w:val="Heading3"/>
      </w:pPr>
      <w:r>
        <w:t xml:space="preserve">4.5 Production Reliability: Latency, Cost, and Observability</w:t>
      </w:r>
    </w:p>
    <w:p>
      <w:pPr>
        <w:spacing w:after="140" w:before="0" w:line="360"/>
        <w:jc w:val="both"/>
      </w:pPr>
      <w:r>
        <w:t xml:space="preserve">An agentic, multi-step, multimodal pipeline is inherently heavier than a single model call: each additional node (grade, rewrite, re-retrieve) adds latency and token cost. Without engineering, such a system is neither responsive nor economical, and its failures are opaque. The challenge is to keep the system responsive and affordable — through streaming, content-addressed caching, and bounded adaptive loops — while making latency, token, and cost behaviour observable in production.</w:t>
      </w:r>
    </w:p>
    <w:p>
      <w:pPr>
        <w:pStyle w:val="Heading3"/>
      </w:pPr>
      <w:r>
        <w:t xml:space="preserve">4.6 The Absence of Abstention and Its Evaluation</w:t>
      </w:r>
    </w:p>
    <w:p>
      <w:pPr>
        <w:spacing w:after="140" w:before="0" w:line="360"/>
        <w:jc w:val="both"/>
      </w:pPr>
      <w:r>
        <w:t xml:space="preserve">Most VQA and RAG systems always answer; “I don't know” is rarely a first-class output, and even more rarely is it measured. Yet in a safety-critical setting the ability to decline is a feature, not a failure. The challenge is twofold: to design a principled abstention policy driven by model confidence and contextual sufficiency, and — harder — to evaluate it quantitatively, converting a qualitative safety claim into measurable selective-accuracy-versus-coverage evidence.</w:t>
      </w:r>
    </w:p>
    <w:p>
      <w:pPr>
        <w:spacing w:after="140" w:before="0" w:line="360"/>
        <w:jc w:val="both"/>
      </w:pPr>
      <w:r>
        <w:t xml:space="preserve">These sub-problems are compounded by several cross-cutting factors:</w:t>
      </w:r>
    </w:p>
    <w:p>
      <w:pPr>
        <w:pStyle w:val="ListParagraph"/>
        <w:numPr>
          <w:ilvl w:val="0"/>
          <w:numId w:val="2"/>
        </w:numPr>
        <w:spacing w:after="60" w:line="340"/>
        <w:jc w:val="both"/>
      </w:pPr>
      <w:r>
        <w:t xml:space="preserve">the scarcity of a Vietnamese multimodal agricultural evaluation benchmark, which the project must partly construct (the Vi-AgriVQA golden set);</w:t>
      </w:r>
    </w:p>
    <w:p>
      <w:pPr>
        <w:pStyle w:val="ListParagraph"/>
        <w:numPr>
          <w:ilvl w:val="0"/>
          <w:numId w:val="2"/>
        </w:numPr>
        <w:spacing w:after="60" w:line="340"/>
        <w:jc w:val="both"/>
      </w:pPr>
      <w:r>
        <w:t xml:space="preserve">hardware constraints that preclude large-scale training and dictate the use of open-weight models served locally;</w:t>
      </w:r>
    </w:p>
    <w:p>
      <w:pPr>
        <w:pStyle w:val="ListParagraph"/>
        <w:numPr>
          <w:ilvl w:val="0"/>
          <w:numId w:val="2"/>
        </w:numPr>
        <w:spacing w:after="60" w:line="340"/>
        <w:jc w:val="both"/>
      </w:pPr>
      <w:r>
        <w:t xml:space="preserve">the intrinsic difficulty of visual diagnosis under real-world photography (lighting, angle, occlusion, mixed symptoms); and</w:t>
      </w:r>
    </w:p>
    <w:p>
      <w:pPr>
        <w:pStyle w:val="ListParagraph"/>
        <w:numPr>
          <w:ilvl w:val="0"/>
          <w:numId w:val="2"/>
        </w:numPr>
        <w:spacing w:after="140" w:line="340"/>
        <w:jc w:val="both"/>
      </w:pPr>
      <w:r>
        <w:t xml:space="preserve">the requirement that the system remain an assistant that supports, rather than replaces, professional agronomic judgement.</w:t>
      </w:r>
    </w:p>
    <w:p>
      <w:pPr>
        <w:pStyle w:val="Heading2"/>
      </w:pPr>
      <w:r>
        <w:t xml:space="preserve">5. Significance of the Project</w:t>
      </w:r>
    </w:p>
    <w:p>
      <w:pPr>
        <w:pStyle w:val="Heading3"/>
      </w:pPr>
      <w:r>
        <w:t xml:space="preserve">5.1 Academic Significance</w:t>
      </w:r>
    </w:p>
    <w:p>
      <w:pPr>
        <w:spacing w:after="140" w:before="0" w:line="360"/>
        <w:jc w:val="both"/>
      </w:pPr>
      <w:r>
        <w:t xml:space="preserve">The project makes three academically defensible contributions. First, it treats abstention as a first-class, quantified engineering result: rather than asserting that the system “is safe”, it evaluates safety through a selective-accuracy-versus-coverage curve, turning a qualitative claim into a measurable one. Second, it studies multimodal agentic RAG in a genuinely low-resource, non-English, safety-critical setting — Vietnamese agriculture — where most existing benchmarks and tooling do not reach. Third, it delivers a reproducible evaluation harness (golden dataset, RAGAs metrics, Langfuse traces, and a documented baseline-versus-agentic ablation protocol) that renders the system's claims verifiable and its design choices attributable to measured effects.</w:t>
      </w:r>
    </w:p>
    <w:p>
      <w:pPr>
        <w:pStyle w:val="Heading3"/>
      </w:pPr>
      <w:r>
        <w:t xml:space="preserve">5.2 Practical and Social Significance</w:t>
      </w:r>
    </w:p>
    <w:p>
      <w:pPr>
        <w:spacing w:after="140" w:before="0" w:line="360"/>
        <w:jc w:val="both"/>
      </w:pPr>
      <w:r>
        <w:t xml:space="preserve">In practical terms, the system offers accessible, on-demand, source-grounded diagnostic support to smallholder farmers and extension workers through a channel they already possess — a smartphone camera and an internet connection. By grounding advice in authoritative, regulation-aware sources and by declining to answer high-risk cases it cannot support, the system aims to reduce diagnostic error and inappropriate pesticide use, with corresponding benefits for input cost, environmental impact, food safety, and ultimately food security. It is designed to augment, not replace, the agricultural-extension network.</w:t>
      </w:r>
    </w:p>
    <w:p>
      <w:pPr>
        <w:pStyle w:val="Heading3"/>
      </w:pPr>
      <w:r>
        <w:t xml:space="preserve">5.3 Methodological Significance</w:t>
      </w:r>
    </w:p>
    <w:p>
      <w:pPr>
        <w:spacing w:after="140" w:before="0" w:line="360"/>
        <w:jc w:val="both"/>
      </w:pPr>
      <w:r>
        <w:t xml:space="preserve">Methodologically, the project is a case study in production ML systems engineering: it foregrounds the trade-offs (RAG versus fine-tuning; naive versus agentic; latency and cost versus reliability) that separate a research prototype from a deployable service, and it demonstrates the observability, caching, and evaluation discipline required to reason about those trade-offs with evidence. This framing is itself a contribution to how AI capstone projects can be scoped and defended when the deliverable is a reliable system rather than a novel model.</w:t>
      </w:r>
    </w:p>
    <w:p>
      <w:pPr>
        <w:pStyle w:val="Heading2"/>
      </w:pPr>
      <w:r>
        <w:t xml:space="preserve">6. Project Scope &amp; Limitations</w:t>
      </w:r>
    </w:p>
    <w:p>
      <w:pPr>
        <w:pStyle w:val="Heading3"/>
      </w:pPr>
      <w:r>
        <w:t xml:space="preserve">6.1 In-Scope and Out-of-Scope</w:t>
      </w:r>
    </w:p>
    <w:p>
      <w:pPr>
        <w:spacing w:after="140" w:before="0" w:line="360"/>
        <w:jc w:val="both"/>
      </w:pPr>
      <w:r>
        <w:t xml:space="preserve">To keep the work tractable within a 15-week schedule, the project draws a firm boundary between what it will and will not deliver. Table 5 states this boundary.</w:t>
      </w:r>
    </w:p>
    <w:p>
      <w:pPr>
        <w:spacing w:after="80" w:before="40"/>
      </w:pPr>
      <w:r>
        <w:rPr>
          <w:b/>
          <w:bCs/>
          <w:sz w:val="22"/>
          <w:szCs w:val="22"/>
        </w:rPr>
        <w:t xml:space="preserve">Table 5. Project Scope — In-Scope vs. Out-of-Scope.</w:t>
      </w:r>
    </w:p>
    <w:tbl>
      <w:tblPr>
        <w:tblW w:type="dxa" w:w="9000"/>
        <w:tblBorders>
          <w:top w:val="single" w:color="9AA6B2" w:sz="4"/>
          <w:left w:val="single" w:color="9AA6B2" w:sz="4"/>
          <w:bottom w:val="single" w:color="9AA6B2" w:sz="4"/>
          <w:right w:val="single" w:color="9AA6B2" w:sz="4"/>
          <w:insideH w:val="single" w:color="9AA6B2" w:sz="4"/>
          <w:insideV w:val="single" w:color="9AA6B2" w:sz="4"/>
        </w:tblBorders>
      </w:tblPr>
      <w:tblGrid>
        <w:gridCol w:w="4500"/>
        <w:gridCol w:w="4500"/>
      </w:tblGrid>
      <w:tr>
        <w:trPr>
          <w:tblHeader/>
        </w:trPr>
        <w:tc>
          <w:tcPr>
            <w:tcW w:type="dxa" w:w="45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In-Scope</w:t>
            </w:r>
          </w:p>
        </w:tc>
        <w:tc>
          <w:tcPr>
            <w:tcW w:type="dxa" w:w="4500"/>
            <w:shd w:fill="D9E2F3" w:color="auto" w:val="clear"/>
            <w:tcMar>
              <w:top w:type="dxa" w:w="60"/>
              <w:left w:type="dxa" w:w="110"/>
              <w:bottom w:type="dxa" w:w="60"/>
              <w:right w:type="dxa" w:w="110"/>
            </w:tcMar>
            <w:vAlign w:val="center"/>
          </w:tcPr>
          <w:p>
            <w:pPr>
              <w:spacing w:after="40" w:before="20" w:line="264"/>
              <w:jc w:val="left"/>
            </w:pPr>
            <w:r>
              <w:rPr>
                <w:b/>
                <w:bCs/>
                <w:sz w:val="24"/>
                <w:szCs w:val="24"/>
              </w:rPr>
              <w:t xml:space="preserve">Out-of-Scope</w:t>
            </w:r>
          </w:p>
        </w:tc>
      </w:tr>
      <w:tr>
        <w:trPr>
          <w:tblHeader w:val="false"/>
        </w:trPr>
        <w:tc>
          <w:tcPr>
            <w:tcW w:type="dxa" w:w="4500"/>
            <w:tcMar>
              <w:top w:type="dxa" w:w="60"/>
              <w:left w:type="dxa" w:w="110"/>
              <w:bottom w:type="dxa" w:w="60"/>
              <w:right w:type="dxa" w:w="110"/>
            </w:tcMar>
            <w:vAlign w:val="center"/>
          </w:tcPr>
          <w:p>
            <w:pPr>
              <w:pStyle w:val="ListParagraph"/>
              <w:numPr>
                <w:ilvl w:val="0"/>
                <w:numId w:val="2"/>
              </w:numPr>
              <w:spacing w:after="40" w:line="264"/>
            </w:pPr>
            <w:r>
              <w:rPr>
                <w:sz w:val="24"/>
                <w:szCs w:val="24"/>
              </w:rPr>
              <w:t xml:space="preserve">A working, deployed Multimodal Agentic RAG system for Vietnamese crop-disease VQA.</w:t>
            </w:r>
          </w:p>
          <w:p>
            <w:pPr>
              <w:pStyle w:val="ListParagraph"/>
              <w:numPr>
                <w:ilvl w:val="0"/>
                <w:numId w:val="2"/>
              </w:numPr>
              <w:spacing w:after="40" w:line="264"/>
            </w:pPr>
            <w:r>
              <w:rPr>
                <w:sz w:val="24"/>
                <w:szCs w:val="24"/>
              </w:rPr>
              <w:t xml:space="preserve">Perception via open-weight VLMs used zero-/few-shot (no VLM fine-tuning).</w:t>
            </w:r>
          </w:p>
          <w:p>
            <w:pPr>
              <w:pStyle w:val="ListParagraph"/>
              <w:numPr>
                <w:ilvl w:val="0"/>
                <w:numId w:val="2"/>
              </w:numPr>
              <w:spacing w:after="40" w:line="264"/>
            </w:pPr>
            <w:r>
              <w:rPr>
                <w:sz w:val="24"/>
                <w:szCs w:val="24"/>
              </w:rPr>
              <w:t xml:space="preserve">Hybrid retrieval (BM25 + dense + CLIP visual) with RRF and section-aware chunking over a curated Vietnamese agronomy knowledge base.</w:t>
            </w:r>
          </w:p>
          <w:p>
            <w:pPr>
              <w:pStyle w:val="ListParagraph"/>
              <w:numPr>
                <w:ilvl w:val="0"/>
                <w:numId w:val="2"/>
              </w:numPr>
              <w:spacing w:after="40" w:line="264"/>
            </w:pPr>
            <w:r>
              <w:rPr>
                <w:sz w:val="24"/>
                <w:szCs w:val="24"/>
              </w:rPr>
              <w:t xml:space="preserve">A LangGraph agentic workflow with guardrail, grading, bounded query rewriting, grounded citation, and an abstention node.</w:t>
            </w:r>
          </w:p>
          <w:p>
            <w:pPr>
              <w:pStyle w:val="ListParagraph"/>
              <w:numPr>
                <w:ilvl w:val="0"/>
                <w:numId w:val="2"/>
              </w:numPr>
              <w:spacing w:after="40" w:line="264"/>
            </w:pPr>
            <w:r>
              <w:rPr>
                <w:sz w:val="24"/>
                <w:szCs w:val="24"/>
              </w:rPr>
              <w:t xml:space="preserve">The Vi-AgriVQA dataset as three separable layers: public image sources, a Vietnamese agronomy knowledge base, and an expert-verified golden evaluation set.</w:t>
            </w:r>
          </w:p>
          <w:p>
            <w:pPr>
              <w:pStyle w:val="ListParagraph"/>
              <w:numPr>
                <w:ilvl w:val="0"/>
                <w:numId w:val="2"/>
              </w:numPr>
              <w:spacing w:after="40" w:line="264"/>
            </w:pPr>
            <w:r>
              <w:rPr>
                <w:sz w:val="24"/>
                <w:szCs w:val="24"/>
              </w:rPr>
              <w:t xml:space="preserve">A reproducible evaluation harness (RAGAs, abstention metrics, Langfuse) and a baseline-vs-agentic ablation study.</w:t>
            </w:r>
          </w:p>
          <w:p>
            <w:pPr>
              <w:pStyle w:val="ListParagraph"/>
              <w:numPr>
                <w:ilvl w:val="0"/>
                <w:numId w:val="2"/>
              </w:numPr>
              <w:spacing w:after="20" w:line="264"/>
            </w:pPr>
            <w:r>
              <w:rPr>
                <w:sz w:val="24"/>
                <w:szCs w:val="24"/>
              </w:rPr>
              <w:t xml:space="preserve">Production concerns: streaming API (FastAPI/SSE), Redis caching, observability, Docker Compose, and an AWS EC2 demo deployment.</w:t>
            </w:r>
          </w:p>
        </w:tc>
      </w:tr>
      <w:tr>
        <w:trPr>
          <w:tblHeader w:val="false"/>
        </w:trPr>
        <w:tc>
          <w:tcPr>
            <w:tcW w:type="dxa" w:w="4500"/>
            <w:tcMar>
              <w:top w:type="dxa" w:w="60"/>
              <w:left w:type="dxa" w:w="110"/>
              <w:bottom w:type="dxa" w:w="60"/>
              <w:right w:type="dxa" w:w="110"/>
            </w:tcMar>
            <w:vAlign w:val="center"/>
          </w:tcPr>
          <w:p>
            <w:pPr>
              <w:pStyle w:val="ListParagraph"/>
              <w:numPr>
                <w:ilvl w:val="0"/>
                <w:numId w:val="2"/>
              </w:numPr>
              <w:spacing w:after="40" w:line="264"/>
            </w:pPr>
            <w:r>
              <w:rPr>
                <w:sz w:val="24"/>
                <w:szCs w:val="24"/>
              </w:rPr>
              <w:t xml:space="preserve">Fine-tuning or pre-training of any vision-language or language model.</w:t>
            </w:r>
          </w:p>
          <w:p>
            <w:pPr>
              <w:pStyle w:val="ListParagraph"/>
              <w:numPr>
                <w:ilvl w:val="0"/>
                <w:numId w:val="2"/>
              </w:numPr>
              <w:spacing w:after="40" w:line="264"/>
            </w:pPr>
            <w:r>
              <w:rPr>
                <w:sz w:val="24"/>
                <w:szCs w:val="24"/>
              </w:rPr>
              <w:t xml:space="preserve">Guaranteeing absolute diagnostic correctness or serving as a certified substitute for a professional agronomist.</w:t>
            </w:r>
          </w:p>
          <w:p>
            <w:pPr>
              <w:pStyle w:val="ListParagraph"/>
              <w:numPr>
                <w:ilvl w:val="0"/>
                <w:numId w:val="2"/>
              </w:numPr>
              <w:spacing w:after="40" w:line="264"/>
            </w:pPr>
            <w:r>
              <w:rPr>
                <w:sz w:val="24"/>
                <w:szCs w:val="24"/>
              </w:rPr>
              <w:t xml:space="preserve">Languages other than Vietnamese and crops/diseases outside the curated knowledge base and image corpus.</w:t>
            </w:r>
          </w:p>
          <w:p>
            <w:pPr>
              <w:pStyle w:val="ListParagraph"/>
              <w:numPr>
                <w:ilvl w:val="0"/>
                <w:numId w:val="2"/>
              </w:numPr>
              <w:spacing w:after="40" w:line="264"/>
            </w:pPr>
            <w:r>
              <w:rPr>
                <w:sz w:val="24"/>
                <w:szCs w:val="24"/>
              </w:rPr>
              <w:t xml:space="preserve">A hardened, multi-tenant commercial product (authentication at scale, mobile-native app, horizontal auto-scaling).</w:t>
            </w:r>
          </w:p>
          <w:p>
            <w:pPr>
              <w:pStyle w:val="ListParagraph"/>
              <w:numPr>
                <w:ilvl w:val="0"/>
                <w:numId w:val="2"/>
              </w:numPr>
              <w:spacing w:after="40" w:line="264"/>
            </w:pPr>
            <w:r>
              <w:rPr>
                <w:sz w:val="24"/>
                <w:szCs w:val="24"/>
              </w:rPr>
              <w:t xml:space="preserve">On-device/edge inference and offline operation.</w:t>
            </w:r>
          </w:p>
          <w:p>
            <w:pPr>
              <w:pStyle w:val="ListParagraph"/>
              <w:numPr>
                <w:ilvl w:val="0"/>
                <w:numId w:val="2"/>
              </w:numPr>
              <w:spacing w:after="40" w:line="264"/>
            </w:pPr>
            <w:r>
              <w:rPr>
                <w:sz w:val="24"/>
                <w:szCs w:val="24"/>
              </w:rPr>
              <w:t xml:space="preserve">Autonomous actuation (e.g., automated spraying) or IoT/sensor integration.</w:t>
            </w:r>
          </w:p>
          <w:p>
            <w:pPr>
              <w:pStyle w:val="ListParagraph"/>
              <w:numPr>
                <w:ilvl w:val="0"/>
                <w:numId w:val="2"/>
              </w:numPr>
              <w:spacing w:after="20" w:line="264"/>
            </w:pPr>
            <w:r>
              <w:rPr>
                <w:sz w:val="24"/>
                <w:szCs w:val="24"/>
              </w:rPr>
              <w:t xml:space="preserve">Legal or financial advice; the system provides regulation-aware information, not certified legal interpretation.</w:t>
            </w:r>
          </w:p>
        </w:tc>
      </w:tr>
    </w:tbl>
    <w:p>
      <w:pPr>
        <w:pStyle w:val="Heading3"/>
      </w:pPr>
      <w:r>
        <w:t xml:space="preserve">6.2 Assumptions</w:t>
      </w:r>
    </w:p>
    <w:p>
      <w:pPr>
        <w:spacing w:after="140" w:before="0" w:line="360"/>
        <w:jc w:val="both"/>
      </w:pPr>
      <w:r>
        <w:t xml:space="preserve">The project proceeds under the following assumptions: that suitable open-weight VLMs can be served on the available local hardware at acceptable latency; that public plant-image datasets (e.g., PlantVillage, PlantDoc) together with Vietnamese crop imagery provide adequate visual coverage for the targeted diseases; that authoritative Vietnamese agronomy and regulatory texts are obtainable to populate the knowledge base; and that domain experts are available to verify the golden evaluation set.</w:t>
      </w:r>
    </w:p>
    <w:p>
      <w:pPr>
        <w:pStyle w:val="Heading3"/>
      </w:pPr>
      <w:r>
        <w:t xml:space="preserve">6.3 Limitations</w:t>
      </w:r>
    </w:p>
    <w:p>
      <w:pPr>
        <w:spacing w:after="140" w:before="0" w:line="360"/>
        <w:jc w:val="both"/>
      </w:pPr>
      <w:r>
        <w:t xml:space="preserve">Several limitations are acknowledged in advance and revisited in Chapter VII. (i) Data: the golden evaluation set will be modest in size and expert-verified rather than crowd-scaled, bounding the statistical power of the results. (ii) Hardware: the deliberate no-training constraint and local-first deployment cap perception accuracy at what open-weight models achieve zero-/few-shot. (iii) Coverage: diagnostic scope is limited to the crops and diseases represented in the knowledge base and image corpus. (iv) Two categories of error persist by construction — source-level errors, where a retrieved source is itself flawed, and system-level errors, such as retrieval failure or residual hallucination; RAG guarantees grounded responses, not absolute correctness. (v) Safety: the system is an advisory aid; final decisions, especially on chemical application, must rest with a qualified human. These limitations frame the results as evidence of a reliable engineering design rather than as a clinical guarantee.</w:t>
      </w:r>
    </w:p>
    <w:p>
      <w:r>
        <w:br w:type="page"/>
      </w:r>
    </w:p>
    <w:p>
      <w:pPr>
        <w:pStyle w:val="Heading1"/>
      </w:pPr>
      <w:r>
        <w:t xml:space="preserve">II. Project Management Plan</w:t>
      </w:r>
    </w:p>
    <w:p>
      <w:pPr>
        <w:spacing w:after="160" w:line="300"/>
      </w:pPr>
      <w:r>
        <w:rPr>
          <w:b/>
          <w:bCs/>
          <w:i/>
          <w:iCs/>
          <w:color w:val="2E4E7E"/>
          <w:sz w:val="22"/>
          <w:szCs w:val="22"/>
        </w:rPr>
        <w:t xml:space="preserve">[To be developed in Report #2 · Jira Epic 1]</w:t>
      </w:r>
    </w:p>
    <w:p>
      <w:pPr>
        <w:spacing w:after="100" w:line="320"/>
        <w:jc w:val="both"/>
      </w:pPr>
      <w:r>
        <w:rPr>
          <w:i/>
          <w:iCs/>
          <w:color w:val="5A6472"/>
          <w:sz w:val="24"/>
          <w:szCs w:val="24"/>
        </w:rPr>
        <w:t xml:space="preserve">Presents how the project is organised, executed, and controlled across the 15-week schedule and 7 Jira epics.</w:t>
      </w:r>
    </w:p>
    <w:p>
      <w:pPr>
        <w:pStyle w:val="Heading2"/>
      </w:pPr>
      <w:r>
        <w:t xml:space="preserve">1. Team Work</w:t>
      </w:r>
    </w:p>
    <w:p>
      <w:pPr>
        <w:pStyle w:val="Heading3"/>
      </w:pPr>
      <w:r>
        <w:t xml:space="preserve">1.1 Team Structure and Roles</w:t>
      </w:r>
    </w:p>
    <w:p>
      <w:pPr>
        <w:spacing w:after="100" w:line="320"/>
        <w:jc w:val="both"/>
      </w:pPr>
      <w:r>
        <w:rPr>
          <w:i/>
          <w:iCs/>
          <w:color w:val="5A6472"/>
          <w:sz w:val="24"/>
          <w:szCs w:val="24"/>
        </w:rPr>
        <w:t xml:space="preserve">Team-leader and member responsibilities mapped to competencies (perception, retrieval/orchestration, evaluation/observability); RACI-style ownership per epic.</w:t>
      </w:r>
    </w:p>
    <w:p>
      <w:pPr>
        <w:pStyle w:val="Heading3"/>
      </w:pPr>
      <w:r>
        <w:t xml:space="preserve">1.2 Communication Plan</w:t>
      </w:r>
    </w:p>
    <w:p>
      <w:pPr>
        <w:spacing w:after="100" w:line="320"/>
        <w:jc w:val="both"/>
      </w:pPr>
      <w:r>
        <w:rPr>
          <w:i/>
          <w:iCs/>
          <w:color w:val="5A6472"/>
          <w:sz w:val="24"/>
          <w:szCs w:val="24"/>
        </w:rPr>
        <w:t xml:space="preserve">Cadence and channels: weekly supervisor meetings with minutes, Jira stand-up rhythm, and the tool-routing discipline (Cursor for code; Google Docs in Suggesting mode for the report; GitHub for source only).</w:t>
      </w:r>
    </w:p>
    <w:p>
      <w:pPr>
        <w:pStyle w:val="Heading2"/>
      </w:pPr>
      <w:r>
        <w:t xml:space="preserve">2. Project Management Approach</w:t>
      </w:r>
    </w:p>
    <w:p>
      <w:pPr>
        <w:pStyle w:val="Heading3"/>
      </w:pPr>
      <w:r>
        <w:t xml:space="preserve">2.1 Work Breakdown Structure (WBS)</w:t>
      </w:r>
    </w:p>
    <w:p>
      <w:pPr>
        <w:spacing w:after="100" w:line="320"/>
        <w:jc w:val="both"/>
      </w:pPr>
      <w:r>
        <w:rPr>
          <w:i/>
          <w:iCs/>
          <w:color w:val="5A6472"/>
          <w:sz w:val="24"/>
          <w:szCs w:val="24"/>
        </w:rPr>
        <w:t xml:space="preserve">Decomposition of the 7 epics into stories and tasks with acceptance criteria; each periodic report delivered as a two-part snapshot (Part I: sprint progress + minutes + Jira tracking; Part II: the academic chapter draft).</w:t>
      </w:r>
    </w:p>
    <w:p>
      <w:pPr>
        <w:pStyle w:val="Heading3"/>
      </w:pPr>
      <w:r>
        <w:t xml:space="preserve">2.2 Risk Management</w:t>
      </w:r>
    </w:p>
    <w:p>
      <w:pPr>
        <w:spacing w:after="100" w:line="320"/>
        <w:jc w:val="both"/>
      </w:pPr>
      <w:r>
        <w:rPr>
          <w:i/>
          <w:iCs/>
          <w:color w:val="5A6472"/>
          <w:sz w:val="24"/>
          <w:szCs w:val="24"/>
        </w:rPr>
        <w:t xml:space="preserve">Risk register with likelihood/impact and mitigation, e.g., VLM latency on local hardware, insufficient Vietnamese knowledge sources, golden-set verification bottleneck, and vector-store architecture choice (OpenSearch-native vectors vs. a separate Qdrant instance).</w:t>
      </w:r>
    </w:p>
    <w:p>
      <w:pPr>
        <w:pStyle w:val="Heading3"/>
      </w:pPr>
      <w:r>
        <w:t xml:space="preserve">2.3 Quality Management</w:t>
      </w:r>
    </w:p>
    <w:p>
      <w:pPr>
        <w:spacing w:after="100" w:line="320"/>
        <w:jc w:val="both"/>
      </w:pPr>
      <w:r>
        <w:rPr>
          <w:i/>
          <w:iCs/>
          <w:color w:val="5A6472"/>
          <w:sz w:val="24"/>
          <w:szCs w:val="24"/>
        </w:rPr>
        <w:t xml:space="preserve">Definition of Done, code standards (type hints, docstrings, modular design), and the evaluation-gate criteria a build must pass before a milestone is accepted.</w:t>
      </w:r>
    </w:p>
    <w:p>
      <w:pPr>
        <w:pStyle w:val="Heading3"/>
      </w:pPr>
      <w:r>
        <w:t xml:space="preserve">2.4 Budget and Funding (Optional)</w:t>
      </w:r>
    </w:p>
    <w:p>
      <w:pPr>
        <w:spacing w:after="100" w:line="320"/>
        <w:jc w:val="both"/>
      </w:pPr>
      <w:r>
        <w:rPr>
          <w:i/>
          <w:iCs/>
          <w:color w:val="5A6472"/>
          <w:sz w:val="24"/>
          <w:szCs w:val="24"/>
        </w:rPr>
        <w:t xml:space="preserve">Compute-cost estimate; local Docker-Compose development throughout with AWS EC2 reserved for the final demo to contain cost.</w:t>
      </w:r>
    </w:p>
    <w:p>
      <w:pPr>
        <w:pStyle w:val="Heading3"/>
      </w:pPr>
      <w:r>
        <w:t xml:space="preserve">2.5 Change Management Process</w:t>
      </w:r>
    </w:p>
    <w:p>
      <w:pPr>
        <w:spacing w:after="100" w:line="320"/>
        <w:jc w:val="both"/>
      </w:pPr>
      <w:r>
        <w:rPr>
          <w:i/>
          <w:iCs/>
          <w:color w:val="5A6472"/>
          <w:sz w:val="24"/>
          <w:szCs w:val="24"/>
        </w:rPr>
        <w:t xml:space="preserve">Documented process for scope/schedule changes, evaluated against the tiered scope framework (Tier 0–3: must-implement, low-cost addition, future work); versioned document snapshots (v0.x → v1.0 mentor → v1.x → vFinal).</w:t>
      </w:r>
    </w:p>
    <w:p>
      <w:pPr>
        <w:pStyle w:val="Heading3"/>
      </w:pPr>
      <w:r>
        <w:t xml:space="preserve">2.6 Closure and Evaluation</w:t>
      </w:r>
    </w:p>
    <w:p>
      <w:pPr>
        <w:spacing w:after="100" w:line="320"/>
        <w:jc w:val="both"/>
      </w:pPr>
      <w:r>
        <w:rPr>
          <w:i/>
          <w:iCs/>
          <w:color w:val="5A6472"/>
          <w:sz w:val="24"/>
          <w:szCs w:val="24"/>
        </w:rPr>
        <w:t xml:space="preserve">Project close-out, retrospective, and lessons-learned capture ahead of the defence.</w:t>
      </w:r>
    </w:p>
    <w:p>
      <w:r>
        <w:br w:type="page"/>
      </w:r>
    </w:p>
    <w:p>
      <w:pPr>
        <w:pStyle w:val="Heading1"/>
      </w:pPr>
      <w:r>
        <w:t xml:space="preserve">III. Existing Systems / State of the Art</w:t>
      </w:r>
    </w:p>
    <w:p>
      <w:pPr>
        <w:spacing w:after="160" w:line="300"/>
      </w:pPr>
      <w:r>
        <w:rPr>
          <w:b/>
          <w:bCs/>
          <w:i/>
          <w:iCs/>
          <w:color w:val="2E4E7E"/>
          <w:sz w:val="22"/>
          <w:szCs w:val="22"/>
        </w:rPr>
        <w:t xml:space="preserve">[To be developed in Report #3 · Jira Epic 2]</w:t>
      </w:r>
    </w:p>
    <w:p>
      <w:pPr>
        <w:spacing w:after="100" w:line="320"/>
        <w:jc w:val="both"/>
      </w:pPr>
      <w:r>
        <w:rPr>
          <w:i/>
          <w:iCs/>
          <w:color w:val="5A6472"/>
          <w:sz w:val="24"/>
          <w:szCs w:val="24"/>
        </w:rPr>
        <w:t xml:space="preserve">An analytical literature and systems review — not a mere list — connecting prior work to the project's design and identifying the gap it fills.</w:t>
      </w:r>
    </w:p>
    <w:p>
      <w:pPr>
        <w:pStyle w:val="Heading2"/>
      </w:pPr>
      <w:r>
        <w:t xml:space="preserve">1. Overview of the Field</w:t>
      </w:r>
    </w:p>
    <w:p>
      <w:pPr>
        <w:spacing w:after="100" w:line="320"/>
        <w:jc w:val="both"/>
      </w:pPr>
      <w:r>
        <w:rPr>
          <w:i/>
          <w:iCs/>
          <w:color w:val="5A6472"/>
          <w:sz w:val="24"/>
          <w:szCs w:val="24"/>
        </w:rPr>
        <w:t xml:space="preserve">Situating the project at the intersection of Visual Question Answering, (multimodal) Retrieval-Augmented Generation, and agricultural AI.</w:t>
      </w:r>
    </w:p>
    <w:p>
      <w:pPr>
        <w:pStyle w:val="Heading2"/>
      </w:pPr>
      <w:r>
        <w:t xml:space="preserve">2. Historical Context</w:t>
      </w:r>
    </w:p>
    <w:p>
      <w:pPr>
        <w:spacing w:after="100" w:line="320"/>
        <w:jc w:val="both"/>
      </w:pPr>
      <w:r>
        <w:rPr>
          <w:i/>
          <w:iCs/>
          <w:color w:val="5A6472"/>
          <w:sz w:val="24"/>
          <w:szCs w:val="24"/>
        </w:rPr>
        <w:t xml:space="preserve">Trajectory of VQA from CNN+LSTM and ViT+BERT fusion classifiers to generative Vision–Language Models; and of RAG from naive retrieve-then-generate to self-reflective/corrective and agentic variants.</w:t>
      </w:r>
    </w:p>
    <w:p>
      <w:pPr>
        <w:pStyle w:val="Heading2"/>
      </w:pPr>
      <w:r>
        <w:t xml:space="preserve">3. Key Studies and Theories</w:t>
      </w:r>
    </w:p>
    <w:p>
      <w:pPr>
        <w:spacing w:after="100" w:line="320"/>
        <w:jc w:val="both"/>
      </w:pPr>
      <w:r>
        <w:rPr>
          <w:i/>
          <w:iCs/>
          <w:color w:val="5A6472"/>
          <w:sz w:val="24"/>
          <w:szCs w:val="24"/>
        </w:rPr>
        <w:t xml:space="preserve">Foundational works: VLMs (e.g., LLaVA, Qwen2-VL), CLIP; RAG, Self-RAG, CRAG; BM25 and dense retrieval; RRF; selective prediction / abstention; and agricultural image datasets (PlantVillage, PlantDoc).</w:t>
      </w:r>
    </w:p>
    <w:p>
      <w:pPr>
        <w:pStyle w:val="Heading2"/>
      </w:pPr>
      <w:r>
        <w:t xml:space="preserve">4. Technological Advancements</w:t>
      </w:r>
    </w:p>
    <w:p>
      <w:pPr>
        <w:spacing w:after="100" w:line="320"/>
        <w:jc w:val="both"/>
      </w:pPr>
      <w:r>
        <w:rPr>
          <w:i/>
          <w:iCs/>
          <w:color w:val="5A6472"/>
          <w:sz w:val="24"/>
          <w:szCs w:val="24"/>
        </w:rPr>
        <w:t xml:space="preserve">Agent frameworks (LangGraph), hybrid search engines (OpenSearch), RAG evaluation (RAGAs), and LLM observability (Langfuse), and their bearing on the design.</w:t>
      </w:r>
    </w:p>
    <w:p>
      <w:pPr>
        <w:pStyle w:val="Heading2"/>
      </w:pPr>
      <w:r>
        <w:t xml:space="preserve">5. Comparison of Existing Systems</w:t>
      </w:r>
    </w:p>
    <w:p>
      <w:pPr>
        <w:spacing w:after="100" w:line="320"/>
        <w:jc w:val="both"/>
      </w:pPr>
      <w:r>
        <w:rPr>
          <w:i/>
          <w:iCs/>
          <w:color w:val="5A6472"/>
          <w:sz w:val="24"/>
          <w:szCs w:val="24"/>
        </w:rPr>
        <w:t xml:space="preserve">Structured comparison of existing plant-disease apps and general multimodal RAG assistants against the proposed system on grounding, citation, abstention, language coverage, and production readiness.</w:t>
      </w:r>
    </w:p>
    <w:p>
      <w:pPr>
        <w:pStyle w:val="Heading2"/>
      </w:pPr>
      <w:r>
        <w:t xml:space="preserve">6. Gaps in the Literature / Technology</w:t>
      </w:r>
    </w:p>
    <w:p>
      <w:pPr>
        <w:spacing w:after="100" w:line="320"/>
        <w:jc w:val="both"/>
      </w:pPr>
      <w:r>
        <w:rPr>
          <w:i/>
          <w:iCs/>
          <w:color w:val="5A6472"/>
          <w:sz w:val="24"/>
          <w:szCs w:val="24"/>
        </w:rPr>
        <w:t xml:space="preserve">The absence of a Vietnamese, multimodal, citation-grounded, abstention-aware agricultural VQA system with a quantified safety evaluation.</w:t>
      </w:r>
    </w:p>
    <w:p>
      <w:pPr>
        <w:pStyle w:val="Heading2"/>
      </w:pPr>
      <w:r>
        <w:t xml:space="preserve">7. Justification for the Project</w:t>
      </w:r>
    </w:p>
    <w:p>
      <w:pPr>
        <w:spacing w:after="100" w:line="320"/>
        <w:jc w:val="both"/>
      </w:pPr>
      <w:r>
        <w:rPr>
          <w:i/>
          <w:iCs/>
          <w:color w:val="5A6472"/>
          <w:sz w:val="24"/>
          <w:szCs w:val="24"/>
        </w:rPr>
        <w:t xml:space="preserve">Argument for the necessity and distinctiveness of the approach, linking each identified gap to a specific design decision.</w:t>
      </w:r>
    </w:p>
    <w:p>
      <w:r>
        <w:br w:type="page"/>
      </w:r>
    </w:p>
    <w:p>
      <w:pPr>
        <w:pStyle w:val="Heading1"/>
      </w:pPr>
      <w:r>
        <w:t xml:space="preserve">IV. Methodology</w:t>
      </w:r>
    </w:p>
    <w:p>
      <w:pPr>
        <w:spacing w:after="160" w:line="300"/>
      </w:pPr>
      <w:r>
        <w:rPr>
          <w:b/>
          <w:bCs/>
          <w:i/>
          <w:iCs/>
          <w:color w:val="2E4E7E"/>
          <w:sz w:val="22"/>
          <w:szCs w:val="22"/>
        </w:rPr>
        <w:t xml:space="preserve">[To be developed in Report #4 · Jira Epics 2–4]</w:t>
      </w:r>
    </w:p>
    <w:p>
      <w:pPr>
        <w:spacing w:after="100" w:line="320"/>
        <w:jc w:val="both"/>
      </w:pPr>
      <w:r>
        <w:rPr>
          <w:i/>
          <w:iCs/>
          <w:color w:val="5A6472"/>
          <w:sz w:val="24"/>
          <w:szCs w:val="24"/>
        </w:rPr>
        <w:t xml:space="preserve">The FPT template permits customisation of this chapter. Because the project is systems engineering (no model training), the standard ML-training / RL templates are replaced by a methodology tailored to a Multimodal Agentic RAG pipeline, while preserving the expected scientific rigour.</w:t>
      </w:r>
    </w:p>
    <w:p>
      <w:pPr>
        <w:pStyle w:val="Heading2"/>
      </w:pPr>
      <w:r>
        <w:t xml:space="preserve">1. Research Questions and Objectives</w:t>
      </w:r>
    </w:p>
    <w:p>
      <w:pPr>
        <w:spacing w:after="100" w:line="320"/>
        <w:jc w:val="both"/>
      </w:pPr>
      <w:r>
        <w:rPr>
          <w:i/>
          <w:iCs/>
          <w:color w:val="5A6472"/>
          <w:sz w:val="24"/>
          <w:szCs w:val="24"/>
        </w:rPr>
        <w:t xml:space="preserve">Formal research questions (e.g., does agentic orchestration improve Faithfulness over a naive baseline? what selective-accuracy/coverage trade-off does the abstention policy achieve?) mapped to objectives O1–O7.</w:t>
      </w:r>
    </w:p>
    <w:p>
      <w:pPr>
        <w:pStyle w:val="Heading2"/>
      </w:pPr>
      <w:r>
        <w:t xml:space="preserve">2. System Design Philosophy and Trade-off Analysis</w:t>
      </w:r>
    </w:p>
    <w:p>
      <w:pPr>
        <w:spacing w:after="100" w:line="320"/>
        <w:jc w:val="both"/>
      </w:pPr>
      <w:r>
        <w:rPr>
          <w:i/>
          <w:iCs/>
          <w:color w:val="5A6472"/>
          <w:sz w:val="24"/>
          <w:szCs w:val="24"/>
        </w:rPr>
        <w:t xml:space="preserve">Explicit analysis of the governing trade-offs: RAG vs. fine-tuning under resource constraints; naive vs. agentic RAG; and latency/cost vs. reliability when adding agentic loops. Introduces the tiered scope framework.</w:t>
      </w:r>
    </w:p>
    <w:p>
      <w:pPr>
        <w:pStyle w:val="Heading2"/>
      </w:pPr>
      <w:r>
        <w:t xml:space="preserve">3. Data Curation and Knowledge-Base Construction</w:t>
      </w:r>
    </w:p>
    <w:p>
      <w:pPr>
        <w:spacing w:after="100" w:line="320"/>
        <w:jc w:val="both"/>
      </w:pPr>
      <w:r>
        <w:rPr>
          <w:i/>
          <w:iCs/>
          <w:color w:val="5A6472"/>
          <w:sz w:val="24"/>
          <w:szCs w:val="24"/>
        </w:rPr>
        <w:t xml:space="preserve">The Vi-AgriVQA data strategy as three separable layers — public image sources (PlantVillage, PlantDoc, Vietnamese crop imagery); a Vietnamese agronomy knowledge base; and an expert-verified golden evaluation set — with collection, normalisation, and Airflow-orchestrated ingestion into PostgreSQL.</w:t>
      </w:r>
    </w:p>
    <w:p>
      <w:pPr>
        <w:pStyle w:val="Heading2"/>
      </w:pPr>
      <w:r>
        <w:t xml:space="preserve">4. Vision–Language Perception Design</w:t>
      </w:r>
    </w:p>
    <w:p>
      <w:pPr>
        <w:spacing w:after="100" w:line="320"/>
        <w:jc w:val="both"/>
      </w:pPr>
      <w:r>
        <w:rPr>
          <w:i/>
          <w:iCs/>
          <w:color w:val="5A6472"/>
          <w:sz w:val="24"/>
          <w:szCs w:val="24"/>
        </w:rPr>
        <w:t xml:space="preserve">Prompting strategy for extracting structured visual evidence and an initial hypothesis from open-weight VLMs (zero-/few-shot); output schema and its role as a conditioning signal for retrieval.</w:t>
      </w:r>
    </w:p>
    <w:p>
      <w:pPr>
        <w:pStyle w:val="Heading2"/>
      </w:pPr>
      <w:r>
        <w:t xml:space="preserve">5. Hybrid Retrieval Methodology</w:t>
      </w:r>
    </w:p>
    <w:p>
      <w:pPr>
        <w:spacing w:after="100" w:line="320"/>
        <w:jc w:val="both"/>
      </w:pPr>
      <w:r>
        <w:rPr>
          <w:i/>
          <w:iCs/>
          <w:color w:val="5A6472"/>
          <w:sz w:val="24"/>
          <w:szCs w:val="24"/>
        </w:rPr>
        <w:t xml:space="preserve">BM25 tuned for Vietnamese disease/active-ingredient terms + dense-vector search + CLIP visual similarity, fused by Reciprocal Rank Fusion; section-aware chunking; and the open vector-store decision (OpenSearch-native vs. Qdrant).</w:t>
      </w:r>
    </w:p>
    <w:p>
      <w:pPr>
        <w:pStyle w:val="Heading2"/>
      </w:pPr>
      <w:r>
        <w:t xml:space="preserve">6. Agentic Orchestration Design</w:t>
      </w:r>
    </w:p>
    <w:p>
      <w:pPr>
        <w:spacing w:after="100" w:line="320"/>
        <w:jc w:val="both"/>
      </w:pPr>
      <w:r>
        <w:rPr>
          <w:i/>
          <w:iCs/>
          <w:color w:val="5A6472"/>
          <w:sz w:val="24"/>
          <w:szCs w:val="24"/>
        </w:rPr>
        <w:t xml:space="preserve">The LangGraph state machine and its typed state schema; specifications for the guardrail, visual-analysis, retrieve, grade (Self-RAG/CRAG), rewrite (bounded adaptive loop), generate (grounded citation), and abstention (Confidence-and-Sufficiency Policy) nodes. State-machine diagrams maintained as Mermaid-as-code, version-controlled with the implementation.</w:t>
      </w:r>
    </w:p>
    <w:p>
      <w:pPr>
        <w:pStyle w:val="Heading2"/>
      </w:pPr>
      <w:r>
        <w:t xml:space="preserve">7. Evaluation Methodology</w:t>
      </w:r>
    </w:p>
    <w:p>
      <w:pPr>
        <w:spacing w:after="100" w:line="320"/>
        <w:jc w:val="both"/>
      </w:pPr>
      <w:r>
        <w:rPr>
          <w:i/>
          <w:iCs/>
          <w:color w:val="5A6472"/>
          <w:sz w:val="24"/>
          <w:szCs w:val="24"/>
        </w:rPr>
        <w:t xml:space="preserve">The full evaluation framework: RAGAs (Faithfulness as the primary metric, Answer Relevancy, Context Precision/Recall); Visual-Diagnostic Top-1 accuracy; abstention quality (Selective Accuracy vs. Coverage); production metrics (p50/p95 latency, cache hit rate, cost/query via Langfuse); and the baseline-vs-agentic and cache/abstention ablation protocol.</w:t>
      </w:r>
    </w:p>
    <w:p>
      <w:pPr>
        <w:pStyle w:val="Heading2"/>
      </w:pPr>
      <w:r>
        <w:t xml:space="preserve">8. Reproducibility, Ethics, and Safety Considerations</w:t>
      </w:r>
    </w:p>
    <w:p>
      <w:pPr>
        <w:spacing w:after="100" w:line="320"/>
        <w:jc w:val="both"/>
      </w:pPr>
      <w:r>
        <w:rPr>
          <w:i/>
          <w:iCs/>
          <w:color w:val="5A6472"/>
          <w:sz w:val="24"/>
          <w:szCs w:val="24"/>
        </w:rPr>
        <w:t xml:space="preserve">Reproducibility (pinned environments, seeds, released harness); data ethics and licensing; and the safety framing — advisory scope, human-in-command for chemical decisions, and the two categories of RAG error.</w:t>
      </w:r>
    </w:p>
    <w:p>
      <w:r>
        <w:br w:type="page"/>
      </w:r>
    </w:p>
    <w:p>
      <w:pPr>
        <w:pStyle w:val="Heading1"/>
      </w:pPr>
      <w:r>
        <w:t xml:space="preserve">V. System Design and Implementation</w:t>
      </w:r>
    </w:p>
    <w:p>
      <w:pPr>
        <w:spacing w:after="160" w:line="300"/>
      </w:pPr>
      <w:r>
        <w:rPr>
          <w:b/>
          <w:bCs/>
          <w:i/>
          <w:iCs/>
          <w:color w:val="2E4E7E"/>
          <w:sz w:val="22"/>
          <w:szCs w:val="22"/>
        </w:rPr>
        <w:t xml:space="preserve">[To be developed in Report #5 · Jira Epics 3–6]</w:t>
      </w:r>
    </w:p>
    <w:p>
      <w:pPr>
        <w:spacing w:after="100" w:line="320"/>
        <w:jc w:val="both"/>
      </w:pPr>
      <w:r>
        <w:rPr>
          <w:i/>
          <w:iCs/>
          <w:color w:val="5A6472"/>
          <w:sz w:val="24"/>
          <w:szCs w:val="24"/>
        </w:rPr>
        <w:t xml:space="preserve">Translates the methodology into a concrete, production-grade implementation; reuses and adapts the 13-container reference Docker-Compose stack rather than rebuilding from scratch.</w:t>
      </w:r>
    </w:p>
    <w:p>
      <w:pPr>
        <w:pStyle w:val="Heading2"/>
      </w:pPr>
      <w:r>
        <w:t xml:space="preserve">1. System Architecture Overview</w:t>
      </w:r>
    </w:p>
    <w:p>
      <w:pPr>
        <w:spacing w:after="100" w:line="320"/>
        <w:jc w:val="both"/>
      </w:pPr>
      <w:r>
        <w:rPr>
          <w:i/>
          <w:iCs/>
          <w:color w:val="5A6472"/>
          <w:sz w:val="24"/>
          <w:szCs w:val="24"/>
        </w:rPr>
        <w:t xml:space="preserve">The end-to-end architecture and container topology; control flow through the agentic layer and data flow through the retrieval and persistence layers (a high-level architecture figure).</w:t>
      </w:r>
    </w:p>
    <w:p>
      <w:pPr>
        <w:pStyle w:val="Heading2"/>
      </w:pPr>
      <w:r>
        <w:t xml:space="preserve">2. AI Model Integration</w:t>
      </w:r>
    </w:p>
    <w:p>
      <w:pPr>
        <w:spacing w:after="100" w:line="320"/>
        <w:jc w:val="both"/>
      </w:pPr>
      <w:r>
        <w:rPr>
          <w:i/>
          <w:iCs/>
          <w:color w:val="5A6472"/>
          <w:sz w:val="24"/>
          <w:szCs w:val="24"/>
        </w:rPr>
        <w:t xml:space="preserve">Serving open-weight VLMs and LLMs locally via Ollama; CLIP for visual retrieval; and their integration behind a FastAPI orchestration boundary.</w:t>
      </w:r>
    </w:p>
    <w:p>
      <w:pPr>
        <w:pStyle w:val="Heading2"/>
      </w:pPr>
      <w:r>
        <w:t xml:space="preserve">3. Data Pipeline and Storage</w:t>
      </w:r>
    </w:p>
    <w:p>
      <w:pPr>
        <w:spacing w:after="100" w:line="320"/>
        <w:jc w:val="both"/>
      </w:pPr>
      <w:r>
        <w:rPr>
          <w:i/>
          <w:iCs/>
          <w:color w:val="5A6472"/>
          <w:sz w:val="24"/>
          <w:szCs w:val="24"/>
        </w:rPr>
        <w:t xml:space="preserve">Apache Airflow ingestion DAGs; PostgreSQL for durable storage; OpenSearch indexing for hybrid (BM25 + dense) retrieval; Redis for caching.</w:t>
      </w:r>
    </w:p>
    <w:p>
      <w:pPr>
        <w:pStyle w:val="Heading2"/>
      </w:pPr>
      <w:r>
        <w:t xml:space="preserve">4. Agentic Workflow Implementation</w:t>
      </w:r>
    </w:p>
    <w:p>
      <w:pPr>
        <w:spacing w:after="100" w:line="320"/>
        <w:jc w:val="both"/>
      </w:pPr>
      <w:r>
        <w:rPr>
          <w:i/>
          <w:iCs/>
          <w:color w:val="5A6472"/>
          <w:sz w:val="24"/>
          <w:szCs w:val="24"/>
        </w:rPr>
        <w:t xml:space="preserve">The LangGraph nodes and state transitions in code; the streaming FastAPI/SSE endpoint; and the bounded self-correction loop with its abstention exit.</w:t>
      </w:r>
    </w:p>
    <w:p>
      <w:pPr>
        <w:pStyle w:val="Heading2"/>
      </w:pPr>
      <w:r>
        <w:t xml:space="preserve">5. Caching and Observability</w:t>
      </w:r>
    </w:p>
    <w:p>
      <w:pPr>
        <w:spacing w:after="100" w:line="320"/>
        <w:jc w:val="both"/>
      </w:pPr>
      <w:r>
        <w:rPr>
          <w:i/>
          <w:iCs/>
          <w:color w:val="5A6472"/>
          <w:sz w:val="24"/>
          <w:szCs w:val="24"/>
        </w:rPr>
        <w:t xml:space="preserve">Content-addressed Redis cache keyed on the hash of image content plus normalised question; end-to-end Langfuse tracing of latency, tokens, and cost.</w:t>
      </w:r>
    </w:p>
    <w:p>
      <w:pPr>
        <w:pStyle w:val="Heading2"/>
      </w:pPr>
      <w:r>
        <w:t xml:space="preserve">6. Deployment Strategy</w:t>
      </w:r>
    </w:p>
    <w:p>
      <w:pPr>
        <w:spacing w:after="100" w:line="320"/>
        <w:jc w:val="both"/>
      </w:pPr>
      <w:r>
        <w:rPr>
          <w:i/>
          <w:iCs/>
          <w:color w:val="5A6472"/>
          <w:sz w:val="24"/>
          <w:szCs w:val="24"/>
        </w:rPr>
        <w:t xml:space="preserve">Docker-Compose packaging for local development throughout, with AWS EC2 deployment provisioned for the final demonstration.</w:t>
      </w:r>
    </w:p>
    <w:p>
      <w:pPr>
        <w:pStyle w:val="Heading2"/>
      </w:pPr>
      <w:r>
        <w:t xml:space="preserve">7. Scalability and Maintenance</w:t>
      </w:r>
    </w:p>
    <w:p>
      <w:pPr>
        <w:spacing w:after="100" w:line="320"/>
        <w:jc w:val="both"/>
      </w:pPr>
      <w:r>
        <w:rPr>
          <w:i/>
          <w:iCs/>
          <w:color w:val="5A6472"/>
          <w:sz w:val="24"/>
          <w:szCs w:val="24"/>
        </w:rPr>
        <w:t xml:space="preserve">How the design accommodates knowledge-base updates, model swaps, and growth, and how versioning and maintenance are handled.</w:t>
      </w:r>
    </w:p>
    <w:p>
      <w:r>
        <w:br w:type="page"/>
      </w:r>
    </w:p>
    <w:p>
      <w:pPr>
        <w:pStyle w:val="Heading1"/>
      </w:pPr>
      <w:r>
        <w:t xml:space="preserve">VI. Results and Discussion</w:t>
      </w:r>
    </w:p>
    <w:p>
      <w:pPr>
        <w:spacing w:after="160" w:line="300"/>
      </w:pPr>
      <w:r>
        <w:rPr>
          <w:b/>
          <w:bCs/>
          <w:i/>
          <w:iCs/>
          <w:color w:val="2E4E7E"/>
          <w:sz w:val="22"/>
          <w:szCs w:val="22"/>
        </w:rPr>
        <w:t xml:space="preserve">[To be developed in Report #6 · Jira Epic 5]</w:t>
      </w:r>
    </w:p>
    <w:p>
      <w:pPr>
        <w:spacing w:after="100" w:line="320"/>
        <w:jc w:val="both"/>
      </w:pPr>
      <w:r>
        <w:rPr>
          <w:i/>
          <w:iCs/>
          <w:color w:val="5A6472"/>
          <w:sz w:val="24"/>
          <w:szCs w:val="24"/>
        </w:rPr>
        <w:t xml:space="preserve">Reports and interprets the experimental results strictly against the evaluation framework of Chapter IV.</w:t>
      </w:r>
    </w:p>
    <w:p>
      <w:pPr>
        <w:pStyle w:val="Heading2"/>
      </w:pPr>
      <w:r>
        <w:t xml:space="preserve">1. Results and Analysis</w:t>
      </w:r>
    </w:p>
    <w:p>
      <w:pPr>
        <w:pStyle w:val="Heading3"/>
      </w:pPr>
      <w:r>
        <w:t xml:space="preserve">1.1 Retrieval and Generation Quality (RAGAs)</w:t>
      </w:r>
    </w:p>
    <w:p>
      <w:pPr>
        <w:spacing w:after="100" w:line="320"/>
        <w:jc w:val="both"/>
      </w:pPr>
      <w:r>
        <w:rPr>
          <w:i/>
          <w:iCs/>
          <w:color w:val="5A6472"/>
          <w:sz w:val="24"/>
          <w:szCs w:val="24"/>
        </w:rPr>
        <w:t xml:space="preserve">Faithfulness, Answer Relevancy, Context Precision, and Context Recall on the golden set.</w:t>
      </w:r>
    </w:p>
    <w:p>
      <w:pPr>
        <w:pStyle w:val="Heading3"/>
      </w:pPr>
      <w:r>
        <w:t xml:space="preserve">1.2 Visual-Diagnostic Accuracy</w:t>
      </w:r>
    </w:p>
    <w:p>
      <w:pPr>
        <w:spacing w:after="100" w:line="320"/>
        <w:jc w:val="both"/>
      </w:pPr>
      <w:r>
        <w:rPr>
          <w:i/>
          <w:iCs/>
          <w:color w:val="5A6472"/>
          <w:sz w:val="24"/>
          <w:szCs w:val="24"/>
        </w:rPr>
        <w:t xml:space="preserve">VLM Top-1 disease-identification accuracy and error breakdown.</w:t>
      </w:r>
    </w:p>
    <w:p>
      <w:pPr>
        <w:pStyle w:val="Heading3"/>
      </w:pPr>
      <w:r>
        <w:t xml:space="preserve">1.3 Abstention Quality</w:t>
      </w:r>
    </w:p>
    <w:p>
      <w:pPr>
        <w:spacing w:after="100" w:line="320"/>
        <w:jc w:val="both"/>
      </w:pPr>
      <w:r>
        <w:rPr>
          <w:i/>
          <w:iCs/>
          <w:color w:val="5A6472"/>
          <w:sz w:val="24"/>
          <w:szCs w:val="24"/>
        </w:rPr>
        <w:t xml:space="preserve">The Selective Accuracy vs. Coverage curve — the project's headline safety result.</w:t>
      </w:r>
    </w:p>
    <w:p>
      <w:pPr>
        <w:pStyle w:val="Heading3"/>
      </w:pPr>
      <w:r>
        <w:t xml:space="preserve">1.4 Production Metrics</w:t>
      </w:r>
    </w:p>
    <w:p>
      <w:pPr>
        <w:spacing w:after="100" w:line="320"/>
        <w:jc w:val="both"/>
      </w:pPr>
      <w:r>
        <w:rPr>
          <w:i/>
          <w:iCs/>
          <w:color w:val="5A6472"/>
          <w:sz w:val="24"/>
          <w:szCs w:val="24"/>
        </w:rPr>
        <w:t xml:space="preserve">End-to-end p50/p95 latency, TTFT, cache hit rate, and cost per query from Langfuse.</w:t>
      </w:r>
    </w:p>
    <w:p>
      <w:pPr>
        <w:pStyle w:val="Heading3"/>
      </w:pPr>
      <w:r>
        <w:t xml:space="preserve">1.5 Baseline Comparison and Ablation</w:t>
      </w:r>
    </w:p>
    <w:p>
      <w:pPr>
        <w:spacing w:after="100" w:line="320"/>
        <w:jc w:val="both"/>
      </w:pPr>
      <w:r>
        <w:rPr>
          <w:i/>
          <w:iCs/>
          <w:color w:val="5A6472"/>
          <w:sz w:val="24"/>
          <w:szCs w:val="24"/>
        </w:rPr>
        <w:t xml:space="preserve">Naive Multimodal RAG vs. proposed Agentic RAG; ablation of the Redis cache and the Abstention Node to isolate each component's contribution.</w:t>
      </w:r>
    </w:p>
    <w:p>
      <w:pPr>
        <w:pStyle w:val="Heading2"/>
      </w:pPr>
      <w:r>
        <w:t xml:space="preserve">2. Discussion</w:t>
      </w:r>
    </w:p>
    <w:p>
      <w:pPr>
        <w:spacing w:after="100" w:line="320"/>
        <w:jc w:val="both"/>
      </w:pPr>
      <w:r>
        <w:rPr>
          <w:i/>
          <w:iCs/>
          <w:color w:val="5A6472"/>
          <w:sz w:val="24"/>
          <w:szCs w:val="24"/>
        </w:rPr>
        <w:t xml:space="preserve">Interpretation against the research questions and related work; error analysis distinguishing source-level from system-level errors; and the observed reliability/latency/cost trade-offs.</w:t>
      </w:r>
    </w:p>
    <w:p>
      <w:pPr>
        <w:pStyle w:val="Heading2"/>
      </w:pPr>
      <w:r>
        <w:t xml:space="preserve">3. Recommendations</w:t>
      </w:r>
    </w:p>
    <w:p>
      <w:pPr>
        <w:spacing w:after="100" w:line="320"/>
        <w:jc w:val="both"/>
      </w:pPr>
      <w:r>
        <w:rPr>
          <w:i/>
          <w:iCs/>
          <w:color w:val="5A6472"/>
          <w:sz w:val="24"/>
          <w:szCs w:val="24"/>
        </w:rPr>
        <w:t xml:space="preserve">Practical recommendations for deployment and for further engineering of the system.</w:t>
      </w:r>
    </w:p>
    <w:p>
      <w:pPr>
        <w:pStyle w:val="Heading2"/>
      </w:pPr>
      <w:r>
        <w:t xml:space="preserve">4. Personal Reflection (Optional)</w:t>
      </w:r>
    </w:p>
    <w:p>
      <w:pPr>
        <w:spacing w:after="100" w:line="320"/>
        <w:jc w:val="both"/>
      </w:pPr>
      <w:r>
        <w:rPr>
          <w:i/>
          <w:iCs/>
          <w:color w:val="5A6472"/>
          <w:sz w:val="24"/>
          <w:szCs w:val="24"/>
        </w:rPr>
        <w:t xml:space="preserve">Reflection on the engineering process and lessons learned.</w:t>
      </w:r>
    </w:p>
    <w:p>
      <w:r>
        <w:br w:type="page"/>
      </w:r>
    </w:p>
    <w:p>
      <w:pPr>
        <w:pStyle w:val="Heading1"/>
      </w:pPr>
      <w:r>
        <w:t xml:space="preserve">VII. Conclusion</w:t>
      </w:r>
    </w:p>
    <w:p>
      <w:pPr>
        <w:spacing w:after="160" w:line="300"/>
      </w:pPr>
      <w:r>
        <w:rPr>
          <w:b/>
          <w:bCs/>
          <w:i/>
          <w:iCs/>
          <w:color w:val="2E4E7E"/>
          <w:sz w:val="22"/>
          <w:szCs w:val="22"/>
        </w:rPr>
        <w:t xml:space="preserve">[To be developed in Report #7 · Jira Epic 7]</w:t>
      </w:r>
    </w:p>
    <w:p>
      <w:pPr>
        <w:pStyle w:val="Heading2"/>
      </w:pPr>
      <w:r>
        <w:t xml:space="preserve">1. Summary of Findings</w:t>
      </w:r>
    </w:p>
    <w:p>
      <w:pPr>
        <w:spacing w:after="100" w:line="320"/>
        <w:jc w:val="both"/>
      </w:pPr>
      <w:r>
        <w:rPr>
          <w:i/>
          <w:iCs/>
          <w:color w:val="5A6472"/>
          <w:sz w:val="24"/>
          <w:szCs w:val="24"/>
        </w:rPr>
        <w:t xml:space="preserve">How the objectives were met and the research questions answered.</w:t>
      </w:r>
    </w:p>
    <w:p>
      <w:pPr>
        <w:pStyle w:val="Heading2"/>
      </w:pPr>
      <w:r>
        <w:t xml:space="preserve">2. Contributions and Reflections on the Project</w:t>
      </w:r>
    </w:p>
    <w:p>
      <w:pPr>
        <w:spacing w:after="100" w:line="320"/>
        <w:jc w:val="both"/>
      </w:pPr>
      <w:r>
        <w:rPr>
          <w:i/>
          <w:iCs/>
          <w:color w:val="5A6472"/>
          <w:sz w:val="24"/>
          <w:szCs w:val="24"/>
        </w:rPr>
        <w:t xml:space="preserve">The quantified abstention contribution, the low-resource multimodal agentic RAG system, and the reproducible evaluation harness; reflection on what worked and what was challenging.</w:t>
      </w:r>
    </w:p>
    <w:p>
      <w:pPr>
        <w:pStyle w:val="Heading2"/>
      </w:pPr>
      <w:r>
        <w:t xml:space="preserve">3. Limitations and Future Work</w:t>
      </w:r>
    </w:p>
    <w:p>
      <w:pPr>
        <w:spacing w:after="100" w:line="320"/>
        <w:jc w:val="both"/>
      </w:pPr>
      <w:r>
        <w:rPr>
          <w:i/>
          <w:iCs/>
          <w:color w:val="5A6472"/>
          <w:sz w:val="24"/>
          <w:szCs w:val="24"/>
        </w:rPr>
        <w:t xml:space="preserve">Honest statement of limitations (data scale, no-training ceiling, coverage, the two error categories) and concrete future directions (broader crops/languages, edge deployment, larger expert-verified benchmark).</w:t>
      </w:r>
    </w:p>
    <w:p>
      <w:r>
        <w:br w:type="page"/>
      </w:r>
    </w:p>
    <w:p>
      <w:pPr>
        <w:pStyle w:val="Heading1"/>
      </w:pPr>
      <w:r>
        <w:t xml:space="preserve">VIII. References</w:t>
      </w:r>
    </w:p>
    <w:p>
      <w:pPr>
        <w:spacing w:after="160" w:line="300"/>
      </w:pPr>
      <w:r>
        <w:rPr>
          <w:b/>
          <w:bCs/>
          <w:i/>
          <w:iCs/>
          <w:color w:val="2E4E7E"/>
          <w:sz w:val="22"/>
          <w:szCs w:val="22"/>
        </w:rPr>
        <w:t xml:space="preserve">[Compiled continuously · finalised in Report #8]</w:t>
      </w:r>
    </w:p>
    <w:p>
      <w:pPr>
        <w:spacing w:after="100" w:line="320"/>
        <w:jc w:val="both"/>
      </w:pPr>
      <w:r>
        <w:rPr>
          <w:i/>
          <w:iCs/>
          <w:color w:val="5A6472"/>
          <w:sz w:val="24"/>
          <w:szCs w:val="24"/>
        </w:rPr>
        <w:t xml:space="preserve">All cited sources in a single, consistent citation style (IEEE or APA), managed via Zotero and sourced through Zotero/NotebookLM; ordered and complete, listing only works actually cited. A Chapter II literature-review citation workflow (NotebookLM + Zotero) is established early.</w:t>
      </w:r>
    </w:p>
    <w:p>
      <w:r>
        <w:br w:type="page"/>
      </w:r>
    </w:p>
    <w:p>
      <w:pPr>
        <w:pStyle w:val="Heading1"/>
      </w:pPr>
      <w:r>
        <w:t xml:space="preserve">IX. Appendices</w:t>
      </w:r>
    </w:p>
    <w:p>
      <w:pPr>
        <w:spacing w:after="160" w:line="300"/>
      </w:pPr>
      <w:r>
        <w:rPr>
          <w:b/>
          <w:bCs/>
          <w:i/>
          <w:iCs/>
          <w:color w:val="2E4E7E"/>
          <w:sz w:val="22"/>
          <w:szCs w:val="22"/>
        </w:rPr>
        <w:t xml:space="preserve">[To be developed in Report #9 · Jira Epic 7]</w:t>
      </w:r>
    </w:p>
    <w:p>
      <w:pPr>
        <w:spacing w:after="100" w:line="320"/>
        <w:jc w:val="both"/>
      </w:pPr>
      <w:r>
        <w:rPr>
          <w:i/>
          <w:iCs/>
          <w:color w:val="5A6472"/>
          <w:sz w:val="24"/>
          <w:szCs w:val="24"/>
        </w:rPr>
        <w:t xml:space="preserve">Supplementary material: the LangGraph state-machine (Mermaid) diagrams, representative prompts and node schemas, the golden-set specification, selected source code, extended results tables, and the Jira board / sprint artefacts.</w:t>
      </w:r>
    </w:p>
    <w:sectPr>
      <w:footerReference w:type="default" r:id="rId7"/>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lvl w:ilvl="2" w15:tentative="1">
      <w:start w:val="1"/>
      <w:numFmt w:val="bullet"/>
      <w:lvlText w:val="▪"/>
      <w:lvlJc w:val="left"/>
      <w:pPr>
        <w:ind w:left="13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E4E7E"/>
      <w:sz w:val="28"/>
      <w:szCs w:val="28"/>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i/>
      <w:iCs/>
      <w:color w:val="2E4E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Vi-AgriVQA — Capstone Report #1 — Project Introduction</dc:title>
  <dc:creator>Vi-AgriVQA Capstone Team</dc:creator>
  <dc:description>FPT AIP491 Capstone Report #1</dc:description>
  <cp:lastModifiedBy>Un-named</cp:lastModifiedBy>
  <cp:revision>1</cp:revision>
  <dcterms:created xsi:type="dcterms:W3CDTF">2026-08-17T16:54:02.219Z</dcterms:created>
  <dcterms:modified xsi:type="dcterms:W3CDTF">2026-08-17T16:54:02.234Z</dcterms:modified>
</cp:coreProperties>
</file>

<file path=docProps/custom.xml><?xml version="1.0" encoding="utf-8"?>
<Properties xmlns="http://schemas.openxmlformats.org/officeDocument/2006/custom-properties" xmlns:vt="http://schemas.openxmlformats.org/officeDocument/2006/docPropsVTypes"/>
</file>