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EF6" w:rsidRPr="00C967E5" w:rsidRDefault="008B0EF6" w:rsidP="007C0AC9">
      <w:pPr>
        <w:jc w:val="center"/>
        <w:rPr>
          <w:rFonts w:ascii="Times New Roman" w:hAnsi="Times New Roman" w:cs="Times New Roman"/>
          <w:b/>
          <w:sz w:val="26"/>
        </w:rPr>
      </w:pPr>
      <w:r>
        <w:rPr>
          <w:rFonts w:ascii="Times New Roman" w:hAnsi="Times New Roman" w:cs="Times New Roman"/>
          <w:b/>
          <w:sz w:val="26"/>
        </w:rPr>
        <w:t>CHAPTER 2</w:t>
      </w:r>
    </w:p>
    <w:p w:rsidR="008B0EF6" w:rsidRDefault="008B0EF6" w:rsidP="007C0AC9">
      <w:pPr>
        <w:spacing w:after="480"/>
        <w:jc w:val="center"/>
        <w:rPr>
          <w:rFonts w:ascii="Times New Roman" w:hAnsi="Times New Roman" w:cs="Times New Roman"/>
          <w:b/>
          <w:sz w:val="26"/>
        </w:rPr>
      </w:pPr>
      <w:r>
        <w:rPr>
          <w:rFonts w:ascii="Times New Roman" w:hAnsi="Times New Roman" w:cs="Times New Roman"/>
          <w:b/>
          <w:sz w:val="26"/>
        </w:rPr>
        <w:t>REVIEW OF RELATED LITERATURE AND STUDIES</w:t>
      </w:r>
    </w:p>
    <w:p w:rsidR="008B0EF6" w:rsidRDefault="008B0EF6" w:rsidP="006C338A">
      <w:pPr>
        <w:spacing w:after="480" w:line="360" w:lineRule="auto"/>
        <w:jc w:val="both"/>
        <w:rPr>
          <w:rFonts w:cs="Times New Roman"/>
          <w:i/>
          <w:sz w:val="24"/>
        </w:rPr>
      </w:pPr>
      <w:r w:rsidRPr="008B0EF6">
        <w:rPr>
          <w:rFonts w:cs="Times New Roman"/>
          <w:i/>
          <w:sz w:val="24"/>
        </w:rPr>
        <w:t>This chapter presents the review of related literature and studies from both local and foreign sources, articles, forums and other knowledge bases about the study and the overall synthesis.</w:t>
      </w:r>
    </w:p>
    <w:p w:rsidR="008B0EF6" w:rsidRPr="008B0EF6" w:rsidRDefault="008B0EF6" w:rsidP="006C338A">
      <w:pPr>
        <w:spacing w:after="120" w:line="360" w:lineRule="auto"/>
        <w:jc w:val="both"/>
        <w:rPr>
          <w:rFonts w:cs="Times New Roman"/>
          <w:b/>
          <w:sz w:val="24"/>
        </w:rPr>
      </w:pPr>
      <w:r>
        <w:rPr>
          <w:rFonts w:cs="Times New Roman"/>
          <w:b/>
          <w:sz w:val="24"/>
        </w:rPr>
        <w:t xml:space="preserve">I. </w:t>
      </w:r>
      <w:r w:rsidRPr="008B0EF6">
        <w:rPr>
          <w:rFonts w:cs="Times New Roman"/>
          <w:b/>
          <w:sz w:val="24"/>
        </w:rPr>
        <w:t>Related Literature</w:t>
      </w:r>
    </w:p>
    <w:p w:rsidR="006F7168" w:rsidRDefault="006F7168" w:rsidP="006C338A">
      <w:pPr>
        <w:pStyle w:val="ListParagraph"/>
        <w:numPr>
          <w:ilvl w:val="0"/>
          <w:numId w:val="10"/>
        </w:numPr>
        <w:spacing w:after="120" w:line="360" w:lineRule="auto"/>
        <w:jc w:val="both"/>
        <w:rPr>
          <w:rFonts w:cs="Times New Roman"/>
          <w:b/>
          <w:sz w:val="24"/>
        </w:rPr>
      </w:pPr>
      <w:r>
        <w:rPr>
          <w:rFonts w:cs="Times New Roman"/>
          <w:b/>
          <w:sz w:val="24"/>
        </w:rPr>
        <w:t xml:space="preserve">Foreign </w:t>
      </w:r>
    </w:p>
    <w:p w:rsidR="006C338A" w:rsidRPr="006C338A" w:rsidRDefault="006C338A" w:rsidP="006C338A">
      <w:pPr>
        <w:pStyle w:val="ListParagraph"/>
        <w:spacing w:line="360" w:lineRule="auto"/>
        <w:jc w:val="both"/>
        <w:rPr>
          <w:sz w:val="24"/>
        </w:rPr>
      </w:pPr>
      <w:r w:rsidRPr="006C338A">
        <w:rPr>
          <w:sz w:val="24"/>
        </w:rPr>
        <w:t xml:space="preserve">‘Although at first sight it might seem fairly straight-forward to devise intervention </w:t>
      </w:r>
      <w:proofErr w:type="spellStart"/>
      <w:r w:rsidRPr="006C338A">
        <w:rPr>
          <w:sz w:val="24"/>
        </w:rPr>
        <w:t>programmes</w:t>
      </w:r>
      <w:proofErr w:type="spellEnd"/>
      <w:r w:rsidRPr="006C338A">
        <w:rPr>
          <w:sz w:val="24"/>
        </w:rPr>
        <w:t xml:space="preserve"> to train parents and teachers in appropriate modes of responding, this has proven to be far from straight-forward and not particularly successful.’</w:t>
      </w:r>
    </w:p>
    <w:p w:rsidR="006C338A" w:rsidRPr="006C338A" w:rsidRDefault="006C338A" w:rsidP="006C338A">
      <w:pPr>
        <w:pStyle w:val="ListParagraph"/>
        <w:spacing w:line="360" w:lineRule="auto"/>
        <w:jc w:val="both"/>
        <w:rPr>
          <w:sz w:val="24"/>
        </w:rPr>
      </w:pPr>
    </w:p>
    <w:p w:rsidR="006C338A" w:rsidRPr="006C338A" w:rsidRDefault="006C338A" w:rsidP="006C338A">
      <w:pPr>
        <w:pStyle w:val="ListParagraph"/>
        <w:spacing w:line="360" w:lineRule="auto"/>
        <w:jc w:val="both"/>
        <w:rPr>
          <w:sz w:val="24"/>
        </w:rPr>
      </w:pPr>
      <w:r w:rsidRPr="006C338A">
        <w:rPr>
          <w:sz w:val="24"/>
        </w:rPr>
        <w:t xml:space="preserve">The above quote is an excerpt from a report by Collis and Lewis (1997) in which the authors conclude that it is very hard for a sighted individual to identify with the needs and problems faced by a blind or partially-sighted person. Their report focuses on assistance for children, but the above assertion’s basic premise is applicable across all ages of people experiencing sight loss.  </w:t>
      </w:r>
    </w:p>
    <w:p w:rsidR="006C338A" w:rsidRPr="006C338A" w:rsidRDefault="006C338A" w:rsidP="006C338A">
      <w:pPr>
        <w:pStyle w:val="ListParagraph"/>
        <w:spacing w:line="360" w:lineRule="auto"/>
        <w:jc w:val="both"/>
        <w:rPr>
          <w:sz w:val="24"/>
        </w:rPr>
      </w:pPr>
    </w:p>
    <w:p w:rsidR="006C338A" w:rsidRPr="006C338A" w:rsidRDefault="006C338A" w:rsidP="006C338A">
      <w:pPr>
        <w:pStyle w:val="ListParagraph"/>
        <w:spacing w:line="360" w:lineRule="auto"/>
        <w:jc w:val="both"/>
        <w:rPr>
          <w:sz w:val="24"/>
        </w:rPr>
      </w:pPr>
      <w:r w:rsidRPr="006C338A">
        <w:rPr>
          <w:sz w:val="24"/>
        </w:rPr>
        <w:t xml:space="preserve">The ability to ‘see’ is taken for granted by many. The environment surrounding us is a rich source of visual ‘cues’ which we have learnt since childhood to ‘read’ to enable us to go about our everyday lives. However, partially sighted and blind individuals must learn to adapt their </w:t>
      </w:r>
      <w:proofErr w:type="spellStart"/>
      <w:r w:rsidRPr="006C338A">
        <w:rPr>
          <w:sz w:val="24"/>
        </w:rPr>
        <w:t>behaviours</w:t>
      </w:r>
      <w:proofErr w:type="spellEnd"/>
      <w:r w:rsidRPr="006C338A">
        <w:rPr>
          <w:sz w:val="24"/>
        </w:rPr>
        <w:t xml:space="preserve"> to live in a world designed by sighted people. </w:t>
      </w:r>
    </w:p>
    <w:p w:rsidR="006C338A" w:rsidRPr="006C338A" w:rsidRDefault="006C338A" w:rsidP="006C338A">
      <w:pPr>
        <w:pStyle w:val="ListParagraph"/>
        <w:spacing w:line="360" w:lineRule="auto"/>
        <w:jc w:val="both"/>
        <w:rPr>
          <w:sz w:val="24"/>
        </w:rPr>
      </w:pPr>
    </w:p>
    <w:p w:rsidR="006C338A" w:rsidRDefault="006C338A" w:rsidP="006C338A">
      <w:pPr>
        <w:pStyle w:val="ListParagraph"/>
        <w:spacing w:line="360" w:lineRule="auto"/>
        <w:jc w:val="both"/>
        <w:rPr>
          <w:sz w:val="24"/>
        </w:rPr>
      </w:pPr>
      <w:r w:rsidRPr="006C338A">
        <w:rPr>
          <w:sz w:val="24"/>
        </w:rPr>
        <w:t xml:space="preserve">The opening quote sets a rather pessimistic tone; however, it is clear that the majority of those with sight loss do learn to adjust to living in the ‘sighted world’ satisfactorily over time. (Gillman et al.,1986; </w:t>
      </w:r>
      <w:proofErr w:type="spellStart"/>
      <w:r w:rsidRPr="006C338A">
        <w:rPr>
          <w:sz w:val="24"/>
        </w:rPr>
        <w:t>Kaarlela</w:t>
      </w:r>
      <w:proofErr w:type="spellEnd"/>
      <w:r w:rsidRPr="006C338A">
        <w:rPr>
          <w:sz w:val="24"/>
        </w:rPr>
        <w:t xml:space="preserve">, 1978; Kleinschmidt, 1995). For the purpose of this report, ‘needs’ will be defined as: “the lack of appropriate information (to include awareness of eye conditions and the person’s circumstances, access to services, and knowledge of available assistance) on which to base choices which could lead to benefits </w:t>
      </w:r>
      <w:r w:rsidRPr="006C338A">
        <w:rPr>
          <w:sz w:val="24"/>
        </w:rPr>
        <w:lastRenderedPageBreak/>
        <w:t>or services which may improve a person’s well-being” (Tester, 1992). This report aims to determine the key needs through evidence-based research arising from experiences of blind and partially sighted individuals in order to be better able to make the sighted world more accessible to, and support, such individuals and give a more optimistic outlook than Collis and Lewis in 1997.</w:t>
      </w:r>
    </w:p>
    <w:p w:rsidR="006C338A" w:rsidRDefault="006C338A" w:rsidP="006C338A">
      <w:pPr>
        <w:pStyle w:val="ListParagraph"/>
        <w:spacing w:line="360" w:lineRule="auto"/>
        <w:jc w:val="both"/>
        <w:rPr>
          <w:sz w:val="24"/>
        </w:rPr>
      </w:pPr>
    </w:p>
    <w:p w:rsidR="006C338A" w:rsidRPr="006C338A" w:rsidRDefault="006C338A" w:rsidP="006C338A">
      <w:pPr>
        <w:pStyle w:val="ListParagraph"/>
        <w:spacing w:line="360" w:lineRule="auto"/>
        <w:jc w:val="both"/>
        <w:rPr>
          <w:sz w:val="24"/>
        </w:rPr>
      </w:pPr>
      <w:r w:rsidRPr="006C338A">
        <w:rPr>
          <w:sz w:val="24"/>
        </w:rPr>
        <w:t>In a report by Royal National Institute for the Blind (RNIB) in 2001, it is estimated that up to two million people in the UK have sight problems. Research published in 2005 indicates that this figure has not changed (Tate et al., 2005). The Department of Health (</w:t>
      </w:r>
      <w:proofErr w:type="spellStart"/>
      <w:r w:rsidRPr="006C338A">
        <w:rPr>
          <w:sz w:val="24"/>
        </w:rPr>
        <w:t>DoH</w:t>
      </w:r>
      <w:proofErr w:type="spellEnd"/>
      <w:r w:rsidRPr="006C338A">
        <w:rPr>
          <w:sz w:val="24"/>
        </w:rPr>
        <w:t>, 2003) reports that between 1982 and 2003 there was an increase in those individuals registered as blind from 45,000 to 157,000. At the end of March 2006, individuals registered with sight loss had risen still further to just over 360,000 people, but this includes an increase in the number of people registered as partially sighted. In 2001, RNIB reported that of the estimated individuals with irreparable sight difficulties, 90% were over the age of 60. (However, it should be noted that there is considerably more evidence for people aged 75 and above in this context compared to those below the age of 65.)</w:t>
      </w:r>
    </w:p>
    <w:p w:rsidR="006C338A" w:rsidRPr="006C338A" w:rsidRDefault="006C338A" w:rsidP="006C338A">
      <w:pPr>
        <w:pStyle w:val="ListParagraph"/>
        <w:spacing w:line="360" w:lineRule="auto"/>
        <w:jc w:val="both"/>
        <w:rPr>
          <w:sz w:val="24"/>
        </w:rPr>
      </w:pPr>
    </w:p>
    <w:p w:rsidR="006C338A" w:rsidRPr="006C338A" w:rsidRDefault="006C338A" w:rsidP="006C338A">
      <w:pPr>
        <w:pStyle w:val="ListParagraph"/>
        <w:spacing w:line="360" w:lineRule="auto"/>
        <w:jc w:val="both"/>
        <w:rPr>
          <w:sz w:val="24"/>
        </w:rPr>
      </w:pPr>
      <w:r w:rsidRPr="006C338A">
        <w:rPr>
          <w:sz w:val="24"/>
        </w:rPr>
        <w:t>There are a huge variety of causes of partial sightedness and blindness. The onset of sight loss can appear at any point in a</w:t>
      </w:r>
      <w:r>
        <w:rPr>
          <w:sz w:val="24"/>
        </w:rPr>
        <w:t xml:space="preserve"> </w:t>
      </w:r>
      <w:r w:rsidRPr="006C338A">
        <w:rPr>
          <w:sz w:val="24"/>
        </w:rPr>
        <w:t xml:space="preserve">person’s life, although most people are not born blind (Fitzgerald, 1970). Additionally, the progression of sight loss can be a slow process, deteriorating over time, or it can happen very rapidly. In a study by Fitzgerald, Ebert, and Chambers (1987) looking at 66 adults Londoners aged 21-65 years, three fifths of their subjects had less than a year between onset of symptoms and loss of useful vision, with 35% becoming blind in less than two weeks. Despite the small number of people involved in the study, it demonstrates how quickly visual acuity can decline. However, it should be noted that the process is gradual most of the time. Most of the evidence for deterioration focuses on older people with various eye conditions in which the loss of sight has been a slow process. An analysis conducted by the Office of National Statistics between 1990 and 1991 found that the main causes of blindness in older people was the “degeneration of </w:t>
      </w:r>
      <w:r w:rsidRPr="006C338A">
        <w:rPr>
          <w:sz w:val="24"/>
        </w:rPr>
        <w:lastRenderedPageBreak/>
        <w:t>the macula and posterior pole”, followed by glaucoma, diabetic retinopathy, optic atrophy and cataracts. Causes for partial sightedness were found to be similar. Predominantly, these causes are linked to older adults (Evans, 1995). More specifically, Evans et al. (2002) measured the prevalence of blindness and partial sight in a large representative sample (over 14,000 participants) of older adults aged 75 and over. The range of sight problems across all age groups varies greatly and likewise the experiences and needs will be diverse. For example, increased fragility and likelihood of additional illnesses in older people means that their physical needs, and the assistance they will require, will differ from younger people. Likewise, where children are diagnosed as partially sighted or blind, the parents will require support and guidance and extra equipment, i.e. to aid schooling, will be required, especially if the child has additional disabilities, which could compound their sight difficulty.</w:t>
      </w:r>
    </w:p>
    <w:p w:rsidR="006F7168" w:rsidRPr="007C0AC9" w:rsidRDefault="007C0AC9" w:rsidP="006C338A">
      <w:pPr>
        <w:spacing w:after="120" w:line="360" w:lineRule="auto"/>
        <w:jc w:val="both"/>
        <w:rPr>
          <w:rFonts w:cs="Times New Roman"/>
          <w:sz w:val="24"/>
        </w:rPr>
      </w:pPr>
      <w:r w:rsidRPr="007C0AC9">
        <w:rPr>
          <w:rFonts w:cs="Times New Roman"/>
          <w:sz w:val="24"/>
        </w:rPr>
        <w:t>Personal and Social Needs and Experiences</w:t>
      </w:r>
    </w:p>
    <w:p w:rsidR="006F7168" w:rsidRDefault="007C0AC9" w:rsidP="007C0AC9">
      <w:pPr>
        <w:spacing w:after="120" w:line="360" w:lineRule="auto"/>
        <w:ind w:left="720"/>
        <w:jc w:val="both"/>
        <w:rPr>
          <w:rFonts w:cs="Times New Roman"/>
          <w:sz w:val="24"/>
        </w:rPr>
      </w:pPr>
      <w:r w:rsidRPr="007C0AC9">
        <w:rPr>
          <w:rFonts w:cs="Times New Roman"/>
          <w:sz w:val="24"/>
        </w:rPr>
        <w:t xml:space="preserve">The social relationships we have and support networks we build are vital to our well-being (Liang, Krause, &amp; Bennett, 2001). These become of particular importance in helping the adaptation process when dealing with a chronic sensory impairment (Wang &amp; </w:t>
      </w:r>
      <w:proofErr w:type="spellStart"/>
      <w:r w:rsidRPr="007C0AC9">
        <w:rPr>
          <w:rFonts w:cs="Times New Roman"/>
          <w:sz w:val="24"/>
        </w:rPr>
        <w:t>Boerner</w:t>
      </w:r>
      <w:proofErr w:type="spellEnd"/>
      <w:r w:rsidRPr="007C0AC9">
        <w:rPr>
          <w:rFonts w:cs="Times New Roman"/>
          <w:sz w:val="24"/>
        </w:rPr>
        <w:t xml:space="preserve">, 2008). Reactions to a sensory loss, especially sight, resembles reactions to bereavements: people grieve for the loss of something which is part of the inner being (Sharpe, 2002; Percival and Hanson, 2005). In particular, in the short term, people appear to pine for the loss of vision, lamenting that they cannot do certain activities they used to do, i.e. reading, which manifests into anxiety and tearfulness (Douglas, Corcoran, and </w:t>
      </w:r>
      <w:proofErr w:type="spellStart"/>
      <w:r w:rsidRPr="007C0AC9">
        <w:rPr>
          <w:rFonts w:cs="Times New Roman"/>
          <w:sz w:val="24"/>
        </w:rPr>
        <w:t>Pavey</w:t>
      </w:r>
      <w:proofErr w:type="spellEnd"/>
      <w:r w:rsidRPr="007C0AC9">
        <w:rPr>
          <w:rFonts w:cs="Times New Roman"/>
          <w:sz w:val="24"/>
        </w:rPr>
        <w:t xml:space="preserve">, 2006). Later in the ‘grieving process’, this can develop into depression. When social and personal support is not present, this depression can escalate (Fitzgerald and Parkes, 1998). The Network 1000 study shows that a significant number of registered blind and partially sighted people live on their own or are widowed (between forty-two to forty-five per cent), especially in the older age groups (Douglas, Corcoran, and </w:t>
      </w:r>
      <w:proofErr w:type="spellStart"/>
      <w:r w:rsidRPr="007C0AC9">
        <w:rPr>
          <w:rFonts w:cs="Times New Roman"/>
          <w:sz w:val="24"/>
        </w:rPr>
        <w:t>Pavey</w:t>
      </w:r>
      <w:proofErr w:type="spellEnd"/>
      <w:r w:rsidRPr="007C0AC9">
        <w:rPr>
          <w:rFonts w:cs="Times New Roman"/>
          <w:sz w:val="24"/>
        </w:rPr>
        <w:t xml:space="preserve">, 2006). It would appear that a lack of emotional support can have significant personal adverse effects. Loss of sight and the process of learning to adapt is likely to impact upon the social relationships and personal perceptions an individual has of themselves. From articles </w:t>
      </w:r>
      <w:r w:rsidRPr="007C0AC9">
        <w:rPr>
          <w:rFonts w:cs="Times New Roman"/>
          <w:sz w:val="24"/>
        </w:rPr>
        <w:lastRenderedPageBreak/>
        <w:t>reviewed here, a key need (that has arisen) is that of suitable social support which helps to strengthen personal attitudes and can encourage increasing self-esteem and the resolve to become more self-sufficient, e.g. knowing that it is possible to prepare your own meal (Fitzgerald, 1970; Scott, 1995).</w:t>
      </w: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Default="007C0AC9" w:rsidP="007C0AC9">
      <w:pPr>
        <w:spacing w:after="120" w:line="360" w:lineRule="auto"/>
        <w:ind w:left="720"/>
        <w:jc w:val="both"/>
        <w:rPr>
          <w:rFonts w:cs="Times New Roman"/>
          <w:sz w:val="24"/>
        </w:rPr>
      </w:pPr>
    </w:p>
    <w:p w:rsidR="007C0AC9" w:rsidRPr="007C0AC9" w:rsidRDefault="007C0AC9" w:rsidP="007C0AC9">
      <w:pPr>
        <w:spacing w:after="120" w:line="360" w:lineRule="auto"/>
        <w:ind w:left="720"/>
        <w:jc w:val="both"/>
        <w:rPr>
          <w:rFonts w:cs="Times New Roman"/>
          <w:sz w:val="24"/>
        </w:rPr>
      </w:pPr>
    </w:p>
    <w:p w:rsidR="00FC1E08" w:rsidRDefault="006F7168" w:rsidP="006C338A">
      <w:pPr>
        <w:spacing w:after="120" w:line="360" w:lineRule="auto"/>
        <w:jc w:val="both"/>
        <w:rPr>
          <w:rFonts w:cs="Times New Roman"/>
          <w:b/>
          <w:sz w:val="24"/>
        </w:rPr>
      </w:pPr>
      <w:r>
        <w:rPr>
          <w:rFonts w:cs="Times New Roman"/>
          <w:b/>
          <w:sz w:val="24"/>
        </w:rPr>
        <w:lastRenderedPageBreak/>
        <w:t>II. Related Studies</w:t>
      </w:r>
    </w:p>
    <w:p w:rsidR="008F2CB6" w:rsidRDefault="006F7168" w:rsidP="006C338A">
      <w:pPr>
        <w:pStyle w:val="ListParagraph"/>
        <w:numPr>
          <w:ilvl w:val="0"/>
          <w:numId w:val="12"/>
        </w:numPr>
        <w:spacing w:after="120" w:line="360" w:lineRule="auto"/>
        <w:jc w:val="both"/>
        <w:rPr>
          <w:rFonts w:cs="Times New Roman"/>
          <w:b/>
          <w:sz w:val="24"/>
        </w:rPr>
      </w:pPr>
      <w:r>
        <w:rPr>
          <w:rFonts w:cs="Times New Roman"/>
          <w:b/>
          <w:sz w:val="24"/>
        </w:rPr>
        <w:t>Foreign</w:t>
      </w:r>
    </w:p>
    <w:p w:rsidR="000203D8" w:rsidRDefault="000203D8" w:rsidP="006C338A">
      <w:pPr>
        <w:pStyle w:val="ListParagraph"/>
        <w:spacing w:after="120" w:line="360" w:lineRule="auto"/>
        <w:ind w:firstLine="720"/>
        <w:jc w:val="both"/>
        <w:rPr>
          <w:rFonts w:cs="Times New Roman"/>
          <w:sz w:val="24"/>
        </w:rPr>
      </w:pPr>
      <w:r>
        <w:rPr>
          <w:rFonts w:cs="Times New Roman"/>
          <w:sz w:val="24"/>
        </w:rPr>
        <w:t>In the journal made by Rachel Harrison et al. (2013), a</w:t>
      </w:r>
      <w:r w:rsidRPr="000203D8">
        <w:rPr>
          <w:rFonts w:cs="Times New Roman"/>
          <w:sz w:val="24"/>
        </w:rPr>
        <w:t>dvances in mobile technology have enabled a wide range of applications to be developed that can be used by people on the move. Developers sometimes overlook the fact that users will want to interact with such devices while on the move. Small screen sizes, limited connectivity, high power consumption rates and limited input modalities</w:t>
      </w:r>
      <w:r w:rsidR="0064100C">
        <w:rPr>
          <w:rFonts w:cs="Times New Roman"/>
          <w:sz w:val="24"/>
        </w:rPr>
        <w:t xml:space="preserve"> </w:t>
      </w:r>
      <w:r w:rsidRPr="0064100C">
        <w:rPr>
          <w:rFonts w:cs="Times New Roman"/>
          <w:sz w:val="24"/>
        </w:rPr>
        <w:t>are just some of the issues that arise when designing for small, portable devices. One of the biggest issues is the context in which they are used. As these devices are designed to enable users to use them while mobile, the impact that the use of these devices has on the mobility of the user is a critical factor to the success or failure of the application.</w:t>
      </w:r>
    </w:p>
    <w:p w:rsidR="0064100C" w:rsidRPr="006C338A" w:rsidRDefault="006C338A" w:rsidP="006C338A">
      <w:pPr>
        <w:pStyle w:val="ListParagraph"/>
        <w:spacing w:after="120" w:line="360" w:lineRule="auto"/>
        <w:ind w:firstLine="720"/>
        <w:jc w:val="both"/>
        <w:rPr>
          <w:rFonts w:cs="Times New Roman"/>
          <w:sz w:val="24"/>
        </w:rPr>
      </w:pPr>
      <w:r>
        <w:rPr>
          <w:rFonts w:cs="Times New Roman"/>
          <w:sz w:val="24"/>
        </w:rPr>
        <w:t>Seeking for the solutions for giving people who are visually impaired, a student from University of Middlesex has been made. That says, ‘</w:t>
      </w:r>
      <w:r w:rsidR="0064100C" w:rsidRPr="0064100C">
        <w:rPr>
          <w:rFonts w:cs="Times New Roman"/>
          <w:sz w:val="24"/>
        </w:rPr>
        <w:t>This guide makes no attempt to be exhaustive. Not o</w:t>
      </w:r>
      <w:r>
        <w:rPr>
          <w:rFonts w:cs="Times New Roman"/>
          <w:sz w:val="24"/>
        </w:rPr>
        <w:t xml:space="preserve">nly is every teaching situation </w:t>
      </w:r>
      <w:r w:rsidR="0064100C" w:rsidRPr="006C338A">
        <w:rPr>
          <w:rFonts w:cs="Times New Roman"/>
          <w:sz w:val="24"/>
        </w:rPr>
        <w:t>and learning environment different, but each visually impaired student is unique. We</w:t>
      </w:r>
      <w:r>
        <w:rPr>
          <w:rFonts w:cs="Times New Roman"/>
          <w:sz w:val="24"/>
        </w:rPr>
        <w:t xml:space="preserve"> </w:t>
      </w:r>
      <w:r w:rsidR="0064100C" w:rsidRPr="006C338A">
        <w:rPr>
          <w:rFonts w:cs="Times New Roman"/>
          <w:sz w:val="24"/>
        </w:rPr>
        <w:t>have also refrained from being too prescriptive – we do not pretend to know all the</w:t>
      </w:r>
      <w:r>
        <w:rPr>
          <w:rFonts w:cs="Times New Roman"/>
          <w:sz w:val="24"/>
        </w:rPr>
        <w:t xml:space="preserve"> </w:t>
      </w:r>
      <w:r w:rsidR="0064100C" w:rsidRPr="006C338A">
        <w:rPr>
          <w:rFonts w:cs="Times New Roman"/>
          <w:sz w:val="24"/>
        </w:rPr>
        <w:t>answers, or to be able to provide the best advice for each and every situation, or</w:t>
      </w:r>
      <w:r>
        <w:rPr>
          <w:rFonts w:cs="Times New Roman"/>
          <w:sz w:val="24"/>
        </w:rPr>
        <w:t xml:space="preserve"> </w:t>
      </w:r>
      <w:r w:rsidR="0064100C" w:rsidRPr="006C338A">
        <w:rPr>
          <w:rFonts w:cs="Times New Roman"/>
          <w:sz w:val="24"/>
        </w:rPr>
        <w:t>each and every student</w:t>
      </w:r>
      <w:r>
        <w:rPr>
          <w:rFonts w:cs="Times New Roman"/>
          <w:sz w:val="24"/>
        </w:rPr>
        <w:t>.’ (</w:t>
      </w:r>
      <w:proofErr w:type="spellStart"/>
      <w:r w:rsidRPr="006C338A">
        <w:rPr>
          <w:rFonts w:cs="Times New Roman"/>
          <w:sz w:val="24"/>
        </w:rPr>
        <w:t>Ifan</w:t>
      </w:r>
      <w:proofErr w:type="spellEnd"/>
      <w:r w:rsidRPr="006C338A">
        <w:rPr>
          <w:rFonts w:cs="Times New Roman"/>
          <w:sz w:val="24"/>
        </w:rPr>
        <w:t xml:space="preserve"> Shepherd</w:t>
      </w:r>
      <w:r>
        <w:rPr>
          <w:rFonts w:cs="Times New Roman"/>
          <w:sz w:val="24"/>
        </w:rPr>
        <w:t>, 2001)</w:t>
      </w:r>
    </w:p>
    <w:p w:rsidR="006F7168" w:rsidRPr="00106091" w:rsidRDefault="004553A7" w:rsidP="006C338A">
      <w:pPr>
        <w:pStyle w:val="ListParagraph"/>
        <w:spacing w:after="120" w:line="360" w:lineRule="auto"/>
        <w:ind w:firstLine="720"/>
        <w:jc w:val="both"/>
        <w:rPr>
          <w:rFonts w:cs="Times New Roman"/>
          <w:sz w:val="24"/>
        </w:rPr>
      </w:pPr>
      <w:r>
        <w:rPr>
          <w:rFonts w:cs="Times New Roman"/>
          <w:sz w:val="24"/>
        </w:rPr>
        <w:t>According to the study</w:t>
      </w:r>
      <w:r w:rsidR="006A5D65">
        <w:rPr>
          <w:rFonts w:cs="Times New Roman"/>
          <w:sz w:val="24"/>
        </w:rPr>
        <w:t>,</w:t>
      </w:r>
      <w:r>
        <w:rPr>
          <w:rFonts w:cs="Times New Roman"/>
          <w:sz w:val="24"/>
        </w:rPr>
        <w:t xml:space="preserve"> </w:t>
      </w:r>
      <w:r w:rsidR="006A5D65">
        <w:rPr>
          <w:rFonts w:cs="Times New Roman"/>
          <w:sz w:val="24"/>
        </w:rPr>
        <w:t>Challenges Among Individuals with Visual Impairment in an I</w:t>
      </w:r>
      <w:r w:rsidR="00106091">
        <w:rPr>
          <w:rFonts w:cs="Times New Roman"/>
          <w:sz w:val="24"/>
        </w:rPr>
        <w:t>nstitution of Higher Learning in Mal</w:t>
      </w:r>
      <w:r w:rsidR="006A5D65">
        <w:rPr>
          <w:rFonts w:cs="Times New Roman"/>
          <w:sz w:val="24"/>
        </w:rPr>
        <w:t>a</w:t>
      </w:r>
      <w:r w:rsidR="00106091">
        <w:rPr>
          <w:rFonts w:cs="Times New Roman"/>
          <w:sz w:val="24"/>
        </w:rPr>
        <w:t>ysia</w:t>
      </w:r>
      <w:r w:rsidRPr="00106091">
        <w:rPr>
          <w:rFonts w:cs="Times New Roman"/>
          <w:sz w:val="24"/>
        </w:rPr>
        <w:t xml:space="preserve"> </w:t>
      </w:r>
      <w:r w:rsidR="00106091">
        <w:rPr>
          <w:rFonts w:cs="Times New Roman"/>
          <w:sz w:val="24"/>
        </w:rPr>
        <w:t>(</w:t>
      </w:r>
      <w:proofErr w:type="spellStart"/>
      <w:r w:rsidRPr="00106091">
        <w:rPr>
          <w:rFonts w:cs="Times New Roman"/>
          <w:sz w:val="24"/>
        </w:rPr>
        <w:t>Loh</w:t>
      </w:r>
      <w:proofErr w:type="spellEnd"/>
      <w:r w:rsidRPr="00106091">
        <w:rPr>
          <w:rFonts w:cs="Times New Roman"/>
          <w:sz w:val="24"/>
        </w:rPr>
        <w:t xml:space="preserve"> </w:t>
      </w:r>
      <w:proofErr w:type="spellStart"/>
      <w:r w:rsidRPr="00106091">
        <w:rPr>
          <w:rFonts w:cs="Times New Roman"/>
          <w:sz w:val="24"/>
        </w:rPr>
        <w:t>Sau</w:t>
      </w:r>
      <w:proofErr w:type="spellEnd"/>
      <w:r w:rsidRPr="00106091">
        <w:rPr>
          <w:rFonts w:cs="Times New Roman"/>
          <w:sz w:val="24"/>
        </w:rPr>
        <w:t xml:space="preserve"> Cheong, </w:t>
      </w:r>
      <w:proofErr w:type="spellStart"/>
      <w:r w:rsidRPr="00106091">
        <w:rPr>
          <w:rFonts w:cs="Times New Roman"/>
          <w:sz w:val="24"/>
        </w:rPr>
        <w:t>Haslee</w:t>
      </w:r>
      <w:proofErr w:type="spellEnd"/>
      <w:r w:rsidRPr="00106091">
        <w:rPr>
          <w:rFonts w:cs="Times New Roman"/>
          <w:sz w:val="24"/>
        </w:rPr>
        <w:t xml:space="preserve"> </w:t>
      </w:r>
      <w:proofErr w:type="spellStart"/>
      <w:r w:rsidRPr="00106091">
        <w:rPr>
          <w:rFonts w:cs="Times New Roman"/>
          <w:sz w:val="24"/>
        </w:rPr>
        <w:t>Sharil</w:t>
      </w:r>
      <w:proofErr w:type="spellEnd"/>
      <w:r w:rsidRPr="00106091">
        <w:rPr>
          <w:rFonts w:cs="Times New Roman"/>
          <w:sz w:val="24"/>
        </w:rPr>
        <w:t xml:space="preserve"> Lim Abdullah, Farrah Dina </w:t>
      </w:r>
      <w:proofErr w:type="spellStart"/>
      <w:r w:rsidRPr="00106091">
        <w:rPr>
          <w:rFonts w:cs="Times New Roman"/>
          <w:sz w:val="24"/>
        </w:rPr>
        <w:t>Yusop</w:t>
      </w:r>
      <w:proofErr w:type="spellEnd"/>
      <w:r w:rsidRPr="00106091">
        <w:rPr>
          <w:rFonts w:cs="Times New Roman"/>
          <w:sz w:val="24"/>
        </w:rPr>
        <w:t xml:space="preserve"> and Ahmad </w:t>
      </w:r>
      <w:proofErr w:type="spellStart"/>
      <w:r w:rsidRPr="00106091">
        <w:rPr>
          <w:rFonts w:cs="Times New Roman"/>
          <w:sz w:val="24"/>
        </w:rPr>
        <w:t>Shamsuri</w:t>
      </w:r>
      <w:proofErr w:type="spellEnd"/>
      <w:r w:rsidRPr="00106091">
        <w:rPr>
          <w:rFonts w:cs="Times New Roman"/>
          <w:sz w:val="24"/>
        </w:rPr>
        <w:t xml:space="preserve"> Muhamad</w:t>
      </w:r>
      <w:r w:rsidR="00106091">
        <w:rPr>
          <w:rFonts w:cs="Times New Roman"/>
          <w:sz w:val="24"/>
        </w:rPr>
        <w:t>,</w:t>
      </w:r>
      <w:r w:rsidR="006A5D65">
        <w:rPr>
          <w:rFonts w:cs="Times New Roman"/>
          <w:sz w:val="24"/>
        </w:rPr>
        <w:t xml:space="preserve"> 2012</w:t>
      </w:r>
      <w:r w:rsidR="00106091">
        <w:rPr>
          <w:rFonts w:cs="Times New Roman"/>
          <w:sz w:val="24"/>
        </w:rPr>
        <w:t>)</w:t>
      </w:r>
      <w:r w:rsidRPr="00106091">
        <w:rPr>
          <w:rFonts w:cs="Times New Roman"/>
          <w:sz w:val="24"/>
        </w:rPr>
        <w:t>, i</w:t>
      </w:r>
      <w:r w:rsidR="008F2CB6" w:rsidRPr="00106091">
        <w:rPr>
          <w:rFonts w:cs="Times New Roman"/>
          <w:sz w:val="24"/>
        </w:rPr>
        <w:t>t has been found that almost all of the materials used by the lecturers are not available in Braille. Students with visual impairments are required to seek assistance from volunteers to be their readers to translate the written notes into Braille. They found themselves restricted especially when there is a shortage of volunteer readers. However, the library has been supportive in helping the students to recruit volunteer readers.</w:t>
      </w:r>
    </w:p>
    <w:p w:rsidR="004553A7" w:rsidRDefault="006A5D65" w:rsidP="006C338A">
      <w:pPr>
        <w:pStyle w:val="ListParagraph"/>
        <w:spacing w:after="120" w:line="360" w:lineRule="auto"/>
        <w:ind w:firstLine="720"/>
        <w:jc w:val="both"/>
        <w:rPr>
          <w:rFonts w:cs="Times New Roman"/>
          <w:sz w:val="24"/>
        </w:rPr>
      </w:pPr>
      <w:r>
        <w:rPr>
          <w:rFonts w:cs="Times New Roman"/>
          <w:sz w:val="24"/>
        </w:rPr>
        <w:t>A</w:t>
      </w:r>
      <w:r w:rsidR="008F2CB6" w:rsidRPr="004553A7">
        <w:rPr>
          <w:rFonts w:cs="Times New Roman"/>
          <w:sz w:val="24"/>
        </w:rPr>
        <w:t xml:space="preserve">ccording to </w:t>
      </w:r>
      <w:proofErr w:type="spellStart"/>
      <w:r w:rsidR="008F2CB6" w:rsidRPr="004553A7">
        <w:rPr>
          <w:rFonts w:cs="Times New Roman"/>
          <w:sz w:val="24"/>
        </w:rPr>
        <w:t>Khoo</w:t>
      </w:r>
      <w:proofErr w:type="spellEnd"/>
      <w:r w:rsidR="008F2CB6" w:rsidRPr="004553A7">
        <w:rPr>
          <w:rFonts w:cs="Times New Roman"/>
          <w:sz w:val="24"/>
        </w:rPr>
        <w:t xml:space="preserve"> (1998), the lack of textbooks and reference materials as well as the difficulties in obtaining them are among the most challenging barriers faced by individuals with visual impairment. However, this challenge is overcome with the recently </w:t>
      </w:r>
      <w:r w:rsidR="008F2CB6" w:rsidRPr="004553A7">
        <w:rPr>
          <w:rFonts w:cs="Times New Roman"/>
          <w:sz w:val="24"/>
        </w:rPr>
        <w:lastRenderedPageBreak/>
        <w:t>introduced technology where brand new books can be scanned and converted into Braille. However, it is quite time consuming and costly. The visually-impaired students have to be very selective in this as some textbooks are changed quite frequently.</w:t>
      </w:r>
      <w:r w:rsidR="00F15313">
        <w:rPr>
          <w:rFonts w:cs="Times New Roman"/>
          <w:sz w:val="24"/>
        </w:rPr>
        <w:t xml:space="preserve"> </w:t>
      </w:r>
    </w:p>
    <w:p w:rsidR="00AF2E71" w:rsidRDefault="002C6BBE" w:rsidP="006C338A">
      <w:pPr>
        <w:pStyle w:val="ListParagraph"/>
        <w:spacing w:after="120" w:line="360" w:lineRule="auto"/>
        <w:ind w:firstLine="720"/>
        <w:jc w:val="both"/>
        <w:rPr>
          <w:rFonts w:cs="Times New Roman"/>
          <w:sz w:val="24"/>
        </w:rPr>
      </w:pPr>
      <w:r>
        <w:rPr>
          <w:rFonts w:cs="Times New Roman"/>
          <w:sz w:val="24"/>
        </w:rPr>
        <w:t xml:space="preserve">As the </w:t>
      </w:r>
      <w:r w:rsidR="00AF2E71">
        <w:rPr>
          <w:rFonts w:cs="Times New Roman"/>
          <w:sz w:val="24"/>
        </w:rPr>
        <w:t>research</w:t>
      </w:r>
      <w:r>
        <w:rPr>
          <w:rFonts w:cs="Times New Roman"/>
          <w:sz w:val="24"/>
        </w:rPr>
        <w:t>ers</w:t>
      </w:r>
      <w:r w:rsidR="00AF2E71">
        <w:rPr>
          <w:rFonts w:cs="Times New Roman"/>
          <w:sz w:val="24"/>
        </w:rPr>
        <w:t xml:space="preserve"> have found the challenges</w:t>
      </w:r>
      <w:r>
        <w:rPr>
          <w:rFonts w:cs="Times New Roman"/>
          <w:sz w:val="24"/>
        </w:rPr>
        <w:t xml:space="preserve"> of Visually I</w:t>
      </w:r>
      <w:r w:rsidR="00AF2E71">
        <w:rPr>
          <w:rFonts w:cs="Times New Roman"/>
          <w:sz w:val="24"/>
        </w:rPr>
        <w:t>mpaired people regarding Mobility on Campus, s</w:t>
      </w:r>
      <w:r w:rsidR="00AF2E71" w:rsidRPr="00AF2E71">
        <w:rPr>
          <w:rFonts w:cs="Times New Roman"/>
          <w:sz w:val="24"/>
        </w:rPr>
        <w:t>tudents with visual impairment are placed in a pa</w:t>
      </w:r>
      <w:r w:rsidR="00AF2E71">
        <w:rPr>
          <w:rFonts w:cs="Times New Roman"/>
          <w:sz w:val="24"/>
        </w:rPr>
        <w:t xml:space="preserve">rticular residential college in </w:t>
      </w:r>
      <w:r w:rsidR="00AF2E71" w:rsidRPr="00AF2E71">
        <w:rPr>
          <w:rFonts w:cs="Times New Roman"/>
          <w:sz w:val="24"/>
        </w:rPr>
        <w:t>the university. A special van is provided to transport them from the residential</w:t>
      </w:r>
      <w:r w:rsidR="00AF2E71">
        <w:rPr>
          <w:rFonts w:cs="Times New Roman"/>
          <w:sz w:val="24"/>
        </w:rPr>
        <w:t xml:space="preserve"> </w:t>
      </w:r>
      <w:r w:rsidR="00AF2E71" w:rsidRPr="00AF2E71">
        <w:rPr>
          <w:rFonts w:cs="Times New Roman"/>
          <w:sz w:val="24"/>
        </w:rPr>
        <w:t>colleges to their respective faculties for lectures. They may also depend on their</w:t>
      </w:r>
      <w:r w:rsidR="00AF2E71">
        <w:rPr>
          <w:rFonts w:cs="Times New Roman"/>
          <w:sz w:val="24"/>
        </w:rPr>
        <w:t xml:space="preserve"> </w:t>
      </w:r>
      <w:r w:rsidR="00AF2E71" w:rsidRPr="00AF2E71">
        <w:rPr>
          <w:rFonts w:cs="Times New Roman"/>
          <w:sz w:val="24"/>
        </w:rPr>
        <w:t>friends for assistance in commuting from one place to another.</w:t>
      </w:r>
      <w:r w:rsidR="00AF2E71">
        <w:rPr>
          <w:rFonts w:cs="Times New Roman"/>
          <w:sz w:val="24"/>
        </w:rPr>
        <w:t xml:space="preserve">  </w:t>
      </w:r>
    </w:p>
    <w:p w:rsidR="006F7168" w:rsidRPr="00007F55" w:rsidRDefault="00080134" w:rsidP="00BA6712">
      <w:pPr>
        <w:spacing w:after="120" w:line="360" w:lineRule="auto"/>
        <w:ind w:left="720" w:firstLine="720"/>
        <w:jc w:val="both"/>
        <w:rPr>
          <w:rFonts w:cs="Times New Roman"/>
          <w:sz w:val="24"/>
        </w:rPr>
      </w:pPr>
      <w:r w:rsidRPr="00007F55">
        <w:rPr>
          <w:rFonts w:cs="Times New Roman"/>
          <w:sz w:val="24"/>
        </w:rPr>
        <w:t xml:space="preserve">Visually impaired individuals traditionally relied on the assistance and good will </w:t>
      </w:r>
      <w:r w:rsidR="00007F55" w:rsidRPr="00007F55">
        <w:rPr>
          <w:rFonts w:cs="Times New Roman"/>
          <w:sz w:val="24"/>
        </w:rPr>
        <w:t xml:space="preserve">of others for </w:t>
      </w:r>
      <w:r w:rsidRPr="00007F55">
        <w:rPr>
          <w:rFonts w:cs="Times New Roman"/>
          <w:sz w:val="24"/>
        </w:rPr>
        <w:t>their everyday needs. This was due to the lack of basic accessib</w:t>
      </w:r>
      <w:r w:rsidR="00007F55" w:rsidRPr="00007F55">
        <w:rPr>
          <w:rFonts w:cs="Times New Roman"/>
          <w:sz w:val="24"/>
        </w:rPr>
        <w:t xml:space="preserve">ility affordances when carrying </w:t>
      </w:r>
      <w:r w:rsidRPr="00007F55">
        <w:rPr>
          <w:rFonts w:cs="Times New Roman"/>
          <w:sz w:val="24"/>
        </w:rPr>
        <w:t>out many daily life activities. Travelling alone was hard or ev</w:t>
      </w:r>
      <w:r w:rsidR="00007F55" w:rsidRPr="00007F55">
        <w:rPr>
          <w:rFonts w:cs="Times New Roman"/>
          <w:sz w:val="24"/>
        </w:rPr>
        <w:t xml:space="preserve">en dangerous due to the lack of </w:t>
      </w:r>
      <w:r w:rsidRPr="00007F55">
        <w:rPr>
          <w:rFonts w:cs="Times New Roman"/>
          <w:sz w:val="24"/>
        </w:rPr>
        <w:t>carefully constructed sidewalks, or due to the inaccessibility of pub</w:t>
      </w:r>
      <w:r w:rsidR="00007F55" w:rsidRPr="00007F55">
        <w:rPr>
          <w:rFonts w:cs="Times New Roman"/>
          <w:sz w:val="24"/>
        </w:rPr>
        <w:t xml:space="preserve">lic transport, which lacked any </w:t>
      </w:r>
      <w:r w:rsidRPr="00007F55">
        <w:rPr>
          <w:rFonts w:cs="Times New Roman"/>
          <w:sz w:val="24"/>
        </w:rPr>
        <w:t>form of audio announcements [6]. This fact made venturing outsid</w:t>
      </w:r>
      <w:r w:rsidR="00007F55" w:rsidRPr="00007F55">
        <w:rPr>
          <w:rFonts w:cs="Times New Roman"/>
          <w:sz w:val="24"/>
        </w:rPr>
        <w:t xml:space="preserve">e one’s familiar place of living </w:t>
      </w:r>
      <w:r w:rsidRPr="00007F55">
        <w:rPr>
          <w:rFonts w:cs="Times New Roman"/>
          <w:sz w:val="24"/>
        </w:rPr>
        <w:t>to be only undertaken by the truly adventurous of visually i</w:t>
      </w:r>
      <w:r w:rsidR="00007F55" w:rsidRPr="00007F55">
        <w:rPr>
          <w:rFonts w:cs="Times New Roman"/>
          <w:sz w:val="24"/>
        </w:rPr>
        <w:t xml:space="preserve">mpaired individuals. Meanwhile, </w:t>
      </w:r>
      <w:r w:rsidRPr="00007F55">
        <w:rPr>
          <w:rFonts w:cs="Times New Roman"/>
          <w:sz w:val="24"/>
        </w:rPr>
        <w:t>finding one’s way in unknown buildings was impossible due to</w:t>
      </w:r>
      <w:r w:rsidR="00007F55" w:rsidRPr="00007F55">
        <w:rPr>
          <w:rFonts w:cs="Times New Roman"/>
          <w:sz w:val="24"/>
        </w:rPr>
        <w:t xml:space="preserve"> the lack of Braille signage on </w:t>
      </w:r>
      <w:r w:rsidRPr="00007F55">
        <w:rPr>
          <w:rFonts w:cs="Times New Roman"/>
          <w:sz w:val="24"/>
        </w:rPr>
        <w:t>building doors and elevators, in addition to the deficiencies pres</w:t>
      </w:r>
      <w:r w:rsidR="00007F55" w:rsidRPr="00007F55">
        <w:rPr>
          <w:rFonts w:cs="Times New Roman"/>
          <w:sz w:val="24"/>
        </w:rPr>
        <w:t xml:space="preserve">ent in safety regulations. This </w:t>
      </w:r>
      <w:r w:rsidRPr="00007F55">
        <w:rPr>
          <w:rFonts w:cs="Times New Roman"/>
          <w:sz w:val="24"/>
        </w:rPr>
        <w:t>further exacerbated the mobility difficulties experienced by suc</w:t>
      </w:r>
      <w:r w:rsidR="00007F55" w:rsidRPr="00007F55">
        <w:rPr>
          <w:rFonts w:cs="Times New Roman"/>
          <w:sz w:val="24"/>
        </w:rPr>
        <w:t xml:space="preserve">h individuals solidifying their </w:t>
      </w:r>
      <w:r w:rsidRPr="00007F55">
        <w:rPr>
          <w:rFonts w:cs="Times New Roman"/>
          <w:sz w:val="24"/>
        </w:rPr>
        <w:t>social isolation. Any written form of communication was off-</w:t>
      </w:r>
      <w:r w:rsidR="00007F55" w:rsidRPr="00007F55">
        <w:rPr>
          <w:rFonts w:cs="Times New Roman"/>
          <w:sz w:val="24"/>
        </w:rPr>
        <w:t xml:space="preserve">limits to blind individuals and </w:t>
      </w:r>
      <w:r w:rsidRPr="00007F55">
        <w:rPr>
          <w:rFonts w:cs="Times New Roman"/>
          <w:sz w:val="24"/>
        </w:rPr>
        <w:t>barely usable by partially sighted people, a fact which was detrimen</w:t>
      </w:r>
      <w:r w:rsidR="00007F55" w:rsidRPr="00007F55">
        <w:rPr>
          <w:rFonts w:cs="Times New Roman"/>
          <w:sz w:val="24"/>
        </w:rPr>
        <w:t xml:space="preserve">tal to the education of this </w:t>
      </w:r>
      <w:r w:rsidRPr="00007F55">
        <w:rPr>
          <w:rFonts w:cs="Times New Roman"/>
          <w:sz w:val="24"/>
        </w:rPr>
        <w:t>segment of the population.</w:t>
      </w:r>
      <w:r w:rsidR="00007F55">
        <w:rPr>
          <w:rFonts w:cs="Times New Roman"/>
          <w:sz w:val="24"/>
        </w:rPr>
        <w:t xml:space="preserve"> (</w:t>
      </w:r>
      <w:proofErr w:type="spellStart"/>
      <w:r w:rsidR="00007F55" w:rsidRPr="00007F55">
        <w:rPr>
          <w:rFonts w:cs="Times New Roman"/>
          <w:sz w:val="24"/>
        </w:rPr>
        <w:t>Nektarios</w:t>
      </w:r>
      <w:proofErr w:type="spellEnd"/>
      <w:r w:rsidR="00007F55" w:rsidRPr="00007F55">
        <w:rPr>
          <w:rFonts w:cs="Times New Roman"/>
          <w:sz w:val="24"/>
        </w:rPr>
        <w:t xml:space="preserve"> </w:t>
      </w:r>
      <w:proofErr w:type="spellStart"/>
      <w:r w:rsidR="00007F55" w:rsidRPr="00007F55">
        <w:rPr>
          <w:rFonts w:cs="Times New Roman"/>
          <w:sz w:val="24"/>
        </w:rPr>
        <w:t>Paisios</w:t>
      </w:r>
      <w:proofErr w:type="spellEnd"/>
      <w:r w:rsidR="00007F55">
        <w:rPr>
          <w:rFonts w:cs="Times New Roman"/>
          <w:sz w:val="24"/>
        </w:rPr>
        <w:t>, 2012) It was given that in the study made by</w:t>
      </w:r>
      <w:r w:rsidR="00BA6712">
        <w:rPr>
          <w:rFonts w:cs="Times New Roman"/>
          <w:sz w:val="24"/>
        </w:rPr>
        <w:t xml:space="preserve"> </w:t>
      </w:r>
      <w:proofErr w:type="spellStart"/>
      <w:r w:rsidR="00BA6712">
        <w:rPr>
          <w:rFonts w:cs="Times New Roman"/>
          <w:sz w:val="24"/>
        </w:rPr>
        <w:t>Nektarios</w:t>
      </w:r>
      <w:proofErr w:type="spellEnd"/>
      <w:r w:rsidR="00BA6712">
        <w:rPr>
          <w:rFonts w:cs="Times New Roman"/>
          <w:sz w:val="24"/>
        </w:rPr>
        <w:t xml:space="preserve"> about </w:t>
      </w:r>
      <w:r w:rsidR="00BA6712" w:rsidRPr="00BA6712">
        <w:rPr>
          <w:rFonts w:cs="Times New Roman"/>
          <w:sz w:val="24"/>
        </w:rPr>
        <w:t>Mob</w:t>
      </w:r>
      <w:r w:rsidR="00BA6712">
        <w:rPr>
          <w:rFonts w:cs="Times New Roman"/>
          <w:sz w:val="24"/>
        </w:rPr>
        <w:t xml:space="preserve">ile Accessibility Tools for the </w:t>
      </w:r>
      <w:r w:rsidR="00BA6712" w:rsidRPr="00BA6712">
        <w:rPr>
          <w:rFonts w:cs="Times New Roman"/>
          <w:sz w:val="24"/>
        </w:rPr>
        <w:t>Visually Impaired</w:t>
      </w:r>
      <w:r w:rsidR="00BA6712">
        <w:rPr>
          <w:rFonts w:cs="Times New Roman"/>
          <w:sz w:val="24"/>
        </w:rPr>
        <w:t>, limits within the objects with texts are seen.</w:t>
      </w:r>
      <w:bookmarkStart w:id="0" w:name="_GoBack"/>
      <w:bookmarkEnd w:id="0"/>
    </w:p>
    <w:sectPr w:rsidR="006F7168" w:rsidRPr="00007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888"/>
    <w:multiLevelType w:val="hybridMultilevel"/>
    <w:tmpl w:val="39280170"/>
    <w:lvl w:ilvl="0" w:tplc="6B088CA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DE658F"/>
    <w:multiLevelType w:val="hybridMultilevel"/>
    <w:tmpl w:val="2034CE3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845E2D"/>
    <w:multiLevelType w:val="hybridMultilevel"/>
    <w:tmpl w:val="247E5D10"/>
    <w:lvl w:ilvl="0" w:tplc="CB72586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13155A4"/>
    <w:multiLevelType w:val="hybridMultilevel"/>
    <w:tmpl w:val="95848A7C"/>
    <w:lvl w:ilvl="0" w:tplc="EA7C40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64A02F4"/>
    <w:multiLevelType w:val="hybridMultilevel"/>
    <w:tmpl w:val="8B96978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7184CBE"/>
    <w:multiLevelType w:val="hybridMultilevel"/>
    <w:tmpl w:val="9B582D5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F6830AC"/>
    <w:multiLevelType w:val="hybridMultilevel"/>
    <w:tmpl w:val="368E369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07208CC"/>
    <w:multiLevelType w:val="hybridMultilevel"/>
    <w:tmpl w:val="AE3CC49C"/>
    <w:lvl w:ilvl="0" w:tplc="A3C064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F3B40FC"/>
    <w:multiLevelType w:val="hybridMultilevel"/>
    <w:tmpl w:val="06A665FE"/>
    <w:lvl w:ilvl="0" w:tplc="ACB046B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D8B4492"/>
    <w:multiLevelType w:val="hybridMultilevel"/>
    <w:tmpl w:val="147EA7D4"/>
    <w:lvl w:ilvl="0" w:tplc="638C6C1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04A0838"/>
    <w:multiLevelType w:val="hybridMultilevel"/>
    <w:tmpl w:val="E1AAD8C4"/>
    <w:lvl w:ilvl="0" w:tplc="350C875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9562056"/>
    <w:multiLevelType w:val="hybridMultilevel"/>
    <w:tmpl w:val="C5864C54"/>
    <w:lvl w:ilvl="0" w:tplc="9AD4379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2"/>
  </w:num>
  <w:num w:numId="3">
    <w:abstractNumId w:val="8"/>
  </w:num>
  <w:num w:numId="4">
    <w:abstractNumId w:val="0"/>
  </w:num>
  <w:num w:numId="5">
    <w:abstractNumId w:val="7"/>
  </w:num>
  <w:num w:numId="6">
    <w:abstractNumId w:val="3"/>
  </w:num>
  <w:num w:numId="7">
    <w:abstractNumId w:val="9"/>
  </w:num>
  <w:num w:numId="8">
    <w:abstractNumId w:val="1"/>
  </w:num>
  <w:num w:numId="9">
    <w:abstractNumId w:val="4"/>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F6"/>
    <w:rsid w:val="00007F55"/>
    <w:rsid w:val="000203D8"/>
    <w:rsid w:val="00080134"/>
    <w:rsid w:val="00106091"/>
    <w:rsid w:val="002C6BBE"/>
    <w:rsid w:val="004553A7"/>
    <w:rsid w:val="00527FD2"/>
    <w:rsid w:val="0064100C"/>
    <w:rsid w:val="006A5D65"/>
    <w:rsid w:val="006C338A"/>
    <w:rsid w:val="006F7168"/>
    <w:rsid w:val="00770CBF"/>
    <w:rsid w:val="007C0AC9"/>
    <w:rsid w:val="008B0EF6"/>
    <w:rsid w:val="008F2CB6"/>
    <w:rsid w:val="009D600D"/>
    <w:rsid w:val="00AF2E71"/>
    <w:rsid w:val="00BA6712"/>
    <w:rsid w:val="00DE476D"/>
    <w:rsid w:val="00E53296"/>
    <w:rsid w:val="00F15313"/>
    <w:rsid w:val="00FC1E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EEC9"/>
  <w15:chartTrackingRefBased/>
  <w15:docId w15:val="{BB719DB4-984E-4527-9C8A-398AE7CB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2398">
      <w:bodyDiv w:val="1"/>
      <w:marLeft w:val="0"/>
      <w:marRight w:val="0"/>
      <w:marTop w:val="0"/>
      <w:marBottom w:val="0"/>
      <w:divBdr>
        <w:top w:val="none" w:sz="0" w:space="0" w:color="auto"/>
        <w:left w:val="none" w:sz="0" w:space="0" w:color="auto"/>
        <w:bottom w:val="none" w:sz="0" w:space="0" w:color="auto"/>
        <w:right w:val="none" w:sz="0" w:space="0" w:color="auto"/>
      </w:divBdr>
    </w:div>
    <w:div w:id="856387265">
      <w:bodyDiv w:val="1"/>
      <w:marLeft w:val="0"/>
      <w:marRight w:val="0"/>
      <w:marTop w:val="0"/>
      <w:marBottom w:val="0"/>
      <w:divBdr>
        <w:top w:val="none" w:sz="0" w:space="0" w:color="auto"/>
        <w:left w:val="none" w:sz="0" w:space="0" w:color="auto"/>
        <w:bottom w:val="none" w:sz="0" w:space="0" w:color="auto"/>
        <w:right w:val="none" w:sz="0" w:space="0" w:color="auto"/>
      </w:divBdr>
    </w:div>
    <w:div w:id="1310673457">
      <w:bodyDiv w:val="1"/>
      <w:marLeft w:val="0"/>
      <w:marRight w:val="0"/>
      <w:marTop w:val="0"/>
      <w:marBottom w:val="0"/>
      <w:divBdr>
        <w:top w:val="none" w:sz="0" w:space="0" w:color="auto"/>
        <w:left w:val="none" w:sz="0" w:space="0" w:color="auto"/>
        <w:bottom w:val="none" w:sz="0" w:space="0" w:color="auto"/>
        <w:right w:val="none" w:sz="0" w:space="0" w:color="auto"/>
      </w:divBdr>
    </w:div>
    <w:div w:id="1729187801">
      <w:bodyDiv w:val="1"/>
      <w:marLeft w:val="0"/>
      <w:marRight w:val="0"/>
      <w:marTop w:val="0"/>
      <w:marBottom w:val="0"/>
      <w:divBdr>
        <w:top w:val="none" w:sz="0" w:space="0" w:color="auto"/>
        <w:left w:val="none" w:sz="0" w:space="0" w:color="auto"/>
        <w:bottom w:val="none" w:sz="0" w:space="0" w:color="auto"/>
        <w:right w:val="none" w:sz="0" w:space="0" w:color="auto"/>
      </w:divBdr>
    </w:div>
    <w:div w:id="1950316096">
      <w:bodyDiv w:val="1"/>
      <w:marLeft w:val="0"/>
      <w:marRight w:val="0"/>
      <w:marTop w:val="0"/>
      <w:marBottom w:val="0"/>
      <w:divBdr>
        <w:top w:val="none" w:sz="0" w:space="0" w:color="auto"/>
        <w:left w:val="none" w:sz="0" w:space="0" w:color="auto"/>
        <w:bottom w:val="none" w:sz="0" w:space="0" w:color="auto"/>
        <w:right w:val="none" w:sz="0" w:space="0" w:color="auto"/>
      </w:divBdr>
    </w:div>
    <w:div w:id="19841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Amurao</dc:creator>
  <cp:keywords/>
  <dc:description/>
  <cp:lastModifiedBy>Stephanie Amurao</cp:lastModifiedBy>
  <cp:revision>8</cp:revision>
  <dcterms:created xsi:type="dcterms:W3CDTF">2016-07-31T18:49:00Z</dcterms:created>
  <dcterms:modified xsi:type="dcterms:W3CDTF">2016-08-02T06:37:00Z</dcterms:modified>
</cp:coreProperties>
</file>