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sz w:val="24"/>
          <w:szCs w:val="24"/>
        </w:rPr>
        <w:t xml:space="preserve">Part B: Interpreting the intercept and the slope</w:t>
      </w:r>
    </w:p>
    <w:p>
      <w:pPr>
        <w:spacing w:after="160" w:line="276"/>
      </w:pPr>
      <w:r>
        <w:rPr>
          <w:rFonts w:ascii="Arial" w:cs="Arial" w:eastAsia="Arial" w:hAnsi="Arial"/>
          <w:sz w:val="22"/>
          <w:szCs w:val="22"/>
        </w:rPr>
        <w:t xml:space="preserve">Part A gave us the fitted line, estimated on all 500 lots with both variables in dollars: </w:t>
      </w:r>
      <w:r>
        <w:rPr>
          <w:rFonts w:ascii="Arial" w:cs="Arial" w:eastAsia="Arial" w:hAnsi="Arial"/>
          <w:b/>
          <w:bCs/>
          <w:sz w:val="22"/>
          <w:szCs w:val="22"/>
        </w:rPr>
        <w:t xml:space="preserve">Predicted Hammer Price = −36,182 + 2.534 × AI Estimated Value</w:t>
      </w:r>
      <w:r>
        <w:rPr>
          <w:rFonts w:ascii="Arial" w:cs="Arial" w:eastAsia="Arial" w:hAnsi="Arial"/>
          <w:sz w:val="22"/>
          <w:szCs w:val="22"/>
        </w:rPr>
        <w:t xml:space="preserve">. What follows is what those two numbers mean for AuraTech, and what they would look like if the algorithm did what the company says it does. </w:t>
      </w:r>
      <w:r>
        <w:rPr>
          <w:rFonts w:ascii="Arial" w:cs="Arial" w:eastAsia="Arial" w:hAnsi="Arial"/>
          <w:sz w:val="22"/>
          <w:szCs w:val="22"/>
          <w:highlight w:val="yellow"/>
          <w:highlightCs w:val="yellow"/>
        </w:rPr>
        <w:t xml:space="preserve">[Lecture 7, slide 21; Lecture 8, slide 13: b0 and b1 are the sample estimates of the population parameters β0 and β1]</w:t>
      </w:r>
    </w:p>
    <w:p>
      <w:pPr>
        <w:spacing w:after="120" w:before="200"/>
      </w:pPr>
      <w:r>
        <w:rPr>
          <w:rFonts w:ascii="Arial" w:cs="Arial" w:eastAsia="Arial" w:hAnsi="Arial"/>
          <w:b/>
          <w:bCs/>
          <w:sz w:val="22"/>
          <w:szCs w:val="22"/>
        </w:rPr>
        <w:t xml:space="preserve">The intercept: −$36,182</w:t>
      </w:r>
    </w:p>
    <w:p>
      <w:pPr>
        <w:spacing w:after="160" w:line="276"/>
      </w:pPr>
      <w:r>
        <w:rPr>
          <w:rFonts w:ascii="Arial" w:cs="Arial" w:eastAsia="Arial" w:hAnsi="Arial"/>
          <w:sz w:val="22"/>
          <w:szCs w:val="22"/>
        </w:rPr>
        <w:t xml:space="preserve">Read literally, the intercept says that a piece the AI values at zero would sell for −$36,182. </w:t>
      </w:r>
      <w:r>
        <w:rPr>
          <w:rFonts w:ascii="Arial" w:cs="Arial" w:eastAsia="Arial" w:hAnsi="Arial"/>
          <w:sz w:val="22"/>
          <w:szCs w:val="22"/>
          <w:highlight w:val="yellow"/>
          <w:highlightCs w:val="yellow"/>
        </w:rPr>
        <w:t xml:space="preserve">[Lecture 7, slide 29]</w:t>
      </w:r>
      <w:r>
        <w:rPr>
          <w:rFonts w:ascii="Arial" w:cs="Arial" w:eastAsia="Arial" w:hAnsi="Arial"/>
          <w:sz w:val="22"/>
          <w:szCs w:val="22"/>
        </w:rPr>
        <w:t xml:space="preserve"> That is not a number anyone can use. No artwork sells for a negative price, and the cheapest lot in the file was appraised at $100, so an AI estimate of zero sits well outside the range we observed and the prediction there is pure extrapolation. </w:t>
      </w:r>
      <w:r>
        <w:rPr>
          <w:rFonts w:ascii="Arial" w:cs="Arial" w:eastAsia="Arial" w:hAnsi="Arial"/>
          <w:sz w:val="22"/>
          <w:szCs w:val="22"/>
          <w:highlight w:val="yellow"/>
          <w:highlightCs w:val="yellow"/>
        </w:rPr>
        <w:t xml:space="preserve">[Lecture 7, slide 30: be cautious with the intercept when x = 0 is outside the sample range]</w:t>
      </w:r>
    </w:p>
    <w:p>
      <w:pPr>
        <w:spacing w:after="160" w:line="276"/>
      </w:pPr>
      <w:r>
        <w:rPr>
          <w:rFonts w:ascii="Arial" w:cs="Arial" w:eastAsia="Arial" w:hAnsi="Arial"/>
          <w:sz w:val="22"/>
          <w:szCs w:val="22"/>
        </w:rPr>
        <w:t xml:space="preserve">Most of what the intercept does here is mechanical. Least squares forces the line through the average piece, which in this sample means an AI estimate of $27,472 and a hammer price of $33,429, and the intercept is whatever value makes that happen: 33,429 − 2.534 × 27,472 ≈ −36,182. </w:t>
      </w:r>
      <w:r>
        <w:rPr>
          <w:rFonts w:ascii="Arial" w:cs="Arial" w:eastAsia="Arial" w:hAnsi="Arial"/>
          <w:sz w:val="22"/>
          <w:szCs w:val="22"/>
          <w:highlight w:val="yellow"/>
          <w:highlightCs w:val="yellow"/>
        </w:rPr>
        <w:t xml:space="preserve">[Lecture 7, slide 26: b0 = ȳ − b1x̄]</w:t>
      </w:r>
    </w:p>
    <w:p>
      <w:pPr>
        <w:spacing w:after="160" w:line="276"/>
      </w:pPr>
      <w:r>
        <w:rPr>
          <w:rFonts w:ascii="Arial" w:cs="Arial" w:eastAsia="Arial" w:hAnsi="Arial"/>
          <w:sz w:val="22"/>
          <w:szCs w:val="22"/>
        </w:rPr>
        <w:t xml:space="preserve">It does carry one consequence worth putting in front of the partners. Because it is large and negative, the fitted line dips below zero for any piece the AI values under roughly $14,280. That covers 167 of the 500 lots, a third of the sample, while the lowest price anyone actually paid at auction was $600. Whatever this model is capturing, it is not describing the cheaper end of the market.</w:t>
      </w:r>
    </w:p>
    <w:p>
      <w:pPr>
        <w:spacing w:after="120" w:before="200"/>
      </w:pPr>
      <w:r>
        <w:rPr>
          <w:rFonts w:ascii="Arial" w:cs="Arial" w:eastAsia="Arial" w:hAnsi="Arial"/>
          <w:b/>
          <w:bCs/>
          <w:sz w:val="22"/>
          <w:szCs w:val="22"/>
        </w:rPr>
        <w:t xml:space="preserve">The slope: 2.53</w:t>
      </w:r>
    </w:p>
    <w:p>
      <w:pPr>
        <w:spacing w:after="160" w:line="276"/>
      </w:pPr>
      <w:r>
        <w:rPr>
          <w:rFonts w:ascii="Arial" w:cs="Arial" w:eastAsia="Arial" w:hAnsi="Arial"/>
          <w:sz w:val="22"/>
          <w:szCs w:val="22"/>
        </w:rPr>
        <w:t xml:space="preserve">The slope says that a piece the AI values $1 higher sells for about $2.53 more at auction, so a $10,000 gap between two appraisals goes with roughly a $25,300 gap in what buyers pay. </w:t>
      </w:r>
      <w:r>
        <w:rPr>
          <w:rFonts w:ascii="Arial" w:cs="Arial" w:eastAsia="Arial" w:hAnsi="Arial"/>
          <w:sz w:val="22"/>
          <w:szCs w:val="22"/>
          <w:highlight w:val="yellow"/>
          <w:highlightCs w:val="yellow"/>
        </w:rPr>
        <w:t xml:space="preserve">[Lecture 7, slide 31: the slope is the change in y associated with a one-unit change in x, and can be scaled]</w:t>
      </w:r>
      <w:r>
        <w:rPr>
          <w:rFonts w:ascii="Arial" w:cs="Arial" w:eastAsia="Arial" w:hAnsi="Arial"/>
          <w:sz w:val="22"/>
          <w:szCs w:val="22"/>
        </w:rPr>
        <w:t xml:space="preserve"> The 95% confidence interval runs from 2.39 to 2.68. </w:t>
      </w:r>
      <w:r>
        <w:rPr>
          <w:rFonts w:ascii="Arial" w:cs="Arial" w:eastAsia="Arial" w:hAnsi="Arial"/>
          <w:sz w:val="22"/>
          <w:szCs w:val="22"/>
          <w:highlight w:val="yellow"/>
          <w:highlightCs w:val="yellow"/>
        </w:rPr>
        <w:t xml:space="preserve">[Lecture 8, slide 30: b1 ± t(0.025, n−2) × se(b1)]</w:t>
      </w:r>
      <w:r>
        <w:rPr>
          <w:rFonts w:ascii="Arial" w:cs="Arial" w:eastAsia="Arial" w:hAnsi="Arial"/>
          <w:sz w:val="22"/>
          <w:szCs w:val="22"/>
        </w:rPr>
        <w:t xml:space="preserve"> We would describe this as an association rather than an effect, since the AI estimate is a forecast we are grading and not something that moves the price. </w:t>
      </w:r>
      <w:r>
        <w:rPr>
          <w:rFonts w:ascii="Arial" w:cs="Arial" w:eastAsia="Arial" w:hAnsi="Arial"/>
          <w:sz w:val="22"/>
          <w:szCs w:val="22"/>
          <w:highlight w:val="yellow"/>
          <w:highlightCs w:val="yellow"/>
        </w:rPr>
        <w:t xml:space="preserve">[Lecture 7, slide 32: “associated with,” not “caused by”]</w:t>
      </w:r>
    </w:p>
    <w:p>
      <w:pPr>
        <w:spacing w:after="160" w:line="276"/>
      </w:pPr>
      <w:r>
        <w:rPr>
          <w:rFonts w:ascii="Arial" w:cs="Arial" w:eastAsia="Arial" w:hAnsi="Arial"/>
          <w:sz w:val="22"/>
          <w:szCs w:val="22"/>
        </w:rPr>
        <w:t xml:space="preserve">What should catch the partners’ attention is that 2.53 is nowhere near 1. If the algorithm spoke the same language as the auction room, a dollar more on the appraisal would mean a dollar more at the hammer. At 2.53, the AI’s estimates are compressed relative to real prices, which makes the model too generous on inexpensive pieces and too conservative on expensive ones. The two lines cross at an AI estimate of about $23,600, the one point where our prediction and the AI’s own number agree.</w:t>
      </w:r>
    </w:p>
    <w:p>
      <w:pPr>
        <w:spacing w:after="120" w:before="200"/>
      </w:pPr>
      <w:r>
        <w:rPr>
          <w:rFonts w:ascii="Arial" w:cs="Arial" w:eastAsia="Arial" w:hAnsi="Arial"/>
          <w:b/>
          <w:bCs/>
          <w:sz w:val="22"/>
          <w:szCs w:val="22"/>
        </w:rPr>
        <w:t xml:space="preserve">What kind of slope this is</w:t>
      </w:r>
    </w:p>
    <w:p>
      <w:pPr>
        <w:spacing w:after="160" w:line="276"/>
      </w:pPr>
      <w:r>
        <w:rPr>
          <w:rFonts w:ascii="Arial" w:cs="Arial" w:eastAsia="Arial" w:hAnsi="Arial"/>
          <w:sz w:val="22"/>
          <w:szCs w:val="22"/>
        </w:rPr>
        <w:t xml:space="preserve">One caveat on that 2.53. With a single explanatory variable it is a marginal slope, so it quietly carries along everything correlated with the AI estimate: the artist, the medium, and above all the auction house’s own reading of the piece. </w:t>
      </w:r>
      <w:r>
        <w:rPr>
          <w:rFonts w:ascii="Arial" w:cs="Arial" w:eastAsia="Arial" w:hAnsi="Arial"/>
          <w:sz w:val="22"/>
          <w:szCs w:val="22"/>
          <w:highlight w:val="yellow"/>
          <w:highlightCs w:val="yellow"/>
        </w:rPr>
        <w:t xml:space="preserve">[Lecture 9, slide 25: marginal and partial slopes coincide only when the explanatory variables are uncorrelated]</w:t>
      </w:r>
    </w:p>
    <w:p>
      <w:pPr>
        <w:spacing w:after="160" w:line="276"/>
      </w:pPr>
      <w:r>
        <w:rPr>
          <w:rFonts w:ascii="Arial" w:cs="Arial" w:eastAsia="Arial" w:hAnsi="Arial"/>
          <w:sz w:val="22"/>
          <w:szCs w:val="22"/>
        </w:rPr>
        <w:t xml:space="preserve">That last point is not hypothetical. In this sample the AI estimate and the auction house low estimate move together with a correlation of 0.95. </w:t>
      </w:r>
      <w:r>
        <w:rPr>
          <w:rFonts w:ascii="Arial" w:cs="Arial" w:eastAsia="Arial" w:hAnsi="Arial"/>
          <w:sz w:val="22"/>
          <w:szCs w:val="22"/>
          <w:highlight w:val="yellow"/>
          <w:highlightCs w:val="yellow"/>
        </w:rPr>
        <w:t xml:space="preserve">[Lecture 9, slide 22: look at the correlation matrix before running regressions]</w:t>
      </w:r>
      <w:r>
        <w:rPr>
          <w:rFonts w:ascii="Arial" w:cs="Arial" w:eastAsia="Arial" w:hAnsi="Arial"/>
          <w:sz w:val="22"/>
          <w:szCs w:val="22"/>
        </w:rPr>
        <w:t xml:space="preserve"> The two variables are close to telling us the same thing, so the slope we just interpreted credits AuraTech with information the traditional appraisers already provide. Part D returns to this, estimating the AI’s coefficient alongside the auction house estimate.</w:t>
      </w:r>
    </w:p>
    <w:p>
      <w:pPr>
        <w:spacing w:after="120" w:before="200"/>
      </w:pPr>
      <w:r>
        <w:rPr>
          <w:rFonts w:ascii="Arial" w:cs="Arial" w:eastAsia="Arial" w:hAnsi="Arial"/>
          <w:b/>
          <w:bCs/>
          <w:sz w:val="22"/>
          <w:szCs w:val="22"/>
        </w:rPr>
        <w:t xml:space="preserve">What a perfect predictor would look like</w:t>
      </w:r>
    </w:p>
    <w:p>
      <w:pPr>
        <w:spacing w:after="160" w:line="276"/>
      </w:pPr>
      <w:r>
        <w:rPr>
          <w:rFonts w:ascii="Arial" w:cs="Arial" w:eastAsia="Arial" w:hAnsi="Arial"/>
          <w:sz w:val="22"/>
          <w:szCs w:val="22"/>
        </w:rPr>
        <w:t xml:space="preserve">A perfect AI would price every piece exactly right, so the hammer price would equal the estimate and y = x. Written in the form of the model, y = β0 + β1x + ε, that is an intercept of zero and a slope of one: no flat adjustment in either direction, and a dollar for a dollar. </w:t>
      </w:r>
      <w:r>
        <w:rPr>
          <w:rFonts w:ascii="Arial" w:cs="Arial" w:eastAsia="Arial" w:hAnsi="Arial"/>
          <w:sz w:val="22"/>
          <w:szCs w:val="22"/>
          <w:highlight w:val="yellow"/>
          <w:highlightCs w:val="yellow"/>
        </w:rPr>
        <w:t xml:space="preserve">[Lecture 8, slide 12: population model]</w:t>
      </w:r>
      <w:r>
        <w:rPr>
          <w:rFonts w:ascii="Arial" w:cs="Arial" w:eastAsia="Arial" w:hAnsi="Arial"/>
          <w:sz w:val="22"/>
          <w:szCs w:val="22"/>
        </w:rPr>
        <w:t xml:space="preserve"> Perfection would also leave nothing unexplained, with s_e = 0 and R² = 1. </w:t>
      </w:r>
      <w:r>
        <w:rPr>
          <w:rFonts w:ascii="Arial" w:cs="Arial" w:eastAsia="Arial" w:hAnsi="Arial"/>
          <w:sz w:val="22"/>
          <w:szCs w:val="22"/>
          <w:highlight w:val="yellow"/>
          <w:highlightCs w:val="yellow"/>
        </w:rPr>
        <w:t xml:space="preserve">[Lecture 7, slides 38–40]</w:t>
      </w:r>
      <w:r>
        <w:rPr>
          <w:rFonts w:ascii="Arial" w:cs="Arial" w:eastAsia="Arial" w:hAnsi="Arial"/>
          <w:sz w:val="22"/>
          <w:szCs w:val="22"/>
        </w:rPr>
        <w:t xml:space="preserve"> A softer standard is an algorithm that is right on average but wrong on individual lots, which still implies β0 = 0 and β1 = 1, only with scatter around the line. How much scatter there is belongs to Part D.</w:t>
      </w:r>
    </w:p>
    <w:p>
      <w:pPr>
        <w:spacing w:after="160" w:line="276"/>
      </w:pPr>
      <w:r>
        <w:rPr>
          <w:rFonts w:ascii="Arial" w:cs="Arial" w:eastAsia="Arial" w:hAnsi="Arial"/>
          <w:sz w:val="22"/>
          <w:szCs w:val="22"/>
        </w:rPr>
        <w:t xml:space="preserve">AuraTech clears neither bar. The confidence interval for the intercept, −$42,332 to −$30,031, does not reach 0, and the interval for the slope, 2.39 to 2.68, does not reach 1. </w:t>
      </w:r>
      <w:r>
        <w:rPr>
          <w:rFonts w:ascii="Arial" w:cs="Arial" w:eastAsia="Arial" w:hAnsi="Arial"/>
          <w:sz w:val="22"/>
          <w:szCs w:val="22"/>
          <w:highlight w:val="yellow"/>
          <w:highlightCs w:val="yellow"/>
        </w:rPr>
        <w:t xml:space="preserve">[Lecture 8, slide 30]</w:t>
      </w:r>
      <w:r>
        <w:rPr>
          <w:rFonts w:ascii="Arial" w:cs="Arial" w:eastAsia="Arial" w:hAnsi="Arial"/>
          <w:sz w:val="22"/>
          <w:szCs w:val="22"/>
        </w:rPr>
        <w:t xml:space="preserve"> At the 5% level the data will not support the pair of values a correctly scaled appraiser would produce, so the Aura Estimated Value cannot be taken at face value as a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80"/>
        <w:gridCol w:w="2280"/>
        <w:gridCol w:w="2300"/>
      </w:tblGrid>
      <w:tr>
        <w:tc>
          <w:tcPr>
            <w:tcW w:type="dxa" w:w="25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jc w:val="left"/>
            </w:pPr>
            <w:r>
              <w:rPr>
                <w:rFonts w:ascii="Arial" w:cs="Arial" w:eastAsia="Arial" w:hAnsi="Arial"/>
                <w:b/>
                <w:bCs/>
                <w:sz w:val="20"/>
                <w:szCs w:val="20"/>
              </w:rPr>
              <w:t xml:space="preserve"/>
            </w:r>
          </w:p>
        </w:tc>
        <w:tc>
          <w:tcPr>
            <w:tcW w:type="dxa" w:w="228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jc w:val="center"/>
            </w:pPr>
            <w:r>
              <w:rPr>
                <w:rFonts w:ascii="Arial" w:cs="Arial" w:eastAsia="Arial" w:hAnsi="Arial"/>
                <w:b/>
                <w:bCs/>
                <w:sz w:val="20"/>
                <w:szCs w:val="20"/>
              </w:rPr>
              <w:t xml:space="preserve">Estimate (all 500 lots)</w:t>
            </w:r>
          </w:p>
        </w:tc>
        <w:tc>
          <w:tcPr>
            <w:tcW w:type="dxa" w:w="228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jc w:val="center"/>
            </w:pPr>
            <w:r>
              <w:rPr>
                <w:rFonts w:ascii="Arial" w:cs="Arial" w:eastAsia="Arial" w:hAnsi="Arial"/>
                <w:b/>
                <w:bCs/>
                <w:sz w:val="20"/>
                <w:szCs w:val="20"/>
              </w:rPr>
              <w:t xml:space="preserve">95% confidence interval</w:t>
            </w:r>
          </w:p>
        </w:tc>
        <w:tc>
          <w:tcPr>
            <w:tcW w:type="dxa" w:w="2300"/>
            <w:tcBorders>
              <w:top w:val="single" w:color="999999" w:sz="4"/>
              <w:left w:val="single" w:color="999999" w:sz="4"/>
              <w:bottom w:val="single" w:color="999999" w:sz="4"/>
              <w:right w:val="single" w:color="999999" w:sz="4"/>
            </w:tcBorders>
            <w:shd w:fill="E7E6E6" w:color="auto" w:val="clear"/>
            <w:tcMar>
              <w:top w:type="dxa" w:w="60"/>
              <w:left w:type="dxa" w:w="100"/>
              <w:bottom w:type="dxa" w:w="60"/>
              <w:right w:type="dxa" w:w="100"/>
            </w:tcMar>
          </w:tcPr>
          <w:p>
            <w:pPr>
              <w:jc w:val="center"/>
            </w:pPr>
            <w:r>
              <w:rPr>
                <w:rFonts w:ascii="Arial" w:cs="Arial" w:eastAsia="Arial" w:hAnsi="Arial"/>
                <w:b/>
                <w:bCs/>
                <w:sz w:val="20"/>
                <w:szCs w:val="20"/>
              </w:rPr>
              <w:t xml:space="preserve">Perfect-predictor value</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Intercept (b0)</w:t>
            </w:r>
          </w:p>
        </w:tc>
        <w:tc>
          <w:tcPr>
            <w:tcW w:type="dxa" w:w="22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−$36,182</w:t>
            </w:r>
          </w:p>
        </w:tc>
        <w:tc>
          <w:tcPr>
            <w:tcW w:type="dxa" w:w="22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[−$42,332, −$30,031]</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Slope (b1)</w:t>
            </w:r>
          </w:p>
        </w:tc>
        <w:tc>
          <w:tcPr>
            <w:tcW w:type="dxa" w:w="22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2.534</w:t>
            </w:r>
          </w:p>
        </w:tc>
        <w:tc>
          <w:tcPr>
            <w:tcW w:type="dxa" w:w="22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[2.390, 2.677]</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1.000</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Sensitivity: b0 without lot #35</w:t>
            </w:r>
          </w:p>
        </w:tc>
        <w:tc>
          <w:tcPr>
            <w:tcW w:type="dxa" w:w="22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−$4,723</w:t>
            </w:r>
          </w:p>
        </w:tc>
        <w:tc>
          <w:tcPr>
            <w:tcW w:type="dxa" w:w="22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[−$7,287, −$2,159]</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Sensitivity: b1 without lot #35</w:t>
            </w:r>
          </w:p>
        </w:tc>
        <w:tc>
          <w:tcPr>
            <w:tcW w:type="dxa" w:w="22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1.284</w:t>
            </w:r>
          </w:p>
        </w:tc>
        <w:tc>
          <w:tcPr>
            <w:tcW w:type="dxa" w:w="22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[1.214, 1.353]</w:t>
            </w:r>
          </w:p>
        </w:tc>
        <w:tc>
          <w:tcPr>
            <w:tcW w:type="dxa" w:w="23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1.000</w:t>
            </w:r>
          </w:p>
        </w:tc>
      </w:tr>
    </w:tbl>
    <w:p>
      <w:pPr>
        <w:spacing w:after="200" w:before="80"/>
      </w:pPr>
      <w:r>
        <w:rPr>
          <w:rFonts w:ascii="Arial" w:cs="Arial" w:eastAsia="Arial" w:hAnsi="Arial"/>
          <w:i/>
          <w:iCs/>
          <w:sz w:val="18"/>
          <w:szCs w:val="18"/>
        </w:rPr>
        <w:t xml:space="preserve">Source: our OLS estimates from AuraTech_Appraisals_2026.csv. The sensitivity rows exclude only lot #35.</w:t>
      </w:r>
    </w:p>
    <w:p>
      <w:pPr>
        <w:spacing w:after="120" w:before="200"/>
      </w:pPr>
      <w:r>
        <w:rPr>
          <w:rFonts w:ascii="Arial" w:cs="Arial" w:eastAsia="Arial" w:hAnsi="Arial"/>
          <w:b/>
          <w:bCs/>
          <w:sz w:val="22"/>
          <w:szCs w:val="22"/>
        </w:rPr>
        <w:t xml:space="preserve">One lot is doing much of the work</w:t>
      </w:r>
    </w:p>
    <w:p>
      <w:pPr>
        <w:spacing w:after="160" w:line="276"/>
      </w:pPr>
      <w:r>
        <w:rPr>
          <w:rFonts w:ascii="Arial" w:cs="Arial" w:eastAsia="Arial" w:hAnsi="Arial"/>
          <w:sz w:val="22"/>
          <w:szCs w:val="22"/>
        </w:rPr>
        <w:t xml:space="preserve">Before handing these numbers over, we plotted the data, which is where the story gets more complicated. </w:t>
      </w:r>
      <w:r>
        <w:rPr>
          <w:rFonts w:ascii="Arial" w:cs="Arial" w:eastAsia="Arial" w:hAnsi="Arial"/>
          <w:sz w:val="22"/>
          <w:szCs w:val="22"/>
          <w:highlight w:val="yellow"/>
          <w:highlightCs w:val="yellow"/>
        </w:rPr>
        <w:t xml:space="preserve">[Lecture 7, slides 41–43: Anscombe’s Quartet, don’t trust a summary you haven’t plotted]</w:t>
      </w:r>
      <w:r>
        <w:rPr>
          <w:rFonts w:ascii="Arial" w:cs="Arial" w:eastAsia="Arial" w:hAnsi="Arial"/>
          <w:sz w:val="22"/>
          <w:szCs w:val="22"/>
        </w:rPr>
        <w:t xml:space="preserve"> Lot #35, a Marino Marini bronze, has the highest AI estimate in the sample by a wide margin, $496,600 against $255,100 for the next one, and it sold for $2,078,000. A point sitting that far out along the horizontal axis pulls the fitted line toward itself. </w:t>
      </w:r>
      <w:r>
        <w:rPr>
          <w:rFonts w:ascii="Arial" w:cs="Arial" w:eastAsia="Arial" w:hAnsi="Arial"/>
          <w:sz w:val="22"/>
          <w:szCs w:val="22"/>
          <w:highlight w:val="yellow"/>
          <w:highlightCs w:val="yellow"/>
        </w:rPr>
        <w:t xml:space="preserve">[Textbook Ch. 22: leveraged observations]</w:t>
      </w:r>
    </w:p>
    <w:p>
      <w:pPr>
        <w:spacing w:after="160" w:line="276"/>
      </w:pPr>
      <w:r>
        <w:rPr>
          <w:rFonts w:ascii="Arial" w:cs="Arial" w:eastAsia="Arial" w:hAnsi="Arial"/>
          <w:sz w:val="22"/>
          <w:szCs w:val="22"/>
        </w:rPr>
        <w:t xml:space="preserve">Take that single lot out and the slope falls from 2.53 to 1.28 while the intercept rises from −$36,182 to −$4,723. Measured against the standard errors of the fit without it, the slope moves about 35 standard errors and the intercept about 24, far more than sampling variation would explain. </w:t>
      </w:r>
      <w:r>
        <w:rPr>
          <w:rFonts w:ascii="Arial" w:cs="Arial" w:eastAsia="Arial" w:hAnsi="Arial"/>
          <w:sz w:val="22"/>
          <w:szCs w:val="22"/>
          <w:highlight w:val="yellow"/>
          <w:highlightCs w:val="yellow"/>
        </w:rPr>
        <w:t xml:space="preserve">[Textbook Ch. 22: compare the two fits on the scale of the standard errors]</w:t>
      </w:r>
      <w:r>
        <w:rPr>
          <w:rFonts w:ascii="Arial" w:cs="Arial" w:eastAsia="Arial" w:hAnsi="Arial"/>
          <w:sz w:val="22"/>
          <w:szCs w:val="22"/>
        </w:rPr>
        <w:t xml:space="preserve"> For a typical piece in this file the hammer price is 0.95 times the AI estimate, which is a very different picture from 2.53. The multiplier is real only in the sense that one extraordinary sale put it there, and we would not want a partner quoting it in a meeting.</w:t>
      </w:r>
    </w:p>
    <w:p>
      <w:pPr>
        <w:spacing w:after="160" w:line="276"/>
      </w:pPr>
      <w:r>
        <w:rPr>
          <w:rFonts w:ascii="Arial" w:cs="Arial" w:eastAsia="Arial" w:hAnsi="Arial"/>
          <w:sz w:val="22"/>
          <w:szCs w:val="22"/>
        </w:rPr>
        <w:t xml:space="preserve">We left lot #35 in the reported regression. Bidding wars of that kind are part of how the fine art market behaves rather than a data error, and dropping awkward observations is how analysts talk themselves into flattering models. The textbook rule is to disclose and explain any exclusion, which is what the sensitivity rows above are for. </w:t>
      </w:r>
      <w:r>
        <w:rPr>
          <w:rFonts w:ascii="Arial" w:cs="Arial" w:eastAsia="Arial" w:hAnsi="Arial"/>
          <w:sz w:val="22"/>
          <w:szCs w:val="22"/>
          <w:highlight w:val="yellow"/>
          <w:highlightCs w:val="yellow"/>
        </w:rPr>
        <w:t xml:space="preserve">[Textbook Ch. 22]</w:t>
      </w:r>
      <w:r>
        <w:rPr>
          <w:rFonts w:ascii="Arial" w:cs="Arial" w:eastAsia="Arial" w:hAnsi="Arial"/>
          <w:sz w:val="22"/>
          <w:szCs w:val="22"/>
        </w:rPr>
        <w:t xml:space="preserve"> Part E picks this up in more detail. None of it changes the conclusion: without lot #35 the slope interval of 1.21 to 1.35 still misses 1, and the intercept interval of −$7,287 to −$2,159 still misses 0.</w:t>
      </w:r>
    </w:p>
    <w:p>
      <w:pPr>
        <w:spacing w:after="120" w:before="200"/>
      </w:pPr>
      <w:r>
        <w:rPr>
          <w:rFonts w:ascii="Arial" w:cs="Arial" w:eastAsia="Arial" w:hAnsi="Arial"/>
          <w:b/>
          <w:bCs/>
          <w:sz w:val="22"/>
          <w:szCs w:val="22"/>
        </w:rPr>
        <w:t xml:space="preserve">What this means for the investment decision</w:t>
      </w:r>
    </w:p>
    <w:p>
      <w:pPr>
        <w:spacing w:after="160" w:line="276"/>
      </w:pPr>
      <w:r>
        <w:rPr>
          <w:rFonts w:ascii="Arial" w:cs="Arial" w:eastAsia="Arial" w:hAnsi="Arial"/>
          <w:sz w:val="22"/>
          <w:szCs w:val="22"/>
        </w:rPr>
        <w:t xml:space="preserve">The AI estimate is informative. Pieces it rates highly do sell for more, and that is worth something. What it is not is a valuation. AuraTech wants to sell into art lending, insurance appraisal and private sales, and all three turn on the dollar figure itself rather than on a ranking of which piece beats which. On this evidence the number would have to be rescaled before anyone could lend against it, and the rescaling is unstable because it rests on a handful of very large lots. The question we would put to the founders is why the model runs off scale at the top of the market, since that is precisely where a lender or an insurer carries the most exposure.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2026-09-22T19:48:03.227Z</dcterms:created>
  <dcterms:modified xsi:type="dcterms:W3CDTF">2026-09-22T19:48:03.227Z</dcterms:modified>
</cp:coreProperties>
</file>

<file path=docProps/custom.xml><?xml version="1.0" encoding="utf-8"?>
<Properties xmlns="http://schemas.openxmlformats.org/officeDocument/2006/custom-properties" xmlns:vt="http://schemas.openxmlformats.org/officeDocument/2006/docPropsVTypes"/>
</file>