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6715" w14:textId="7303ADE6" w:rsidR="000674E6" w:rsidRPr="000674E6" w:rsidRDefault="00187475" w:rsidP="00015F12">
      <w:pPr>
        <w:jc w:val="both"/>
      </w:pPr>
      <w:r w:rsidRPr="00B7501D">
        <w:rPr>
          <w:b/>
          <w:bCs/>
        </w:rPr>
        <w:t>Q</w:t>
      </w:r>
      <w:r>
        <w:t xml:space="preserve">: </w:t>
      </w:r>
      <w:r w:rsidR="000674E6" w:rsidRPr="000674E6">
        <w:t>Find a real-world business example where it is difficult to correctly measure the relevant marginal cost of some activity. This is meant to be inspired by the lessons of John Deere. The particulars of that case can make it seem anomalous, but isolating the relevant cost metric is often quite difficult. Recall that the right measure of cost depends on the horizon of a decision.</w:t>
      </w:r>
    </w:p>
    <w:p w14:paraId="7A564AFF" w14:textId="77777777" w:rsidR="000674E6" w:rsidRPr="000674E6" w:rsidRDefault="000674E6" w:rsidP="00015F12">
      <w:pPr>
        <w:numPr>
          <w:ilvl w:val="0"/>
          <w:numId w:val="4"/>
        </w:numPr>
        <w:jc w:val="both"/>
      </w:pPr>
      <w:r w:rsidRPr="000674E6">
        <w:t>Identify a decision that must be made.</w:t>
      </w:r>
    </w:p>
    <w:p w14:paraId="5B880595" w14:textId="77777777" w:rsidR="000674E6" w:rsidRPr="000674E6" w:rsidRDefault="000674E6" w:rsidP="00015F12">
      <w:pPr>
        <w:numPr>
          <w:ilvl w:val="0"/>
          <w:numId w:val="4"/>
        </w:numPr>
        <w:jc w:val="both"/>
      </w:pPr>
      <w:r w:rsidRPr="000674E6">
        <w:t>State what the right measure of cost is for informing that decision.</w:t>
      </w:r>
    </w:p>
    <w:p w14:paraId="0C6D3889" w14:textId="49D57A95" w:rsidR="000674E6" w:rsidRDefault="000674E6" w:rsidP="000674E6">
      <w:pPr>
        <w:numPr>
          <w:ilvl w:val="0"/>
          <w:numId w:val="4"/>
        </w:numPr>
        <w:jc w:val="both"/>
      </w:pPr>
      <w:r w:rsidRPr="000674E6">
        <w:t>Explain why it is hard to measure that cost accurately.</w:t>
      </w:r>
    </w:p>
    <w:p w14:paraId="038CD95F" w14:textId="63F43020" w:rsidR="000674E6" w:rsidRPr="000674E6" w:rsidRDefault="000674E6" w:rsidP="00015F12">
      <w:pPr>
        <w:jc w:val="both"/>
      </w:pPr>
      <w:r w:rsidRPr="000674E6">
        <w:br/>
      </w:r>
      <w:r w:rsidR="00187475" w:rsidRPr="00B7501D">
        <w:rPr>
          <w:b/>
          <w:bCs/>
        </w:rPr>
        <w:t>A</w:t>
      </w:r>
      <w:r w:rsidR="00187475">
        <w:t>:</w:t>
      </w:r>
    </w:p>
    <w:p w14:paraId="4D7BB63A" w14:textId="77777777" w:rsidR="000674E6" w:rsidRPr="00406B10" w:rsidRDefault="000674E6" w:rsidP="00406B10">
      <w:pPr>
        <w:numPr>
          <w:ilvl w:val="0"/>
          <w:numId w:val="5"/>
        </w:numPr>
        <w:tabs>
          <w:tab w:val="clear" w:pos="720"/>
        </w:tabs>
        <w:ind w:left="360"/>
        <w:rPr>
          <w:b/>
          <w:bCs/>
        </w:rPr>
      </w:pPr>
      <w:r w:rsidRPr="000674E6">
        <w:rPr>
          <w:b/>
          <w:bCs/>
        </w:rPr>
        <w:t>Decision</w:t>
      </w:r>
    </w:p>
    <w:p w14:paraId="1E0AA910" w14:textId="067FDA77" w:rsidR="000674E6" w:rsidRPr="000674E6" w:rsidRDefault="00F52F42" w:rsidP="00015F12">
      <w:pPr>
        <w:ind w:left="450"/>
        <w:jc w:val="both"/>
      </w:pPr>
      <w:r w:rsidRPr="00F52F42">
        <w:t xml:space="preserve">In my technology-strategy experience, an organization had to decide whether to build and </w:t>
      </w:r>
      <w:r w:rsidR="00014A15">
        <w:t>run</w:t>
      </w:r>
      <w:r w:rsidRPr="00F52F42">
        <w:t xml:space="preserve"> an employee-allocation application internally or outsource it to a technology vendor</w:t>
      </w:r>
      <w:r w:rsidR="000674E6" w:rsidRPr="000674E6">
        <w:t>.</w:t>
      </w:r>
    </w:p>
    <w:p w14:paraId="1A04840F" w14:textId="77777777" w:rsidR="000674E6" w:rsidRPr="00406B10" w:rsidRDefault="000674E6" w:rsidP="00406B10">
      <w:pPr>
        <w:numPr>
          <w:ilvl w:val="0"/>
          <w:numId w:val="5"/>
        </w:numPr>
        <w:tabs>
          <w:tab w:val="clear" w:pos="720"/>
        </w:tabs>
        <w:ind w:left="360"/>
        <w:rPr>
          <w:b/>
          <w:bCs/>
        </w:rPr>
      </w:pPr>
      <w:r w:rsidRPr="000674E6">
        <w:rPr>
          <w:b/>
          <w:bCs/>
        </w:rPr>
        <w:t>Relevant cost</w:t>
      </w:r>
    </w:p>
    <w:p w14:paraId="3A4B0499" w14:textId="420FA09B" w:rsidR="000674E6" w:rsidRPr="000674E6" w:rsidRDefault="00D77DEE" w:rsidP="00B7501D">
      <w:pPr>
        <w:ind w:left="450"/>
        <w:jc w:val="both"/>
      </w:pPr>
      <w:r w:rsidRPr="00D77DEE">
        <w:t xml:space="preserve">The right comparison was between the marginal costs of the two options over the application’s expected life. Internal marginal costs included additional developers, licenses, infrastructure, updates, and support. Existing employee salaries or infrastructure costs should not automatically be included when spare capacity existed and those costs would be incurred regardless. </w:t>
      </w:r>
      <w:r w:rsidR="0058671F">
        <w:t>Also, t</w:t>
      </w:r>
      <w:r w:rsidRPr="00D77DEE">
        <w:t>he horizon mattered</w:t>
      </w:r>
      <w:r w:rsidR="0058671F">
        <w:t>. Indeed,</w:t>
      </w:r>
      <w:r w:rsidRPr="00D77DEE">
        <w:t xml:space="preserve"> existing resources might be sufficient in the short run, while </w:t>
      </w:r>
      <w:r w:rsidR="0068383E">
        <w:t xml:space="preserve">in the long run </w:t>
      </w:r>
      <w:r w:rsidRPr="00D77DEE">
        <w:t>maintenance could require dedicated employees, upgrades, or additional infrastructure. Outsourcing costs included the vendor’s “build-and-run” fees, integration, and vendor management</w:t>
      </w:r>
      <w:r w:rsidR="000674E6" w:rsidRPr="000674E6">
        <w:t>.</w:t>
      </w:r>
    </w:p>
    <w:p w14:paraId="6AFC308E" w14:textId="77777777" w:rsidR="000674E6" w:rsidRPr="00406B10" w:rsidRDefault="000674E6" w:rsidP="00406B10">
      <w:pPr>
        <w:numPr>
          <w:ilvl w:val="0"/>
          <w:numId w:val="5"/>
        </w:numPr>
        <w:tabs>
          <w:tab w:val="clear" w:pos="720"/>
        </w:tabs>
        <w:ind w:left="360"/>
        <w:rPr>
          <w:b/>
          <w:bCs/>
        </w:rPr>
      </w:pPr>
      <w:r w:rsidRPr="000674E6">
        <w:rPr>
          <w:b/>
          <w:bCs/>
        </w:rPr>
        <w:t>Why it was difficult to measure</w:t>
      </w:r>
    </w:p>
    <w:p w14:paraId="29BE7F59" w14:textId="67C01E65" w:rsidR="000674E6" w:rsidRPr="000674E6" w:rsidRDefault="00862434" w:rsidP="00D83897">
      <w:pPr>
        <w:ind w:left="450"/>
        <w:jc w:val="both"/>
      </w:pPr>
      <w:r w:rsidRPr="00862434">
        <w:t>Accurately measuring internal capacity was difficult. Employees who appeared available could already be supporting other projects or lack the required skills. Future maintenance needs were also uncertain. In addition, developers, infrastructure, cybersecurity, and management were shared across applications. Accounting systems could allocate these shared costs to the application, but those allocations did not necessarily show which costs would actually increase because of the decision</w:t>
      </w:r>
      <w:r w:rsidR="005F6829" w:rsidRPr="005F6829">
        <w:t>.</w:t>
      </w:r>
    </w:p>
    <w:p w14:paraId="6443160D" w14:textId="77777777" w:rsidR="00ED1083" w:rsidRDefault="00ED1083"/>
    <w:sectPr w:rsidR="00ED1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9FE"/>
    <w:multiLevelType w:val="multilevel"/>
    <w:tmpl w:val="3DA2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5734C"/>
    <w:multiLevelType w:val="multilevel"/>
    <w:tmpl w:val="E38277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2531F"/>
    <w:multiLevelType w:val="multilevel"/>
    <w:tmpl w:val="32C61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D3B7E"/>
    <w:multiLevelType w:val="multilevel"/>
    <w:tmpl w:val="2F30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8E6B22"/>
    <w:multiLevelType w:val="multilevel"/>
    <w:tmpl w:val="7180C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D475ED"/>
    <w:multiLevelType w:val="multilevel"/>
    <w:tmpl w:val="A7C0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B0598D"/>
    <w:multiLevelType w:val="multilevel"/>
    <w:tmpl w:val="96968A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316825">
    <w:abstractNumId w:val="5"/>
  </w:num>
  <w:num w:numId="2" w16cid:durableId="2035035889">
    <w:abstractNumId w:val="2"/>
  </w:num>
  <w:num w:numId="3" w16cid:durableId="520970378">
    <w:abstractNumId w:val="1"/>
  </w:num>
  <w:num w:numId="4" w16cid:durableId="1672874925">
    <w:abstractNumId w:val="3"/>
  </w:num>
  <w:num w:numId="5" w16cid:durableId="855924396">
    <w:abstractNumId w:val="0"/>
  </w:num>
  <w:num w:numId="6" w16cid:durableId="168183283">
    <w:abstractNumId w:val="4"/>
  </w:num>
  <w:num w:numId="7" w16cid:durableId="9633142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E6"/>
    <w:rsid w:val="00014A15"/>
    <w:rsid w:val="00015F12"/>
    <w:rsid w:val="00042008"/>
    <w:rsid w:val="000674E6"/>
    <w:rsid w:val="00070451"/>
    <w:rsid w:val="000A510A"/>
    <w:rsid w:val="00187475"/>
    <w:rsid w:val="00192D22"/>
    <w:rsid w:val="00235FC3"/>
    <w:rsid w:val="00406B10"/>
    <w:rsid w:val="00464B68"/>
    <w:rsid w:val="004A0D65"/>
    <w:rsid w:val="004F65F7"/>
    <w:rsid w:val="00546D4B"/>
    <w:rsid w:val="00573AF2"/>
    <w:rsid w:val="0058671F"/>
    <w:rsid w:val="005B52C0"/>
    <w:rsid w:val="005C26A1"/>
    <w:rsid w:val="005C6199"/>
    <w:rsid w:val="005F6829"/>
    <w:rsid w:val="00657613"/>
    <w:rsid w:val="0068383E"/>
    <w:rsid w:val="00685CB4"/>
    <w:rsid w:val="0085131D"/>
    <w:rsid w:val="00862434"/>
    <w:rsid w:val="00923226"/>
    <w:rsid w:val="009A1FD5"/>
    <w:rsid w:val="009E7CCE"/>
    <w:rsid w:val="00A37659"/>
    <w:rsid w:val="00B13A69"/>
    <w:rsid w:val="00B7501D"/>
    <w:rsid w:val="00CC40BE"/>
    <w:rsid w:val="00D01113"/>
    <w:rsid w:val="00D16BAB"/>
    <w:rsid w:val="00D462EB"/>
    <w:rsid w:val="00D51C7C"/>
    <w:rsid w:val="00D77DEE"/>
    <w:rsid w:val="00D83897"/>
    <w:rsid w:val="00ED1083"/>
    <w:rsid w:val="00EE3F73"/>
    <w:rsid w:val="00F52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F347"/>
  <w15:chartTrackingRefBased/>
  <w15:docId w15:val="{3EE936BA-70C1-48F4-83ED-B42F3911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4E6"/>
    <w:rPr>
      <w:rFonts w:eastAsiaTheme="majorEastAsia" w:cstheme="majorBidi"/>
      <w:color w:val="272727" w:themeColor="text1" w:themeTint="D8"/>
    </w:rPr>
  </w:style>
  <w:style w:type="paragraph" w:styleId="Title">
    <w:name w:val="Title"/>
    <w:basedOn w:val="Normal"/>
    <w:next w:val="Normal"/>
    <w:link w:val="TitleChar"/>
    <w:uiPriority w:val="10"/>
    <w:qFormat/>
    <w:rsid w:val="00067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4E6"/>
    <w:pPr>
      <w:spacing w:before="160"/>
      <w:jc w:val="center"/>
    </w:pPr>
    <w:rPr>
      <w:i/>
      <w:iCs/>
      <w:color w:val="404040" w:themeColor="text1" w:themeTint="BF"/>
    </w:rPr>
  </w:style>
  <w:style w:type="character" w:customStyle="1" w:styleId="QuoteChar">
    <w:name w:val="Quote Char"/>
    <w:basedOn w:val="DefaultParagraphFont"/>
    <w:link w:val="Quote"/>
    <w:uiPriority w:val="29"/>
    <w:rsid w:val="000674E6"/>
    <w:rPr>
      <w:i/>
      <w:iCs/>
      <w:color w:val="404040" w:themeColor="text1" w:themeTint="BF"/>
    </w:rPr>
  </w:style>
  <w:style w:type="paragraph" w:styleId="ListParagraph">
    <w:name w:val="List Paragraph"/>
    <w:basedOn w:val="Normal"/>
    <w:uiPriority w:val="34"/>
    <w:qFormat/>
    <w:rsid w:val="000674E6"/>
    <w:pPr>
      <w:ind w:left="720"/>
      <w:contextualSpacing/>
    </w:pPr>
  </w:style>
  <w:style w:type="character" w:styleId="IntenseEmphasis">
    <w:name w:val="Intense Emphasis"/>
    <w:basedOn w:val="DefaultParagraphFont"/>
    <w:uiPriority w:val="21"/>
    <w:qFormat/>
    <w:rsid w:val="000674E6"/>
    <w:rPr>
      <w:i/>
      <w:iCs/>
      <w:color w:val="0F4761" w:themeColor="accent1" w:themeShade="BF"/>
    </w:rPr>
  </w:style>
  <w:style w:type="paragraph" w:styleId="IntenseQuote">
    <w:name w:val="Intense Quote"/>
    <w:basedOn w:val="Normal"/>
    <w:next w:val="Normal"/>
    <w:link w:val="IntenseQuoteChar"/>
    <w:uiPriority w:val="30"/>
    <w:qFormat/>
    <w:rsid w:val="00067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4E6"/>
    <w:rPr>
      <w:i/>
      <w:iCs/>
      <w:color w:val="0F4761" w:themeColor="accent1" w:themeShade="BF"/>
    </w:rPr>
  </w:style>
  <w:style w:type="character" w:styleId="IntenseReference">
    <w:name w:val="Intense Reference"/>
    <w:basedOn w:val="DefaultParagraphFont"/>
    <w:uiPriority w:val="32"/>
    <w:qFormat/>
    <w:rsid w:val="00067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 Luca Panza</dc:creator>
  <cp:keywords/>
  <dc:description/>
  <cp:lastModifiedBy>Pier Luca Panza</cp:lastModifiedBy>
  <cp:revision>37</cp:revision>
  <dcterms:created xsi:type="dcterms:W3CDTF">2026-09-01T02:59:00Z</dcterms:created>
  <dcterms:modified xsi:type="dcterms:W3CDTF">2026-09-01T03:45:00Z</dcterms:modified>
</cp:coreProperties>
</file>