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5D"/>
          <w:sz w:val="48"/>
        </w:rPr>
        <w:t>东航智能营销平台</w:t>
        <w:br/>
        <w:t>五分钟视频演示稿</w:t>
      </w:r>
    </w:p>
    <w:p>
      <w:pPr>
        <w:jc w:val="center"/>
      </w:pPr>
      <w:r>
        <w:t>演示主题：从市场机会到营销复盘的 AI 驱动闭环</w:t>
      </w:r>
    </w:p>
    <w:p>
      <w:pPr>
        <w:pStyle w:val="Heading1"/>
      </w:pPr>
      <w:r>
        <w:rPr>
          <w:rFonts w:ascii="Microsoft YaHei" w:hAnsi="Microsoft YaHei" w:eastAsia="Microsoft YaHei"/>
        </w:rPr>
        <w:t>一、演示说明</w:t>
      </w:r>
    </w:p>
    <w:p>
      <w:pPr>
        <w:spacing w:after="100" w:line="269" w:lineRule="auto"/>
      </w:pPr>
      <w:r>
        <w:t>本演示以“上海—三亚国庆早鸟活动”为示例，展示东航营销人员如何在一个平台中完成机会发现、客群选择、产品匹配、内容生成、审批执行和效果复盘。演示数据为平台内置的结构化模拟数据，页面和流程按照实际航空营销业务设计。</w:t>
      </w:r>
    </w:p>
    <w:p>
      <w:pPr>
        <w:spacing w:after="100" w:line="269" w:lineRule="auto"/>
      </w:pPr>
      <w:r>
        <w:t>统一 AI 表述：AI 负责理解数据、发现规律、生成建议和辅助执行；营销人员负责确认业务意图、审核产品与内容、完成预算和合规审批。</w:t>
      </w:r>
    </w:p>
    <w:p>
      <w:pPr>
        <w:pStyle w:val="Heading1"/>
      </w:pPr>
      <w:r>
        <w:rPr>
          <w:rFonts w:ascii="Microsoft YaHei" w:hAnsi="Microsoft YaHei" w:eastAsia="Microsoft YaHei"/>
        </w:rPr>
        <w:t>二、五分钟演示脚本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677B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493"/>
            <w:vAlign w:val="center"/>
            <w:shd w:fill="1677B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画面 / 操作</w:t>
            </w:r>
          </w:p>
        </w:tc>
        <w:tc>
          <w:tcPr>
            <w:tcW w:type="dxa" w:w="2493"/>
            <w:vAlign w:val="center"/>
            <w:shd w:fill="1677B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演示动作</w:t>
            </w:r>
          </w:p>
        </w:tc>
        <w:tc>
          <w:tcPr>
            <w:tcW w:type="dxa" w:w="2493"/>
            <w:vAlign w:val="center"/>
            <w:shd w:fill="1677B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演讲词</w:t>
            </w:r>
          </w:p>
        </w:tc>
      </w:tr>
      <w:tr>
        <w:tc>
          <w:tcPr>
            <w:tcW w:type="dxa" w:w="2493"/>
            <w:vAlign w:val="center"/>
            <w:shd w:fill="EAF4FB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00:00—00:25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/>
                <w:color w:val="173B5D"/>
                <w:sz w:val="18"/>
              </w:rPr>
              <w:t>开场：营销总览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打开营销总览，展示活动生命周期、待审批活动、待处理机会、可经营客群和本月增量收入。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今天演示的是东航智能营销平台。平台围绕一条完整营销链路展开：从机会发现开始，经过客群、产品、内容、审批和触达，最后回到效果复盘。</w:t>
            </w:r>
          </w:p>
        </w:tc>
      </w:tr>
      <w:tr>
        <w:tc>
          <w:tcPr>
            <w:tcW w:type="dxa" w:w="2493"/>
            <w:vAlign w:val="center"/>
            <w:shd w:fill="EAF4FB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00:25—01:00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/>
                <w:color w:val="173B5D"/>
                <w:sz w:val="18"/>
              </w:rPr>
              <w:t>机会洞察：发现可经营机会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进入机会洞察，查看航线机会、热点机会和经营机会；打开上海—三亚国庆早鸟详情，查看客座率、价格和搜索热度。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系统把外部市场热点和内部航班经营数据抽取为“市场信号、航线、航班、经营指标”等本体对象，并建立它们之间的关联。当搜索热度上升、部分航班客座率低于近期均值时，机会洞察智能域沿着本体关系找到证据，识别出国庆早鸟营销窗口。</w:t>
            </w:r>
          </w:p>
        </w:tc>
      </w:tr>
      <w:tr>
        <w:tc>
          <w:tcPr>
            <w:tcW w:type="dxa" w:w="2493"/>
            <w:vAlign w:val="center"/>
            <w:shd w:fill="EAF4FB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01:00—01:40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/>
                <w:color w:val="173B5D"/>
                <w:sz w:val="18"/>
              </w:rPr>
              <w:t>客群画像：从画像到客群包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进入客群画像，先查看底层画像卡片，再查看由多个画像和标签组合形成的三亚高意向未购客群包，并冻结活动快照。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平台底层接入用户画像数据，一级页面只展示可运营的画像和客群包，不展示旅客明细。客群包是营销活动正式使用的对象，冻结快照后，执行名单和复盘都可以追溯。</w:t>
            </w:r>
          </w:p>
        </w:tc>
      </w:tr>
      <w:tr>
        <w:tc>
          <w:tcPr>
            <w:tcW w:type="dxa" w:w="2493"/>
            <w:vAlign w:val="center"/>
            <w:shd w:fill="EAF4FB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01:40—02:20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/>
                <w:color w:val="173B5D"/>
                <w:sz w:val="18"/>
              </w:rPr>
              <w:t>产品匹配：基础产品与产品包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进入产品与权益，查看产品管理平台同步的机票、行李、优选座位、升舱、贵宾室、Wi-Fi 和空铁联运等基础产品，再查看三亚国庆早鸟包。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底层产品、权益、航班、舱位、运价和产品包都被统一建模。产品匹配智能域沿着“客群需求—适用条件—产品权益—航班可售”的关系进行推理，避免只看客群而忽略产品可售性。</w:t>
            </w:r>
          </w:p>
        </w:tc>
      </w:tr>
      <w:tr>
        <w:tc>
          <w:tcPr>
            <w:tcW w:type="dxa" w:w="2493"/>
            <w:vAlign w:val="center"/>
            <w:shd w:fill="EAF4FB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02:20—03:05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/>
                <w:color w:val="173B5D"/>
                <w:sz w:val="18"/>
              </w:rPr>
              <w:t>内容工坊：生成并审核渠道内容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进入内容工坊，选择活动、客群和产品包，点击 AI 生成，查看 App、短信和微信版本，打开一个版本查看完整文案。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内容生成智能域从本体中读取活动目标、客群特征、产品事实和渠道约束，生成适合不同触点的内容，并核对文案中的产品、价格、权益和有效期。营销人员可以修改、比较版本后提交审核。</w:t>
            </w:r>
          </w:p>
        </w:tc>
      </w:tr>
      <w:tr>
        <w:tc>
          <w:tcPr>
            <w:tcW w:type="dxa" w:w="2493"/>
            <w:vAlign w:val="center"/>
            <w:shd w:fill="EAF4FB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03:05—03:45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/>
                <w:color w:val="173B5D"/>
                <w:sz w:val="18"/>
              </w:rPr>
              <w:t>活动审批：预算、合规和人工决策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进入活动详情与审批中心，查看客群快照、产品包、内容、渠道、预算和校验结果，执行通过或退回。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平台把机会、客群包、产品包、内容、渠道和预算统一形成活动版本，并通过本体关系检查引用是否一致。AI 可以给出预算、资格和合规检查建议，但审批仍由对应角色确认，并留下完整审计记录。</w:t>
            </w:r>
          </w:p>
        </w:tc>
      </w:tr>
      <w:tr>
        <w:tc>
          <w:tcPr>
            <w:tcW w:type="dxa" w:w="2493"/>
            <w:vAlign w:val="center"/>
            <w:shd w:fill="EAF4FB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03:45—04:25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/>
                <w:color w:val="173B5D"/>
                <w:sz w:val="18"/>
              </w:rPr>
              <w:t>执行监控：触达和状态回传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进入执行监控，查看发送、送达、点击、转化和失败原因，展示暂停、重试和刷新状态。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审批通过后活动进入执行批次，任务分发到东航官方触点及合作渠道，并持续接收回执。每一个执行状态都能追溯到活动版本和客群快照。</w:t>
            </w:r>
          </w:p>
        </w:tc>
      </w:tr>
      <w:tr>
        <w:tc>
          <w:tcPr>
            <w:tcW w:type="dxa" w:w="2493"/>
            <w:vAlign w:val="center"/>
            <w:shd w:fill="EAF4FB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04:25—04:50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/>
                <w:color w:val="173B5D"/>
                <w:sz w:val="18"/>
              </w:rPr>
              <w:t>效果复盘：从结果回到策略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进入效果复盘，查看渠道漏斗、客群对比、产品表现、转化收入和异常规律。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系统汇总触达、点击、出票转化和失败原因。效果分析智能域识别不同客群、产品和内容的表现差异，形成下一轮策略建议，人工确认后沉淀为学习样本。</w:t>
            </w:r>
          </w:p>
        </w:tc>
      </w:tr>
      <w:tr>
        <w:tc>
          <w:tcPr>
            <w:tcW w:type="dxa" w:w="2493"/>
            <w:vAlign w:val="center"/>
            <w:shd w:fill="EAF4FB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04:50—05:00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/>
                <w:color w:val="173B5D"/>
                <w:sz w:val="18"/>
              </w:rPr>
              <w:t>收束：平台价值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回到营销总览，展示本次活动的闭环状态。</w:t>
            </w:r>
          </w:p>
        </w:tc>
        <w:tc>
          <w:tcPr>
            <w:tcW w:type="dxa" w:w="249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445F75"/>
                <w:sz w:val="18"/>
              </w:rPr>
              <w:t>东航可以把市场信号、航班经营、用户画像、产品权益和营销结果连接起来，形成可复用、可审计、可持续优化的营销生产系统。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三、演示前准备</w:t>
      </w:r>
    </w:p>
    <w:p>
      <w:pPr>
        <w:pStyle w:val="ListBullet"/>
      </w:pPr>
      <w:r>
        <w:t>登录后确认租户和角色正确。</w:t>
      </w:r>
    </w:p>
    <w:p>
      <w:pPr>
        <w:pStyle w:val="ListBullet"/>
      </w:pPr>
      <w:r>
        <w:t>提前打开营销总览，确认活动、客群包、产品包和内容已加载。</w:t>
      </w:r>
    </w:p>
    <w:p>
      <w:pPr>
        <w:pStyle w:val="ListBullet"/>
      </w:pPr>
      <w:r>
        <w:t>优先点击详情、AI 生成、提交审批和执行监控等真实操作。</w:t>
      </w:r>
    </w:p>
    <w:p>
      <w:pPr>
        <w:pStyle w:val="ListBullet"/>
      </w:pPr>
      <w:r>
        <w:t>热点源不可用时使用系统补充信号，不影响后续流程。</w:t>
      </w:r>
    </w:p>
    <w:p>
      <w:pPr>
        <w:pStyle w:val="ListBullet"/>
      </w:pPr>
      <w:r>
        <w:t>涉及 AI 时展示处理阶段、证据来源和人工确认入口。</w:t>
      </w:r>
    </w:p>
    <w:p>
      <w:pPr>
        <w:pStyle w:val="Heading1"/>
      </w:pPr>
      <w:r>
        <w:rPr>
          <w:rFonts w:ascii="Microsoft YaHei" w:hAnsi="Microsoft YaHei" w:eastAsia="Microsoft YaHei"/>
        </w:rPr>
        <w:t>四、六个智能域对应关系</w:t>
      </w:r>
    </w:p>
    <w:p>
      <w:pPr>
        <w:pStyle w:val="ListBullet"/>
      </w:pPr>
      <w:r>
        <w:t>机会洞察智能域：融合市场热点、航线、航班运行和经营指标，识别可经营机会。</w:t>
      </w:r>
    </w:p>
    <w:p>
      <w:pPr>
        <w:pStyle w:val="ListBullet"/>
      </w:pPr>
      <w:r>
        <w:t>客群洞察智能域：基于用户画像和标签组合客群，识别出行意向与旅程阶段。</w:t>
      </w:r>
    </w:p>
    <w:p>
      <w:pPr>
        <w:pStyle w:val="ListBullet"/>
      </w:pPr>
      <w:r>
        <w:t>产品匹配智能域：把客群需求与机票、卡券、辅营、会员权益和空铁联运产品匹配。</w:t>
      </w:r>
    </w:p>
    <w:p>
      <w:pPr>
        <w:pStyle w:val="ListBullet"/>
      </w:pPr>
      <w:r>
        <w:t>活动编排智能域：根据目标、客群、产品、预算和渠道约束形成活动版本。</w:t>
      </w:r>
    </w:p>
    <w:p>
      <w:pPr>
        <w:pStyle w:val="ListBullet"/>
      </w:pPr>
      <w:r>
        <w:t>内容生成智能域：面向不同渠道生成内容版本，校验产品事实和表达风险。</w:t>
      </w:r>
    </w:p>
    <w:p>
      <w:pPr>
        <w:pStyle w:val="ListBullet"/>
      </w:pPr>
      <w:r>
        <w:t>效果分析智能域：汇总触达、点击、转化和收入结果，形成策略学习建议。</w:t>
      </w:r>
    </w:p>
    <w:p>
      <w:pPr>
        <w:pStyle w:val="Heading1"/>
      </w:pPr>
      <w:r>
        <w:t>五、技术创新重点：用营销本体连接业务闭环</w:t>
      </w:r>
    </w:p>
    <w:p>
      <w:pPr>
        <w:spacing w:after="100" w:line="269" w:lineRule="auto"/>
      </w:pPr>
      <w:r>
        <w:t>本平台的核心技术创新不是单独增加一个知识图谱页面，而是把本体作为营销业务的统一语义和关系底座。平台将机会、市场信号、航线、航班、用户画像、标签、客群包、基础产品、产品包、权益、内容、活动、活动版本、审批任务、渠道触达和复盘结果建模为可识别的业务对象，并定义“来源于、适用于、匹配、引用、审批、触达、产生结果、反馈优化”等关系。</w:t>
      </w:r>
    </w:p>
    <w:p>
      <w:pPr>
        <w:spacing w:after="100" w:line="269" w:lineRule="auto"/>
      </w:pPr>
      <w:r>
        <w:t>数据进入平台后，数据处理智能体先完成文档、接口和数据库数据的清洗、抽取、分类和实体关系识别，再判断哪些内容适合进入本体。可信度不足或无法对应业务对象的内容保留在知识层，不直接写入正式本体；需要更新本体时进入人工确认流程。每个对象和关系都保留来源、时间、版本、置信度和处理记录，保证营销人员能回答“这个结论来自哪里”。</w:t>
      </w:r>
    </w:p>
    <w:p>
      <w:pPr>
        <w:spacing w:after="100" w:line="269" w:lineRule="auto"/>
      </w:pPr>
      <w:r>
        <w:t>在营销过程中，六个智能域通过本体共享上下文：机会洞察沿市场信号、航线和航班关系发现机会；客群洞察沿画像、标签和客群包关系形成可运营客群；产品匹配沿资格、库存、价格和权益关系筛选产品；活动编排和内容生成读取同一活动版本上下文；效果分析把触达和转化结果回写到原有对象关系中，支持下一轮策略学习。</w:t>
      </w:r>
    </w:p>
    <w:p>
      <w:pPr>
        <w:spacing w:after="100" w:line="269" w:lineRule="auto"/>
      </w:pPr>
      <w:r>
        <w:t>技术创新带来的直接效果包括：统一跨系统航空营销信息的业务语义；让 AI 推荐具备关系依据和证据链；实现从活动创建到复盘的对象级追溯；通过人工确认、权限、版本和审计机制实现“AI 辅助决策、人工最终负责”；并支持卡券、辅营、会员权益、空铁联运和 SME 企业差旅等新产品复用同一套对象与关系模型。</w:t>
      </w:r>
    </w:p>
    <w:p>
      <w:pPr>
        <w:pStyle w:val="Heading1"/>
      </w:pPr>
      <w:r>
        <w:t>六、演示时建议重点强调的技术表达</w:t>
      </w:r>
    </w:p>
    <w:p>
      <w:pPr>
        <w:pStyle w:val="ListBullet"/>
      </w:pPr>
      <w:r>
        <w:t>本体不是展示用的图，而是六个智能域共同调用的业务关系底座。</w:t>
      </w:r>
    </w:p>
    <w:p>
      <w:pPr>
        <w:pStyle w:val="ListBullet"/>
      </w:pPr>
      <w:r>
        <w:t>AI 先从数据中识别对象和关系，再基于本体关系做机会发现、客群选择和产品匹配。</w:t>
      </w:r>
    </w:p>
    <w:p>
      <w:pPr>
        <w:pStyle w:val="ListBullet"/>
      </w:pPr>
      <w:r>
        <w:t>每一个推荐都能回到来源数据、业务对象、规则和人工确认记录。</w:t>
      </w:r>
    </w:p>
    <w:p>
      <w:pPr>
        <w:pStyle w:val="ListBullet"/>
      </w:pPr>
      <w:r>
        <w:t>营销结果会回写到活动、客群、产品和内容关系中，形成可持续学习的闭环。</w:t>
      </w:r>
    </w:p>
    <w:sectPr w:rsidR="00FC693F" w:rsidRPr="0006063C" w:rsidSect="00034616">
      <w:footerReference w:type="default" r:id="rId9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东方航空智能营销平台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77B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