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0" w:after="0" w:line="240" w:lineRule="auto"/>
        <w:ind w:firstLine="0"/>
        <w:jc w:val="both"/>
      </w:pPr>
      <w:r>
        <w:rPr>
          <w:rFonts w:ascii="Times New Roman" w:hAnsi="Times New Roman" w:eastAsia="宋体"/>
          <w:b w:val="0"/>
          <w:color w:val="000000"/>
          <w:sz w:val="20"/>
        </w:rPr>
      </w:r>
    </w:p>
    <w:p>
      <w:pPr>
        <w:keepNext w:val="0"/>
        <w:spacing w:before="0" w:after="1000" w:line="240" w:lineRule="auto"/>
        <w:ind w:firstLine="0"/>
        <w:jc w:val="center"/>
      </w:pPr>
      <w:r>
        <w:rPr>
          <w:rFonts w:ascii="Times New Roman" w:hAnsi="Times New Roman" w:eastAsia="黑体"/>
          <w:b/>
          <w:color w:val="000000"/>
          <w:sz w:val="42"/>
        </w:rPr>
        <w:t>第八届中国研究生人工智能创新大赛</w:t>
      </w:r>
    </w:p>
    <w:p>
      <w:pPr>
        <w:keepNext w:val="0"/>
        <w:spacing w:before="0" w:after="280" w:line="240" w:lineRule="auto"/>
        <w:ind w:firstLine="0"/>
        <w:jc w:val="center"/>
      </w:pPr>
      <w:r>
        <w:rPr>
          <w:rFonts w:ascii="Times New Roman" w:hAnsi="Times New Roman" w:eastAsia="黑体"/>
          <w:b/>
          <w:color w:val="000000"/>
          <w:sz w:val="54"/>
        </w:rPr>
        <w:t>东方航空智能营销平台</w:t>
      </w:r>
    </w:p>
    <w:p>
      <w:pPr>
        <w:keepNext w:val="0"/>
        <w:spacing w:before="0" w:after="560" w:line="240" w:lineRule="auto"/>
        <w:ind w:firstLine="0"/>
        <w:jc w:val="center"/>
      </w:pPr>
      <w:r>
        <w:rPr>
          <w:rFonts w:ascii="Times New Roman" w:hAnsi="Times New Roman" w:eastAsia="黑体"/>
          <w:b/>
          <w:color w:val="000000"/>
          <w:sz w:val="40"/>
        </w:rPr>
        <w:t>项目文档</w:t>
      </w:r>
    </w:p>
    <w:p>
      <w:pPr>
        <w:keepNext w:val="0"/>
        <w:spacing w:before="0" w:after="840" w:line="240" w:lineRule="auto"/>
        <w:ind w:firstLine="0"/>
        <w:jc w:val="center"/>
      </w:pPr>
      <w:r>
        <w:rPr>
          <w:rFonts w:ascii="Times New Roman" w:hAnsi="Times New Roman" w:eastAsia="宋体"/>
          <w:b/>
          <w:sz w:val="28"/>
        </w:rPr>
        <w:t>V1.8  摘要-附录结构优化版</w:t>
      </w:r>
    </w:p>
    <w:p>
      <w:pPr>
        <w:keepNext w:val="0"/>
        <w:spacing w:before="0" w:after="220" w:line="240" w:lineRule="auto"/>
        <w:ind w:firstLine="0"/>
        <w:jc w:val="center"/>
      </w:pPr>
      <w:r>
        <w:rPr>
          <w:rFonts w:ascii="Times New Roman" w:hAnsi="Times New Roman" w:eastAsia="宋体"/>
          <w:b/>
          <w:color w:val="000000"/>
          <w:sz w:val="26"/>
        </w:rPr>
        <w:t>2026.09.01</w:t>
      </w:r>
    </w:p>
    <w:p>
      <w:pPr>
        <w:keepNext w:val="0"/>
        <w:spacing w:before="0" w:after="140" w:line="240" w:lineRule="auto"/>
        <w:ind w:firstLine="0"/>
        <w:jc w:val="center"/>
      </w:pPr>
      <w:r>
        <w:rPr>
          <w:rFonts w:ascii="Times New Roman" w:hAnsi="Times New Roman" w:eastAsia="宋体"/>
          <w:b/>
          <w:color w:val="000000"/>
          <w:sz w:val="26"/>
        </w:rPr>
        <w:t>团队名称：丽娃谷风</w:t>
      </w:r>
    </w:p>
    <w:p>
      <w:pPr>
        <w:keepNext w:val="0"/>
        <w:spacing w:before="0" w:after="140" w:line="240" w:lineRule="auto"/>
        <w:ind w:firstLine="0"/>
        <w:jc w:val="center"/>
      </w:pPr>
      <w:r>
        <w:rPr>
          <w:rFonts w:ascii="Times New Roman" w:hAnsi="Times New Roman" w:eastAsia="宋体"/>
          <w:b/>
          <w:color w:val="000000"/>
          <w:sz w:val="26"/>
        </w:rPr>
        <w:t>团队成员：胡于飞、林李洋、张婷婷</w:t>
      </w:r>
    </w:p>
    <w:p>
      <w:pPr>
        <w:keepNext w:val="0"/>
        <w:spacing w:before="0" w:after="0" w:line="240" w:lineRule="auto"/>
        <w:ind w:firstLine="0"/>
        <w:jc w:val="center"/>
      </w:pPr>
      <w:r>
        <w:rPr>
          <w:rFonts w:ascii="Times New Roman" w:hAnsi="Times New Roman" w:eastAsia="宋体"/>
          <w:b w:val="0"/>
          <w:color w:val="000000"/>
          <w:sz w:val="22"/>
        </w:rPr>
        <w:t>参赛组别：以报名系统登记信息为准</w:t>
      </w:r>
    </w:p>
    <w:p>
      <w:r>
        <w:br w:type="page"/>
      </w:r>
    </w:p>
    <w:p>
      <w:pPr>
        <w:keepNext w:val="0"/>
        <w:spacing w:before="200" w:after="320" w:line="240" w:lineRule="auto"/>
        <w:ind w:firstLine="0"/>
        <w:jc w:val="left"/>
      </w:pPr>
      <w:r>
        <w:rPr>
          <w:rFonts w:ascii="Times New Roman" w:hAnsi="Times New Roman" w:eastAsia="黑体"/>
          <w:b/>
          <w:color w:val="000000"/>
          <w:sz w:val="42"/>
        </w:rPr>
        <w:t>目录</w:t>
      </w:r>
    </w:p>
    <w:p>
      <w:pPr>
        <w:keepNext w:val="0"/>
        <w:spacing w:before="0" w:after="140" w:line="300" w:lineRule="auto"/>
        <w:ind w:firstLine="0" w:left="0"/>
        <w:jc w:val="left"/>
      </w:pPr>
      <w:r>
        <w:rPr>
          <w:rFonts w:ascii="Times New Roman" w:hAnsi="Times New Roman" w:eastAsia="宋体"/>
          <w:b/>
          <w:color w:val="000000"/>
          <w:sz w:val="24"/>
        </w:rPr>
        <w:t>1  项目概况</w:t>
      </w:r>
    </w:p>
    <w:p>
      <w:pPr>
        <w:keepNext w:val="0"/>
        <w:spacing w:before="0" w:after="140" w:line="300" w:lineRule="auto"/>
        <w:ind w:firstLine="0" w:left="425"/>
        <w:jc w:val="left"/>
      </w:pPr>
      <w:r>
        <w:rPr>
          <w:rFonts w:ascii="Times New Roman" w:hAnsi="Times New Roman" w:eastAsia="宋体"/>
          <w:b w:val="0"/>
          <w:color w:val="000000"/>
          <w:sz w:val="24"/>
        </w:rPr>
        <w:t>1.1  背景和基础</w:t>
      </w:r>
    </w:p>
    <w:p>
      <w:pPr>
        <w:keepNext w:val="0"/>
        <w:spacing w:before="0" w:after="140" w:line="300" w:lineRule="auto"/>
        <w:ind w:firstLine="0" w:left="425"/>
        <w:jc w:val="left"/>
      </w:pPr>
      <w:r>
        <w:rPr>
          <w:rFonts w:ascii="Times New Roman" w:hAnsi="Times New Roman" w:eastAsia="宋体"/>
          <w:b w:val="0"/>
          <w:color w:val="000000"/>
          <w:sz w:val="24"/>
        </w:rPr>
        <w:t>1.2  场景和价值</w:t>
      </w:r>
    </w:p>
    <w:p>
      <w:pPr>
        <w:keepNext w:val="0"/>
        <w:spacing w:before="0" w:after="140" w:line="300" w:lineRule="auto"/>
        <w:ind w:firstLine="0" w:left="425"/>
        <w:jc w:val="left"/>
      </w:pPr>
      <w:r>
        <w:rPr>
          <w:rFonts w:ascii="Times New Roman" w:hAnsi="Times New Roman" w:eastAsia="宋体"/>
          <w:b w:val="0"/>
          <w:color w:val="000000"/>
          <w:sz w:val="24"/>
        </w:rPr>
        <w:t>1.3  所需支持</w:t>
      </w:r>
    </w:p>
    <w:p>
      <w:pPr>
        <w:keepNext w:val="0"/>
        <w:spacing w:before="0" w:after="140" w:line="300" w:lineRule="auto"/>
        <w:ind w:firstLine="0" w:left="0"/>
        <w:jc w:val="left"/>
      </w:pPr>
      <w:r>
        <w:rPr>
          <w:rFonts w:ascii="Times New Roman" w:hAnsi="Times New Roman" w:eastAsia="宋体"/>
          <w:b/>
          <w:color w:val="000000"/>
          <w:sz w:val="24"/>
        </w:rPr>
        <w:t>2  项目规划</w:t>
      </w:r>
    </w:p>
    <w:p>
      <w:pPr>
        <w:keepNext w:val="0"/>
        <w:spacing w:before="0" w:after="140" w:line="300" w:lineRule="auto"/>
        <w:ind w:firstLine="0" w:left="425"/>
        <w:jc w:val="left"/>
      </w:pPr>
      <w:r>
        <w:rPr>
          <w:rFonts w:ascii="Times New Roman" w:hAnsi="Times New Roman" w:eastAsia="宋体"/>
          <w:b w:val="0"/>
          <w:color w:val="000000"/>
          <w:sz w:val="24"/>
        </w:rPr>
        <w:t>2.1  整体目标</w:t>
      </w:r>
    </w:p>
    <w:p>
      <w:pPr>
        <w:keepNext w:val="0"/>
        <w:spacing w:before="0" w:after="140" w:line="300" w:lineRule="auto"/>
        <w:ind w:firstLine="0" w:left="425"/>
        <w:jc w:val="left"/>
      </w:pPr>
      <w:r>
        <w:rPr>
          <w:rFonts w:ascii="Times New Roman" w:hAnsi="Times New Roman" w:eastAsia="宋体"/>
          <w:b w:val="0"/>
          <w:color w:val="000000"/>
          <w:sz w:val="24"/>
        </w:rPr>
        <w:t>2.2  技术创新点</w:t>
      </w:r>
    </w:p>
    <w:p>
      <w:pPr>
        <w:keepNext w:val="0"/>
        <w:spacing w:before="0" w:after="140" w:line="300" w:lineRule="auto"/>
        <w:ind w:firstLine="0" w:left="0"/>
        <w:jc w:val="left"/>
      </w:pPr>
      <w:r>
        <w:rPr>
          <w:rFonts w:ascii="Times New Roman" w:hAnsi="Times New Roman" w:eastAsia="宋体"/>
          <w:b/>
          <w:color w:val="000000"/>
          <w:sz w:val="24"/>
        </w:rPr>
        <w:t>3  实施方案</w:t>
      </w:r>
    </w:p>
    <w:p>
      <w:pPr>
        <w:keepNext w:val="0"/>
        <w:spacing w:before="0" w:after="140" w:line="300" w:lineRule="auto"/>
        <w:ind w:firstLine="0" w:left="425"/>
        <w:jc w:val="left"/>
      </w:pPr>
      <w:r>
        <w:rPr>
          <w:rFonts w:ascii="Times New Roman" w:hAnsi="Times New Roman" w:eastAsia="宋体"/>
          <w:b w:val="0"/>
          <w:color w:val="000000"/>
          <w:sz w:val="24"/>
        </w:rPr>
        <w:t>3.1  技术可行性分析</w:t>
      </w:r>
    </w:p>
    <w:p>
      <w:pPr>
        <w:keepNext w:val="0"/>
        <w:spacing w:before="0" w:after="140" w:line="300" w:lineRule="auto"/>
        <w:ind w:firstLine="0" w:left="425"/>
        <w:jc w:val="left"/>
      </w:pPr>
      <w:r>
        <w:rPr>
          <w:rFonts w:ascii="Times New Roman" w:hAnsi="Times New Roman" w:eastAsia="宋体"/>
          <w:b w:val="0"/>
          <w:color w:val="000000"/>
          <w:sz w:val="24"/>
        </w:rPr>
        <w:t>3.2  技术细节</w:t>
      </w:r>
    </w:p>
    <w:p>
      <w:pPr>
        <w:keepNext w:val="0"/>
        <w:spacing w:before="0" w:after="140" w:line="300" w:lineRule="auto"/>
        <w:ind w:firstLine="0" w:left="425"/>
        <w:jc w:val="left"/>
      </w:pPr>
      <w:r>
        <w:rPr>
          <w:rFonts w:ascii="Times New Roman" w:hAnsi="Times New Roman" w:eastAsia="宋体"/>
          <w:b w:val="0"/>
          <w:color w:val="000000"/>
          <w:sz w:val="24"/>
        </w:rPr>
        <w:t>3.3  计划和分工</w:t>
      </w:r>
    </w:p>
    <w:p>
      <w:pPr>
        <w:keepNext w:val="0"/>
        <w:spacing w:before="0" w:after="140" w:line="300" w:lineRule="auto"/>
        <w:ind w:firstLine="0" w:left="0"/>
        <w:jc w:val="left"/>
      </w:pPr>
      <w:r>
        <w:rPr>
          <w:rFonts w:ascii="Times New Roman" w:hAnsi="Times New Roman" w:eastAsia="宋体"/>
          <w:b/>
          <w:color w:val="000000"/>
          <w:sz w:val="24"/>
        </w:rPr>
        <w:t>4  参考资料</w:t>
      </w:r>
    </w:p>
    <w:p>
      <w:pPr>
        <w:keepNext w:val="0"/>
        <w:spacing w:before="0" w:after="140" w:line="300" w:lineRule="auto"/>
        <w:ind w:firstLine="0" w:left="0"/>
        <w:jc w:val="left"/>
      </w:pPr>
      <w:r>
        <w:rPr>
          <w:rFonts w:ascii="Times New Roman" w:hAnsi="Times New Roman" w:eastAsia="宋体"/>
          <w:b/>
          <w:color w:val="000000"/>
          <w:sz w:val="24"/>
        </w:rPr>
        <w:t>附录 A  创新点深度论证</w:t>
      </w:r>
    </w:p>
    <w:p>
      <w:pPr>
        <w:keepNext w:val="0"/>
        <w:spacing w:before="0" w:after="140" w:line="300" w:lineRule="auto"/>
        <w:ind w:firstLine="0" w:left="0"/>
        <w:jc w:val="left"/>
      </w:pPr>
      <w:r>
        <w:rPr>
          <w:rFonts w:ascii="Times New Roman" w:hAnsi="Times New Roman" w:eastAsia="宋体"/>
          <w:b/>
          <w:color w:val="000000"/>
          <w:sz w:val="24"/>
        </w:rPr>
        <w:t>附录 B  典型场景与评测实施</w:t>
      </w:r>
    </w:p>
    <w:p>
      <w:pPr>
        <w:keepNext w:val="0"/>
        <w:spacing w:before="0" w:after="140" w:line="300" w:lineRule="auto"/>
        <w:ind w:firstLine="0" w:left="0"/>
        <w:jc w:val="left"/>
      </w:pPr>
      <w:r>
        <w:rPr>
          <w:rFonts w:ascii="Times New Roman" w:hAnsi="Times New Roman" w:eastAsia="宋体"/>
          <w:b/>
          <w:color w:val="000000"/>
          <w:sz w:val="24"/>
        </w:rPr>
        <w:t>附录 C  答辩与生产化材料</w:t>
      </w:r>
    </w:p>
    <w:p>
      <w:pPr>
        <w:keepNext w:val="0"/>
        <w:spacing w:before="200" w:after="0" w:line="240" w:lineRule="auto"/>
        <w:ind w:firstLine="0"/>
        <w:jc w:val="left"/>
      </w:pPr>
      <w:r>
        <w:rPr>
          <w:rFonts w:ascii="Times New Roman" w:hAnsi="Times New Roman" w:eastAsia="宋体"/>
          <w:b w:val="0"/>
          <w:color w:val="666666"/>
          <w:sz w:val="19"/>
        </w:rPr>
        <w:t>注：目录页码可在 Microsoft Word 中使用“更新域”同步。</w:t>
      </w:r>
    </w:p>
    <w:p>
      <w:r>
        <w:br w:type="page"/>
      </w:r>
    </w:p>
    <w:p>
      <w:pPr>
        <w:keepNext w:val="0"/>
        <w:spacing w:before="160" w:after="360" w:line="240" w:lineRule="auto"/>
        <w:ind w:firstLine="0"/>
        <w:jc w:val="center"/>
      </w:pPr>
      <w:r>
        <w:rPr>
          <w:rFonts w:ascii="Times New Roman" w:hAnsi="Times New Roman" w:eastAsia="黑体"/>
          <w:b/>
          <w:color w:val="000000"/>
          <w:sz w:val="40"/>
        </w:rPr>
        <w:t>记录更改历史</w:t>
      </w:r>
    </w:p>
    <w:tbl>
      <w:tblPr>
        <w:tblStyle w:val="TableGrid"/>
        <w:tblW w:type="dxa" w:w="9000"/>
        <w:jc w:val="center"/>
        <w:tblLayout w:type="fixed"/>
        <w:tblLook w:firstColumn="1" w:firstRow="1" w:lastColumn="0" w:lastRow="0" w:noHBand="0" w:noVBand="1" w:val="04A0"/>
        <w:tblInd w:w="0" w:type="dxa"/>
      </w:tblPr>
      <w:tblGrid>
        <w:gridCol w:w="650"/>
        <w:gridCol w:w="2500"/>
        <w:gridCol w:w="850"/>
        <w:gridCol w:w="1300"/>
        <w:gridCol w:w="1500"/>
        <w:gridCol w:w="2200"/>
      </w:tblGrid>
      <w:tr>
        <w:trPr>
          <w:cantSplit/>
          <w:tblHeader w:val="true"/>
        </w:trPr>
        <w:tc>
          <w:tcPr>
            <w:tcW w:type="dxa" w:w="6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0"/>
              </w:rPr>
              <w:t>序号</w:t>
            </w:r>
          </w:p>
        </w:tc>
        <w:tc>
          <w:tcPr>
            <w:tcW w:type="dxa" w:w="2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0"/>
              </w:rPr>
              <w:t>更改原因</w:t>
            </w:r>
          </w:p>
        </w:tc>
        <w:tc>
          <w:tcPr>
            <w:tcW w:type="dxa" w:w="8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0"/>
              </w:rPr>
              <w:t>版本</w:t>
            </w:r>
          </w:p>
        </w:tc>
        <w:tc>
          <w:tcPr>
            <w:tcW w:type="dxa" w:w="1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0"/>
              </w:rPr>
              <w:t>作者</w:t>
            </w:r>
          </w:p>
        </w:tc>
        <w:tc>
          <w:tcPr>
            <w:tcW w:type="dxa" w:w="1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0"/>
              </w:rPr>
              <w:t>更改日期</w:t>
            </w:r>
          </w:p>
        </w:tc>
        <w:tc>
          <w:tcPr>
            <w:tcW w:type="dxa" w:w="22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0"/>
              </w:rPr>
              <w:t>备注</w:t>
            </w:r>
          </w:p>
        </w:tc>
      </w:tr>
      <w:tr>
        <w:trPr>
          <w:cantSplit/>
        </w:trPr>
        <w:tc>
          <w:tcPr>
            <w:tcW w:type="dxa" w:w="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1</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完成项目文档初稿</w:t>
            </w:r>
          </w:p>
        </w:tc>
        <w:tc>
          <w:tcPr>
            <w:tcW w:type="dxa" w:w="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V1.0</w:t>
            </w:r>
          </w:p>
        </w:tc>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丽娃谷风</w:t>
            </w:r>
          </w:p>
        </w:tc>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2026.08.31</w:t>
            </w:r>
          </w:p>
        </w:tc>
        <w:tc>
          <w:tcPr>
            <w:tcW w:type="dxa" w:w="2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建立项目论证框架</w:t>
            </w:r>
          </w:p>
        </w:tc>
      </w:tr>
      <w:tr>
        <w:trPr>
          <w:cantSplit/>
        </w:trPr>
        <w:tc>
          <w:tcPr>
            <w:tcW w:type="dxa" w:w="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2</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补充本体、推理和稳健性验证</w:t>
            </w:r>
          </w:p>
        </w:tc>
        <w:tc>
          <w:tcPr>
            <w:tcW w:type="dxa" w:w="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V1.3</w:t>
            </w:r>
          </w:p>
        </w:tc>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丽娃谷风</w:t>
            </w:r>
          </w:p>
        </w:tc>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2026.08.31</w:t>
            </w:r>
          </w:p>
        </w:tc>
        <w:tc>
          <w:tcPr>
            <w:tcW w:type="dxa" w:w="2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完善 AI Inference 证据</w:t>
            </w:r>
          </w:p>
        </w:tc>
      </w:tr>
      <w:tr>
        <w:trPr>
          <w:cantSplit/>
        </w:trPr>
        <w:tc>
          <w:tcPr>
            <w:tcW w:type="dxa" w:w="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3</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扩展研究方法、技术细节与场景论证</w:t>
            </w:r>
          </w:p>
        </w:tc>
        <w:tc>
          <w:tcPr>
            <w:tcW w:type="dxa" w:w="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V1.5</w:t>
            </w:r>
          </w:p>
        </w:tc>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丽娃谷风</w:t>
            </w:r>
          </w:p>
        </w:tc>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2026.08.31</w:t>
            </w:r>
          </w:p>
        </w:tc>
        <w:tc>
          <w:tcPr>
            <w:tcW w:type="dxa" w:w="2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形成完整竞赛项目材料</w:t>
            </w:r>
          </w:p>
        </w:tc>
      </w:tr>
      <w:tr>
        <w:trPr>
          <w:cantSplit/>
        </w:trPr>
        <w:tc>
          <w:tcPr>
            <w:tcW w:type="dxa" w:w="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4</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补充活动闭环、评测与生产化路线</w:t>
            </w:r>
          </w:p>
        </w:tc>
        <w:tc>
          <w:tcPr>
            <w:tcW w:type="dxa" w:w="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V1.6</w:t>
            </w:r>
          </w:p>
        </w:tc>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丽娃谷风</w:t>
            </w:r>
          </w:p>
        </w:tc>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2026.08.31</w:t>
            </w:r>
          </w:p>
        </w:tc>
        <w:tc>
          <w:tcPr>
            <w:tcW w:type="dxa" w:w="2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初步扩展到 70 页</w:t>
            </w:r>
          </w:p>
        </w:tc>
      </w:tr>
      <w:tr>
        <w:trPr>
          <w:cantSplit/>
        </w:trPr>
        <w:tc>
          <w:tcPr>
            <w:tcW w:type="dxa" w:w="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5</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压缩碎片化页面并补充实质论证</w:t>
            </w:r>
          </w:p>
        </w:tc>
        <w:tc>
          <w:tcPr>
            <w:tcW w:type="dxa" w:w="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V1.7</w:t>
            </w:r>
          </w:p>
        </w:tc>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丽娃谷风</w:t>
            </w:r>
          </w:p>
        </w:tc>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2026.09.01</w:t>
            </w:r>
          </w:p>
        </w:tc>
        <w:tc>
          <w:tcPr>
            <w:tcW w:type="dxa" w:w="2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0"/>
              </w:rPr>
              <w:t>70 页实质扩展版</w:t>
            </w:r>
          </w:p>
        </w:tc>
      </w:tr>
      <w:tr>
        <w:tc>
          <w:tcPr>
            <w:tcW w:type="dxa" w:w="650"/>
            <w:tcMar>
              <w:top w:w="80" w:type="dxa"/>
              <w:start w:w="90" w:type="dxa"/>
              <w:bottom w:w="80" w:type="dxa"/>
              <w:end w:w="90" w:type="dxa"/>
            </w:tcMar>
            <w:vAlign w:val="center"/>
          </w:tcPr>
          <w:p>
            <w:pPr>
              <w:jc w:val="center"/>
            </w:pPr>
            <w:r>
              <w:rPr>
                <w:rFonts w:ascii="Times New Roman" w:hAnsi="Times New Roman" w:eastAsia="宋体"/>
                <w:sz w:val="20"/>
              </w:rPr>
              <w:t>6</w:t>
            </w:r>
          </w:p>
        </w:tc>
        <w:tc>
          <w:tcPr>
            <w:tcW w:type="dxa" w:w="2500"/>
            <w:tcMar>
              <w:top w:w="80" w:type="dxa"/>
              <w:start w:w="90" w:type="dxa"/>
              <w:bottom w:w="80" w:type="dxa"/>
              <w:end w:w="90" w:type="dxa"/>
            </w:tcMar>
            <w:vAlign w:val="center"/>
          </w:tcPr>
          <w:p>
            <w:pPr>
              <w:jc w:val="center"/>
            </w:pPr>
            <w:r>
              <w:rPr>
                <w:rFonts w:ascii="Times New Roman" w:hAnsi="Times New Roman" w:eastAsia="宋体"/>
                <w:sz w:val="20"/>
              </w:rPr>
              <w:t>重构技术创新点的主文与附录层次</w:t>
            </w:r>
          </w:p>
        </w:tc>
        <w:tc>
          <w:tcPr>
            <w:tcW w:type="dxa" w:w="850"/>
            <w:tcMar>
              <w:top w:w="80" w:type="dxa"/>
              <w:start w:w="90" w:type="dxa"/>
              <w:bottom w:w="80" w:type="dxa"/>
              <w:end w:w="90" w:type="dxa"/>
            </w:tcMar>
            <w:vAlign w:val="center"/>
          </w:tcPr>
          <w:p>
            <w:pPr>
              <w:jc w:val="center"/>
            </w:pPr>
            <w:r>
              <w:rPr>
                <w:rFonts w:ascii="Times New Roman" w:hAnsi="Times New Roman" w:eastAsia="宋体"/>
                <w:sz w:val="20"/>
              </w:rPr>
              <w:t>V1.8</w:t>
            </w:r>
          </w:p>
        </w:tc>
        <w:tc>
          <w:tcPr>
            <w:tcW w:type="dxa" w:w="1300"/>
            <w:tcMar>
              <w:top w:w="80" w:type="dxa"/>
              <w:start w:w="90" w:type="dxa"/>
              <w:bottom w:w="80" w:type="dxa"/>
              <w:end w:w="90" w:type="dxa"/>
            </w:tcMar>
            <w:vAlign w:val="center"/>
          </w:tcPr>
          <w:p>
            <w:pPr>
              <w:jc w:val="center"/>
            </w:pPr>
            <w:r>
              <w:rPr>
                <w:rFonts w:ascii="Times New Roman" w:hAnsi="Times New Roman" w:eastAsia="宋体"/>
                <w:sz w:val="20"/>
              </w:rPr>
              <w:t>丽娃谷风</w:t>
            </w:r>
          </w:p>
        </w:tc>
        <w:tc>
          <w:tcPr>
            <w:tcW w:type="dxa" w:w="1500"/>
            <w:tcMar>
              <w:top w:w="80" w:type="dxa"/>
              <w:start w:w="90" w:type="dxa"/>
              <w:bottom w:w="80" w:type="dxa"/>
              <w:end w:w="90" w:type="dxa"/>
            </w:tcMar>
            <w:vAlign w:val="center"/>
          </w:tcPr>
          <w:p>
            <w:pPr>
              <w:jc w:val="center"/>
            </w:pPr>
            <w:r>
              <w:rPr>
                <w:rFonts w:ascii="Times New Roman" w:hAnsi="Times New Roman" w:eastAsia="宋体"/>
                <w:sz w:val="20"/>
              </w:rPr>
              <w:t>2026.09.01</w:t>
            </w:r>
          </w:p>
        </w:tc>
        <w:tc>
          <w:tcPr>
            <w:tcW w:type="dxa" w:w="2200"/>
            <w:tcMar>
              <w:top w:w="80" w:type="dxa"/>
              <w:start w:w="90" w:type="dxa"/>
              <w:bottom w:w="80" w:type="dxa"/>
              <w:end w:w="90" w:type="dxa"/>
            </w:tcMar>
            <w:vAlign w:val="center"/>
          </w:tcPr>
          <w:p>
            <w:pPr>
              <w:jc w:val="center"/>
            </w:pPr>
            <w:r>
              <w:rPr>
                <w:rFonts w:ascii="Times New Roman" w:hAnsi="Times New Roman" w:eastAsia="宋体"/>
                <w:sz w:val="20"/>
              </w:rPr>
              <w:t>正文摘要，附录保留完整论证</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160" w:after="0" w:line="324" w:lineRule="auto"/>
        <w:ind w:firstLine="420"/>
        <w:jc w:val="both"/>
      </w:pPr>
      <w:r>
        <w:rPr>
          <w:rFonts w:ascii="Times New Roman" w:hAnsi="Times New Roman" w:eastAsia="宋体"/>
          <w:sz w:val="21"/>
        </w:rPr>
        <w:t>说明：V1.8 保留赛事模板规定的项目概况、项目规划、实施方案与参考资料结构。本次调整将正文 2.2 收束为评审摘要，并以明确索引连接附录 A 的创新论证，使主文阅读节奏与证据材料深度各自清晰。</w:t>
      </w:r>
    </w:p>
    <w:p>
      <w:r>
        <w:br w:type="page"/>
      </w:r>
    </w:p>
    <w:p>
      <w:pPr>
        <w:pStyle w:val="Heading1"/>
        <w:keepNext/>
        <w:spacing w:before="300" w:after="140" w:line="300" w:lineRule="auto"/>
        <w:ind w:firstLine="0"/>
        <w:jc w:val="left"/>
      </w:pPr>
      <w:r>
        <w:rPr>
          <w:rFonts w:ascii="Times New Roman" w:hAnsi="Times New Roman" w:eastAsia="黑体"/>
          <w:b/>
          <w:color w:val="000000"/>
          <w:sz w:val="32"/>
        </w:rPr>
        <w:t>1  项目概况</w:t>
      </w:r>
    </w:p>
    <w:p>
      <w:pPr>
        <w:pStyle w:val="Heading2"/>
        <w:keepNext/>
        <w:spacing w:before="200" w:after="80" w:line="300" w:lineRule="auto"/>
        <w:ind w:firstLine="0"/>
        <w:jc w:val="left"/>
      </w:pPr>
      <w:r>
        <w:rPr>
          <w:rFonts w:ascii="Times New Roman" w:hAnsi="Times New Roman" w:eastAsia="黑体"/>
          <w:b/>
          <w:color w:val="000000"/>
          <w:sz w:val="26"/>
        </w:rPr>
        <w:t>1.1  背景和基础</w:t>
      </w:r>
    </w:p>
    <w:p>
      <w:pPr>
        <w:keepNext w:val="0"/>
        <w:spacing w:before="0" w:after="100" w:line="360" w:lineRule="auto"/>
        <w:ind w:firstLine="420"/>
        <w:jc w:val="both"/>
      </w:pPr>
      <w:r>
        <w:rPr>
          <w:rFonts w:ascii="Times New Roman" w:hAnsi="Times New Roman" w:eastAsia="宋体"/>
          <w:b w:val="0"/>
          <w:color w:val="000000"/>
          <w:sz w:val="24"/>
        </w:rPr>
        <w:t>航空营销的决策对象并不是孤立的一条航线、一个客群标签或一段营销文案，而是由市场信号、航班与航线供给、产品资格、客群授权、预算与频控、渠道触达和结果反馈共同构成的动态业务系统。当前业务材料分布在文件、报表、规则、平台接口和运营经验中，语义口径、有效期和证据位置往往并不一致。若直接把这些材料输入大模型，模型虽然能够生成看似合理的文字，却难以说明依据来自何处，也无法保证输出满足库存、权益、频控和审批等业务约束。</w:t>
      </w:r>
    </w:p>
    <w:p>
      <w:pPr>
        <w:keepNext w:val="0"/>
        <w:spacing w:before="0" w:after="100" w:line="360" w:lineRule="auto"/>
        <w:ind w:firstLine="420"/>
        <w:jc w:val="both"/>
      </w:pPr>
      <w:r>
        <w:rPr>
          <w:rFonts w:ascii="Times New Roman" w:hAnsi="Times New Roman" w:eastAsia="宋体"/>
          <w:b w:val="0"/>
          <w:color w:val="000000"/>
          <w:sz w:val="24"/>
        </w:rPr>
        <w:t>本项目以东方航空营销运营为应用场景，研究“如何让 AI 推理在航空营销的业务语义、数据证据和责任边界内稳定运行”。项目不将大模型定位为自动发布器，而是将其定位为可观测的候选事实抽取器、受约束的业务分析器和可解释的方案生成器；任何涉及对外触达、预算、权益承诺、本体正式更新或规则生效的动作，均保留规则服务与人工确认门禁。</w:t>
      </w:r>
    </w:p>
    <w:p>
      <w:pPr>
        <w:pStyle w:val="Heading3"/>
        <w:keepNext/>
        <w:spacing w:before="140" w:after="40" w:line="300" w:lineRule="auto"/>
        <w:ind w:firstLine="0"/>
        <w:jc w:val="left"/>
      </w:pPr>
      <w:r>
        <w:rPr>
          <w:rFonts w:ascii="Times New Roman" w:hAnsi="Times New Roman" w:eastAsia="楷体"/>
          <w:b/>
          <w:color w:val="000000"/>
          <w:sz w:val="24"/>
        </w:rPr>
        <w:t>1.1.1  立项依据与问题界定</w:t>
      </w:r>
    </w:p>
    <w:tbl>
      <w:tblPr>
        <w:tblStyle w:val="TableGrid"/>
        <w:tblW w:type="dxa" w:w="9000"/>
        <w:jc w:val="center"/>
        <w:tblLayout w:type="fixed"/>
        <w:tblLook w:firstColumn="1" w:firstRow="1" w:lastColumn="0" w:lastRow="0" w:noHBand="0" w:noVBand="1" w:val="04A0"/>
        <w:tblInd w:w="0" w:type="dxa"/>
      </w:tblPr>
      <w:tblGrid>
        <w:gridCol w:w="2300"/>
        <w:gridCol w:w="3000"/>
        <w:gridCol w:w="3700"/>
      </w:tblGrid>
      <w:tr>
        <w:trPr>
          <w:cantSplit/>
          <w:tblHeader w:val="true"/>
        </w:trPr>
        <w:tc>
          <w:tcPr>
            <w:tcW w:type="dxa" w:w="2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业务链路中的断点</w:t>
            </w:r>
          </w:p>
        </w:tc>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传统处理方式的局限</w:t>
            </w:r>
          </w:p>
        </w:tc>
        <w:tc>
          <w:tcPr>
            <w:tcW w:type="dxa" w:w="3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本项目拟解决的研究问题</w:t>
            </w:r>
          </w:p>
        </w:tc>
      </w:tr>
      <w:tr>
        <w:trPr>
          <w:cantSplit/>
        </w:trPr>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多源信息难统一</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文件、报表、接口与运营记录的字段口径、更新时间和来源定位不同。</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如何将非结构化与结构化信息转化为带证据、置信度、有效期和状态的营销业务对象。</w:t>
            </w:r>
          </w:p>
        </w:tc>
      </w:tr>
      <w:tr>
        <w:trPr>
          <w:cantSplit/>
        </w:trPr>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大模型输出难受控</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自然语言生成容易脱离产品事实、权限范围和营销规则，且过程不易回放。</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如何把检索、本体关系、工具调用、结构校验与人工门禁编排为可观测的推理链。</w:t>
            </w:r>
          </w:p>
        </w:tc>
      </w:tr>
      <w:tr>
        <w:trPr>
          <w:cantSplit/>
        </w:trPr>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营销闭环难归因</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机会、客群、产品、内容、执行和结果分散，复盘难回到可调整的策略要素。</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如何用统一业务对象连接“建议产生—执行反馈—归因复盘”，形成可验证的改进依据。</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围绕上述问题，项目形成三个相互关联的核心研究问题：其一，如何构建能够表达航空营销对象、关系、状态与证据的领域本体，使信息可被检索、校验和追溯；其二，如何以统一 Harness 将模型调用嵌入业务函数、权限与审批约束中，使 AI Inference 的每一轮输入、工具选择、输出和失败均可观测；其三，如何在云端百炼服务与本地自研 Qwen 模型之间建立任务级评测与渐进路由机制，以实测指标而非模型名称决定模型使用范围。</w:t>
      </w:r>
    </w:p>
    <w:p>
      <w:pPr>
        <w:pStyle w:val="Heading3"/>
        <w:keepNext/>
        <w:spacing w:before="140" w:after="40" w:line="300" w:lineRule="auto"/>
        <w:ind w:firstLine="0"/>
        <w:jc w:val="left"/>
      </w:pPr>
      <w:r>
        <w:rPr>
          <w:rFonts w:ascii="Times New Roman" w:hAnsi="Times New Roman" w:eastAsia="楷体"/>
          <w:b/>
          <w:color w:val="000000"/>
          <w:sz w:val="24"/>
        </w:rPr>
        <w:t>1.1.2  已有工作基础</w:t>
      </w:r>
    </w:p>
    <w:p>
      <w:pPr>
        <w:keepNext w:val="0"/>
        <w:spacing w:before="0" w:after="100" w:line="360" w:lineRule="auto"/>
        <w:ind w:firstLine="420"/>
        <w:jc w:val="both"/>
      </w:pPr>
      <w:r>
        <w:rPr>
          <w:rFonts w:ascii="Times New Roman" w:hAnsi="Times New Roman" w:eastAsia="宋体"/>
          <w:b w:val="0"/>
          <w:color w:val="000000"/>
          <w:sz w:val="24"/>
        </w:rPr>
        <w:t>项目已完成可运行的原型平台：本地以 Docker 组织网页、API 与 PostgreSQL 服务，平台具备多租户工作区、模型提供商配置、文件接入、知识片段存储、本体对象与关系存储、营销助手及运行事件展示等基础能力。后端已实现统一 Harness，覆盖上下文加载、工具注册、模型调用、流式输出、Token 统计、失败重试与运行事件记录；前端已提供营销助手和数据处理工作台，便于业务人员在同一界面查看结果与过程。</w:t>
      </w:r>
    </w:p>
    <w:p>
      <w:pPr>
        <w:keepNext w:val="0"/>
        <w:spacing w:before="0" w:after="100" w:line="360" w:lineRule="auto"/>
        <w:ind w:firstLine="420"/>
        <w:jc w:val="both"/>
      </w:pPr>
      <w:r>
        <w:rPr>
          <w:rFonts w:ascii="Times New Roman" w:hAnsi="Times New Roman" w:eastAsia="宋体"/>
          <w:b w:val="0"/>
          <w:color w:val="000000"/>
          <w:sz w:val="24"/>
        </w:rPr>
        <w:t>在知识层方面，团队已形成航司营销业务本体 v1.1。该本体将“经营信号—营销机会—客户需求—营销目标—客群快照—产品包—策略方案—触点计划—活动—审批—执行—反馈—归因—复盘”表示为可管理的对象链，并明确候选、正式、生效、过期、冲突、已拒绝和已撤销等状态。知识库保存事实出处，本体表达事实之间的业务关系，二者共同为 AI 推理提供可引用、可校验的上下文。</w:t>
      </w:r>
    </w:p>
    <w:p>
      <w:pPr>
        <w:keepNext w:val="0"/>
        <w:spacing w:before="0" w:after="100" w:line="360" w:lineRule="auto"/>
        <w:ind w:firstLine="420"/>
        <w:jc w:val="both"/>
      </w:pPr>
      <w:r>
        <w:rPr>
          <w:rFonts w:ascii="Times New Roman" w:hAnsi="Times New Roman" w:eastAsia="宋体"/>
          <w:b w:val="0"/>
          <w:color w:val="000000"/>
          <w:sz w:val="24"/>
        </w:rPr>
        <w:t>在推理服务方面，前期暂以阿里云百炼 AgentStudio 提供的 OpenAI 兼容推理服务作为默认链路，用于验证真实模型接入、营销问答、知识检索、工具调用和人工审核门禁的端到端连通性。本文所称“内置测试模型”不是通用占位模型，而是团队基于 Qwen 构建并部署在本地的自研模型路径；它首先以受控对照方式进入同一 Harness，在质量、安全、时延与人工修改量达标后，逐步扩大其承担的领域任务比例。</w:t>
      </w:r>
    </w:p>
    <w:p>
      <w:pPr>
        <w:pStyle w:val="Heading3"/>
        <w:keepNext/>
        <w:spacing w:before="140" w:after="40" w:line="300" w:lineRule="auto"/>
        <w:ind w:firstLine="0"/>
        <w:jc w:val="left"/>
      </w:pPr>
      <w:r>
        <w:rPr>
          <w:rFonts w:ascii="Times New Roman" w:hAnsi="Times New Roman" w:eastAsia="楷体"/>
          <w:b/>
          <w:color w:val="000000"/>
          <w:sz w:val="24"/>
        </w:rPr>
        <w:t>1.1.3  相关技术路径比较与研究切入点</w:t>
      </w:r>
    </w:p>
    <w:p>
      <w:pPr>
        <w:keepNext w:val="0"/>
        <w:spacing w:before="0" w:after="100" w:line="360" w:lineRule="auto"/>
        <w:ind w:firstLine="420"/>
        <w:jc w:val="both"/>
      </w:pPr>
      <w:r>
        <w:rPr>
          <w:rFonts w:ascii="Times New Roman" w:hAnsi="Times New Roman" w:eastAsia="宋体"/>
          <w:b w:val="0"/>
          <w:color w:val="000000"/>
          <w:sz w:val="24"/>
        </w:rPr>
        <w:t>目前面向营销场景的智能化方案大致可分为规则驱动、数据分析驱动、检索增强生成和工作流智能体四类。规则系统能够提供较强的确定性，但在面对跨文档、跨对象和跨时间窗口的信息时，规则维护成本较高；数据分析系统能够发现趋势和分群结果，但难以直接解释复杂业务关系并组织跨部门的营销动作；检索增强生成能够改善回答的事实依据，却常停留在“检索片段加文本回答”的层面；工作流智能体能够完成多步骤调用，但若缺乏领域语义和责任边界，仍可能把形式正确的调用串联成业务上不成立的结论。</w:t>
      </w:r>
    </w:p>
    <w:tbl>
      <w:tblPr>
        <w:tblStyle w:val="TableGrid"/>
        <w:tblW w:type="dxa" w:w="9000"/>
        <w:jc w:val="center"/>
        <w:tblLayout w:type="fixed"/>
        <w:tblLook w:firstColumn="1" w:firstRow="1" w:lastColumn="0" w:lastRow="0" w:noHBand="0" w:noVBand="1" w:val="04A0"/>
        <w:tblInd w:w="0" w:type="dxa"/>
      </w:tblPr>
      <w:tblGrid>
        <w:gridCol w:w="1800"/>
        <w:gridCol w:w="3100"/>
        <w:gridCol w:w="41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技术路径</w:t>
            </w:r>
          </w:p>
        </w:tc>
        <w:tc>
          <w:tcPr>
            <w:tcW w:type="dxa" w:w="31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适用能力</w:t>
            </w:r>
          </w:p>
        </w:tc>
        <w:tc>
          <w:tcPr>
            <w:tcW w:type="dxa" w:w="41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在航空营销中仍需解决的问题</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规则与报表</w:t>
            </w:r>
          </w:p>
        </w:tc>
        <w:tc>
          <w:tcPr>
            <w:tcW w:type="dxa" w:w="3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适合库存、资格、频控、价格和审批等确定性检查。</w:t>
            </w:r>
          </w:p>
        </w:tc>
        <w:tc>
          <w:tcPr>
            <w:tcW w:type="dxa" w:w="4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难以自动吸收新文档、新热点和跨对象证据；规则之间的语义关联不足。</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数据分析与画像</w:t>
            </w:r>
          </w:p>
        </w:tc>
        <w:tc>
          <w:tcPr>
            <w:tcW w:type="dxa" w:w="3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适合发现客群、趋势、漏斗和经营异常。</w:t>
            </w:r>
          </w:p>
        </w:tc>
        <w:tc>
          <w:tcPr>
            <w:tcW w:type="dxa" w:w="4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分析结果与产品、活动、渠道、审批及复盘对象之间的业务链条不完整。</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检索增强生成</w:t>
            </w:r>
          </w:p>
        </w:tc>
        <w:tc>
          <w:tcPr>
            <w:tcW w:type="dxa" w:w="3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适合从知识片段中回答问题、解释术语、生成初步摘要。</w:t>
            </w:r>
          </w:p>
        </w:tc>
        <w:tc>
          <w:tcPr>
            <w:tcW w:type="dxa" w:w="4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仅有片段引用不足以表达对象关系、有效期、授权边界与业务动作责任。</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智能体工作流</w:t>
            </w:r>
          </w:p>
        </w:tc>
        <w:tc>
          <w:tcPr>
            <w:tcW w:type="dxa" w:w="3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适合组织多轮模型、检索和工具调用，处理复杂任务。</w:t>
            </w:r>
          </w:p>
        </w:tc>
        <w:tc>
          <w:tcPr>
            <w:tcW w:type="dxa" w:w="4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需要明确工具权限、输出结构、失败策略、人工门禁及全过程审计。</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本项目的切入点不是选择其中某一种技术替代全部能力，而是建立分工明确的协同机制：确定性规则负责不可违反的业务约束，知识库保存原始证据，本体描述可推理的业务语义，Harness 负责受控调用与审计，大模型负责在这些边界内完成归纳、抽取、解释和候选方案生成。这样既避免将所有决策交给模型，也避免把 AI 限缩为不能利用上下文的单轮问答工具。</w:t>
      </w:r>
    </w:p>
    <w:p>
      <w:pPr>
        <w:keepNext w:val="0"/>
        <w:spacing w:before="0" w:after="100" w:line="360" w:lineRule="auto"/>
        <w:ind w:firstLine="420"/>
        <w:jc w:val="both"/>
      </w:pPr>
      <w:r>
        <w:rPr>
          <w:rFonts w:ascii="Times New Roman" w:hAnsi="Times New Roman" w:eastAsia="宋体"/>
          <w:b w:val="0"/>
          <w:color w:val="000000"/>
          <w:sz w:val="24"/>
        </w:rPr>
        <w:t>从研究方法看，平台不以“回答是否流畅”作为主要效果标准，而将模型输出置于业务对象链中评价：一项机会建议必须能够关联市场信号、航线/航班、时间窗与客群；一项产品建议必须能够关联资格、库存、有效期和权益事实；一项活动建议必须能够关联预算、频控、渠道与审批；一项复盘建议必须能够关联执行反馈与归因口径。由此形成从语义表示到推理运行、再到业务验证的完整研究闭环。</w:t>
      </w:r>
    </w:p>
    <w:p>
      <w:pPr>
        <w:pStyle w:val="Heading3"/>
        <w:keepNext/>
        <w:spacing w:before="140" w:after="40" w:line="300" w:lineRule="auto"/>
        <w:ind w:firstLine="0"/>
        <w:jc w:val="left"/>
      </w:pPr>
      <w:r>
        <w:rPr>
          <w:rFonts w:ascii="Times New Roman" w:hAnsi="Times New Roman" w:eastAsia="楷体"/>
          <w:b/>
          <w:color w:val="000000"/>
          <w:sz w:val="24"/>
        </w:rPr>
        <w:t>1.1.4  研究假设与验证逻辑</w:t>
      </w:r>
    </w:p>
    <w:p>
      <w:pPr>
        <w:keepNext w:val="0"/>
        <w:spacing w:before="0" w:after="0" w:line="360" w:lineRule="auto"/>
        <w:ind w:firstLine="420"/>
        <w:jc w:val="both"/>
      </w:pPr>
      <w:r>
        <w:rPr>
          <w:rFonts w:ascii="Times New Roman" w:hAnsi="Times New Roman" w:eastAsia="黑体"/>
          <w:b/>
          <w:color w:val="000000"/>
          <w:sz w:val="24"/>
        </w:rPr>
        <w:t>研究假设 H1：</w:t>
      </w:r>
      <w:r>
        <w:rPr>
          <w:rFonts w:ascii="Times New Roman" w:hAnsi="Times New Roman" w:eastAsia="宋体"/>
          <w:b w:val="0"/>
          <w:color w:val="000000"/>
          <w:sz w:val="24"/>
        </w:rPr>
        <w:t>当营销材料以“对象—关系—证据—状态”的本体结构而非孤立文本片段提供给模型时，模型输出的证据可定位性、关系完整性和人工审核效率将优于仅依赖自由文本上下文的方式。验证时将比较是否能够回溯到来源、是否能说明对象之间的业务关系，以及人工审核人员完成核对所需的修改和说明。</w:t>
      </w:r>
    </w:p>
    <w:p>
      <w:pPr>
        <w:keepNext w:val="0"/>
        <w:spacing w:before="0" w:after="0" w:line="360" w:lineRule="auto"/>
        <w:ind w:firstLine="420"/>
        <w:jc w:val="both"/>
      </w:pPr>
      <w:r>
        <w:rPr>
          <w:rFonts w:ascii="Times New Roman" w:hAnsi="Times New Roman" w:eastAsia="黑体"/>
          <w:b/>
          <w:color w:val="000000"/>
          <w:sz w:val="24"/>
        </w:rPr>
        <w:t>研究假设 H2：</w:t>
      </w:r>
      <w:r>
        <w:rPr>
          <w:rFonts w:ascii="Times New Roman" w:hAnsi="Times New Roman" w:eastAsia="宋体"/>
          <w:b w:val="0"/>
          <w:color w:val="000000"/>
          <w:sz w:val="24"/>
        </w:rPr>
        <w:t>当模型调用被嵌入统一 Harness，并同时施加权限、工具白名单、结构 Schema、业务规则和人工确认门禁时，系统能够将异常输入、越权访问、响应缺失、瞬时服务错误和不合规候选限制在可诊断、可回退的范围内。验证时以自动化稳健性测试、运行事件和失败处理记录作为依据。</w:t>
      </w:r>
    </w:p>
    <w:p>
      <w:pPr>
        <w:keepNext w:val="0"/>
        <w:spacing w:before="0" w:after="0" w:line="360" w:lineRule="auto"/>
        <w:ind w:firstLine="420"/>
        <w:jc w:val="both"/>
      </w:pPr>
      <w:r>
        <w:rPr>
          <w:rFonts w:ascii="Times New Roman" w:hAnsi="Times New Roman" w:eastAsia="黑体"/>
          <w:b/>
          <w:color w:val="000000"/>
          <w:sz w:val="24"/>
        </w:rPr>
        <w:t>研究假设 H3：</w:t>
      </w:r>
      <w:r>
        <w:rPr>
          <w:rFonts w:ascii="Times New Roman" w:hAnsi="Times New Roman" w:eastAsia="宋体"/>
          <w:b w:val="0"/>
          <w:color w:val="000000"/>
          <w:sz w:val="24"/>
        </w:rPr>
        <w:t>本地基于 Qwen 的自研模型并不需要在全部任务上一次性取代云端服务；只要在同一上下文、同一工具与同一门禁下，通过任务级质量、安全、时延和人工可用性阈值，即可先在对象抽取、分类、结构化生成等可控任务上扩大使用范围。验证时使用统一测试集和同一评分口径，避免部署位置带来的非公平比较。</w:t>
      </w:r>
    </w:p>
    <w:p>
      <w:pPr>
        <w:keepNext w:val="0"/>
        <w:spacing w:before="0" w:after="100" w:line="360" w:lineRule="auto"/>
        <w:ind w:firstLine="420"/>
        <w:jc w:val="both"/>
      </w:pPr>
      <w:r>
        <w:rPr>
          <w:rFonts w:ascii="Times New Roman" w:hAnsi="Times New Roman" w:eastAsia="宋体"/>
          <w:b w:val="0"/>
          <w:color w:val="000000"/>
          <w:sz w:val="24"/>
        </w:rPr>
        <w:t>上述假设的共同前提是：模型结论与业务动作必须分离。系统可以让模型生成事实摘要、候选关系、解释、推荐和风险说明，但不能把自然语言输出直接视为“活动已发布”或“规则已生效”。因此，项目同时关注模型能力与制度化约束能力，强调可审计的协同而不是无边界的自动化。</w:t>
      </w:r>
    </w:p>
    <w:p>
      <w:pPr>
        <w:pStyle w:val="Heading3"/>
        <w:keepNext/>
        <w:spacing w:before="140" w:after="40" w:line="300" w:lineRule="auto"/>
        <w:ind w:firstLine="0"/>
        <w:jc w:val="left"/>
      </w:pPr>
      <w:r>
        <w:rPr>
          <w:rFonts w:ascii="Times New Roman" w:hAnsi="Times New Roman" w:eastAsia="楷体"/>
          <w:b/>
          <w:color w:val="000000"/>
          <w:sz w:val="24"/>
        </w:rPr>
        <w:t>1.1.5  研究边界与证据原则</w:t>
      </w:r>
    </w:p>
    <w:p>
      <w:pPr>
        <w:keepNext w:val="0"/>
        <w:spacing w:before="0" w:after="100" w:line="360" w:lineRule="auto"/>
        <w:ind w:firstLine="420"/>
        <w:jc w:val="both"/>
      </w:pPr>
      <w:r>
        <w:rPr>
          <w:rFonts w:ascii="Times New Roman" w:hAnsi="Times New Roman" w:eastAsia="宋体"/>
          <w:b w:val="0"/>
          <w:color w:val="000000"/>
          <w:sz w:val="24"/>
        </w:rPr>
        <w:t>项目研究对象是航空营销运营中的决策辅助与流程编排，不替代航司既有的收益管理、用户画像、产品管理、渠道投放、财务预算或 OA 审批系统。上游系统仍然是主数据和业务规则的权威来源；平台负责在授权边界内对多源信息进行语义组织、推理辅助和营销闭环编排。对于尚未接入的真实系统，本文使用“后续验证”或“拟接入”表述，不将原型数据、示例对象或工程设计直接表述为已发生的生产经营事实。</w:t>
      </w:r>
    </w:p>
    <w:p>
      <w:pPr>
        <w:keepNext w:val="0"/>
        <w:spacing w:before="0" w:after="100" w:line="360" w:lineRule="auto"/>
        <w:ind w:firstLine="420"/>
        <w:jc w:val="both"/>
      </w:pPr>
      <w:r>
        <w:rPr>
          <w:rFonts w:ascii="Times New Roman" w:hAnsi="Times New Roman" w:eastAsia="宋体"/>
          <w:b w:val="0"/>
          <w:color w:val="000000"/>
          <w:sz w:val="24"/>
        </w:rPr>
        <w:t>证据原则包括四点：第一，来源可定位，任何进入知识库或本体的事实应能回到文件、接口、数据库快照或人工确认记录；第二，状态可区分，候选、正式、生效、过期、冲突和已拒绝不能混为一谈；第三，权限可校验，推理上下文仅来自当前租户和当前角色被授权的数据范围；第四，结果可复核，模型、Prompt、工具、知识与本体版本、Token、耗时、错误和人工反馈均应成为运行记录的一部分。</w:t>
      </w:r>
    </w:p>
    <w:p>
      <w:pPr>
        <w:pStyle w:val="Heading2"/>
        <w:keepNext/>
        <w:spacing w:before="200" w:after="80" w:line="300" w:lineRule="auto"/>
        <w:ind w:firstLine="0"/>
        <w:jc w:val="left"/>
      </w:pPr>
      <w:r>
        <w:rPr>
          <w:rFonts w:ascii="Times New Roman" w:hAnsi="Times New Roman" w:eastAsia="黑体"/>
          <w:b/>
          <w:color w:val="000000"/>
          <w:sz w:val="26"/>
        </w:rPr>
        <w:t>1.2  场景和价值</w:t>
      </w:r>
    </w:p>
    <w:p>
      <w:pPr>
        <w:pStyle w:val="Heading3"/>
        <w:keepNext/>
        <w:spacing w:before="140" w:after="40" w:line="300" w:lineRule="auto"/>
        <w:ind w:firstLine="0"/>
        <w:jc w:val="left"/>
      </w:pPr>
      <w:r>
        <w:rPr>
          <w:rFonts w:ascii="Times New Roman" w:hAnsi="Times New Roman" w:eastAsia="楷体"/>
          <w:b/>
          <w:color w:val="000000"/>
          <w:sz w:val="24"/>
        </w:rPr>
        <w:t>1.2.1  面向航空营销的典型应用场景</w:t>
      </w:r>
    </w:p>
    <w:p>
      <w:pPr>
        <w:keepNext w:val="0"/>
        <w:spacing w:before="0" w:after="100" w:line="360" w:lineRule="auto"/>
        <w:ind w:firstLine="420"/>
        <w:jc w:val="both"/>
      </w:pPr>
      <w:r>
        <w:rPr>
          <w:rFonts w:ascii="Times New Roman" w:hAnsi="Times New Roman" w:eastAsia="宋体"/>
          <w:b w:val="0"/>
          <w:color w:val="000000"/>
          <w:sz w:val="24"/>
        </w:rPr>
        <w:t>平台面向市场热点、航线与航班经营、聚合客群、客票及辅营产品、营销内容、活动审批、渠道执行和效果复盘等连续环节。以“上海—三亚国庆早鸟”场景为例：当目的地热度、App 搜索趋势、航线供给和预售窗口共同呈现机会信号时，机会洞察智能域生成带来源和时间窗的机会候选；客群洞察智能域基于授权范围内的聚合行为形成可复现的 AudienceSnapshot；产品匹配智能域对客票、行李、优选座位和目的地权益进行库存、资格和有效期校验；内容与活动智能域生成渠道候选版本并进入审批；执行与复盘智能域再将回传结果归因到客群、产品、内容和渠道。</w:t>
      </w:r>
    </w:p>
    <w:p>
      <w:pPr>
        <w:keepNext w:val="0"/>
        <w:spacing w:before="0" w:after="100" w:line="360" w:lineRule="auto"/>
        <w:ind w:firstLine="420"/>
        <w:jc w:val="both"/>
      </w:pPr>
      <w:r>
        <w:rPr>
          <w:rFonts w:ascii="Times New Roman" w:hAnsi="Times New Roman" w:eastAsia="宋体"/>
          <w:b w:val="0"/>
          <w:color w:val="000000"/>
          <w:sz w:val="24"/>
        </w:rPr>
        <w:t>该流程的价值不在于把营销人员替换为文本生成器，而在于降低跨系统查询、证据核对、规则检查和复盘串联的成本。业务人员可在每个候选结论中看到其来源、关联对象、模型运行轨迹、置信度和待确认事项；AI 推理的作用由“给出答案”提升为“基于证据形成可审查的候选建议”。</w:t>
      </w:r>
    </w:p>
    <w:p>
      <w:pPr>
        <w:pStyle w:val="Heading3"/>
        <w:keepNext/>
        <w:spacing w:before="140" w:after="40" w:line="300" w:lineRule="auto"/>
        <w:ind w:firstLine="0"/>
        <w:jc w:val="left"/>
      </w:pPr>
      <w:r>
        <w:rPr>
          <w:rFonts w:ascii="Times New Roman" w:hAnsi="Times New Roman" w:eastAsia="楷体"/>
          <w:b/>
          <w:color w:val="000000"/>
          <w:sz w:val="24"/>
        </w:rPr>
        <w:t>1.2.2  技术价值与应用价值</w:t>
      </w:r>
    </w:p>
    <w:p>
      <w:pPr>
        <w:keepNext w:val="0"/>
        <w:spacing w:before="0" w:after="0" w:line="360" w:lineRule="auto"/>
        <w:ind w:firstLine="420"/>
        <w:jc w:val="both"/>
      </w:pPr>
      <w:r>
        <w:rPr>
          <w:rFonts w:ascii="Times New Roman" w:hAnsi="Times New Roman" w:eastAsia="黑体"/>
          <w:b/>
          <w:color w:val="000000"/>
          <w:sz w:val="24"/>
        </w:rPr>
        <w:t>技术价值：</w:t>
      </w:r>
      <w:r>
        <w:rPr>
          <w:rFonts w:ascii="Times New Roman" w:hAnsi="Times New Roman" w:eastAsia="宋体"/>
          <w:b w:val="0"/>
          <w:color w:val="000000"/>
          <w:sz w:val="24"/>
        </w:rPr>
        <w:t>提出领域本体、统一 Harness、工具化推理、输出 Schema 校验和人工门禁协同的应用型技术路线。该路线避免把 RAG、工作流或聊天接口孤立部署，而是使它们围绕航空营销的业务对象与状态机运行。</w:t>
      </w:r>
    </w:p>
    <w:p>
      <w:pPr>
        <w:keepNext w:val="0"/>
        <w:spacing w:before="0" w:after="0" w:line="360" w:lineRule="auto"/>
        <w:ind w:firstLine="420"/>
        <w:jc w:val="both"/>
      </w:pPr>
      <w:r>
        <w:rPr>
          <w:rFonts w:ascii="Times New Roman" w:hAnsi="Times New Roman" w:eastAsia="黑体"/>
          <w:b/>
          <w:color w:val="000000"/>
          <w:sz w:val="24"/>
        </w:rPr>
        <w:t>应用价值：</w:t>
      </w:r>
      <w:r>
        <w:rPr>
          <w:rFonts w:ascii="Times New Roman" w:hAnsi="Times New Roman" w:eastAsia="宋体"/>
          <w:b w:val="0"/>
          <w:color w:val="000000"/>
          <w:sz w:val="24"/>
        </w:rPr>
        <w:t>将机会、客群、产品、内容、活动、执行与复盘连接为同一条可追溯链，帮助营销人员在复杂规则与多源信息环境中更快形成可审核的方案，同时为后续真实渠道接入和增量评估保留结构化基础。</w:t>
      </w:r>
    </w:p>
    <w:p>
      <w:pPr>
        <w:keepNext w:val="0"/>
        <w:spacing w:before="0" w:after="0" w:line="360" w:lineRule="auto"/>
        <w:ind w:firstLine="420"/>
        <w:jc w:val="both"/>
      </w:pPr>
      <w:r>
        <w:rPr>
          <w:rFonts w:ascii="Times New Roman" w:hAnsi="Times New Roman" w:eastAsia="黑体"/>
          <w:b/>
          <w:color w:val="000000"/>
          <w:sz w:val="24"/>
        </w:rPr>
        <w:t>治理价值：</w:t>
      </w:r>
      <w:r>
        <w:rPr>
          <w:rFonts w:ascii="Times New Roman" w:hAnsi="Times New Roman" w:eastAsia="宋体"/>
          <w:b w:val="0"/>
          <w:color w:val="000000"/>
          <w:sz w:val="24"/>
        </w:rPr>
        <w:t>通过数据最小化、租户隔离、来源记录、候选准入、版本状态和责任分离，避免模型在没有业务依据或授权的情况下直接触发高影响营销动作，为航空场景下 AI 的可信应用提供可复用的工程范式。</w:t>
      </w:r>
    </w:p>
    <w:p>
      <w:pPr>
        <w:pStyle w:val="Heading2"/>
        <w:keepNext/>
        <w:spacing w:before="200" w:after="80" w:line="300" w:lineRule="auto"/>
        <w:ind w:firstLine="0"/>
        <w:jc w:val="left"/>
      </w:pPr>
      <w:r>
        <w:rPr>
          <w:rFonts w:ascii="Times New Roman" w:hAnsi="Times New Roman" w:eastAsia="黑体"/>
          <w:b/>
          <w:color w:val="000000"/>
          <w:sz w:val="26"/>
        </w:rPr>
        <w:t>1.3  所需支持</w:t>
      </w:r>
    </w:p>
    <w:p>
      <w:pPr>
        <w:keepNext w:val="0"/>
        <w:spacing w:before="0" w:after="100" w:line="360" w:lineRule="auto"/>
        <w:ind w:firstLine="420"/>
        <w:jc w:val="both"/>
      </w:pPr>
      <w:r>
        <w:rPr>
          <w:rFonts w:ascii="Times New Roman" w:hAnsi="Times New Roman" w:eastAsia="宋体"/>
          <w:b w:val="0"/>
          <w:color w:val="000000"/>
          <w:sz w:val="24"/>
        </w:rPr>
        <w:t>项目已具备原型验证所需的软件环境和工程基础。为从原型进一步走向可验证的业务闭环，仍需在数据授权、领域规则、算力与验证环境方面获得持续支持。所有数据接入将以授权、脱敏、聚合和最小必要为前提，平台不在营销工作台展示无关的旅客个人明细。</w:t>
      </w:r>
    </w:p>
    <w:tbl>
      <w:tblPr>
        <w:tblStyle w:val="TableGrid"/>
        <w:tblW w:type="dxa" w:w="9000"/>
        <w:jc w:val="center"/>
        <w:tblLayout w:type="fixed"/>
        <w:tblLook w:firstColumn="1" w:firstRow="1" w:lastColumn="0" w:lastRow="0" w:noHBand="0" w:noVBand="1" w:val="04A0"/>
        <w:tblInd w:w="0" w:type="dxa"/>
      </w:tblPr>
      <w:tblGrid>
        <w:gridCol w:w="1350"/>
        <w:gridCol w:w="2700"/>
        <w:gridCol w:w="2950"/>
        <w:gridCol w:w="2000"/>
      </w:tblGrid>
      <w:tr>
        <w:trPr>
          <w:cantSplit/>
          <w:tblHeader w:val="true"/>
        </w:trPr>
        <w:tc>
          <w:tcPr>
            <w:tcW w:type="dxa" w:w="13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支持类别</w:t>
            </w:r>
          </w:p>
        </w:tc>
        <w:tc>
          <w:tcPr>
            <w:tcW w:type="dxa" w:w="2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当前基础</w:t>
            </w:r>
          </w:p>
        </w:tc>
        <w:tc>
          <w:tcPr>
            <w:tcW w:type="dxa" w:w="2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后续所需支持</w:t>
            </w:r>
          </w:p>
        </w:tc>
        <w:tc>
          <w:tcPr>
            <w:tcW w:type="dxa" w:w="2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用于验证的目标</w:t>
            </w:r>
          </w:p>
        </w:tc>
      </w:tr>
      <w:tr>
        <w:trPr>
          <w:cantSplit/>
        </w:trPr>
        <w:tc>
          <w:tcPr>
            <w:tcW w:type="dxa" w:w="13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数据与规则</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已有文件接入、知识片段、产品与营销对象存储能力。</w:t>
            </w:r>
          </w:p>
        </w:tc>
        <w:tc>
          <w:tcPr>
            <w:tcW w:type="dxa" w:w="2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授权的聚合客群、产品规则、航线经营指标、渠道回传样本及口径说明。</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检验本体抽取、规则校验与归因链路。</w:t>
            </w:r>
          </w:p>
        </w:tc>
      </w:tr>
      <w:tr>
        <w:trPr>
          <w:cantSplit/>
        </w:trPr>
        <w:tc>
          <w:tcPr>
            <w:tcW w:type="dxa" w:w="13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模型与算力</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百炼兼容推理服务已接入；本地内置 Qwen 自研模型具备受控验证入口。</w:t>
            </w:r>
          </w:p>
        </w:tc>
        <w:tc>
          <w:tcPr>
            <w:tcW w:type="dxa" w:w="2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本地推理资源、隔离测试集、模型版本与任务路由配置。</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进行同条件质量、时延、成本和稳健性对照。</w:t>
            </w:r>
          </w:p>
        </w:tc>
      </w:tr>
      <w:tr>
        <w:trPr>
          <w:cantSplit/>
        </w:trPr>
        <w:tc>
          <w:tcPr>
            <w:tcW w:type="dxa" w:w="13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业务验证</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活动、审批、执行和复盘已形成原型对象链。</w:t>
            </w:r>
          </w:p>
        </w:tc>
        <w:tc>
          <w:tcPr>
            <w:tcW w:type="dxa" w:w="2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业务专家参与候选审核、规则确认与典型场景演练。</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确认输出可理解、可审计、可被运营使用。</w:t>
            </w:r>
          </w:p>
        </w:tc>
      </w:tr>
      <w:tr>
        <w:trPr>
          <w:cantSplit/>
        </w:trPr>
        <w:tc>
          <w:tcPr>
            <w:tcW w:type="dxa" w:w="13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工程保障</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Docker、PostgreSQL、API、前端工作台与自动化测试已可用。</w:t>
            </w:r>
          </w:p>
        </w:tc>
        <w:tc>
          <w:tcPr>
            <w:tcW w:type="dxa" w:w="2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持久化任务队列、独立 Worker、授权渠道和回调环境。</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验证长任务恢复、真实闭环与生产化边界。</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1"/>
        <w:keepNext/>
        <w:spacing w:before="300" w:after="140" w:line="300" w:lineRule="auto"/>
        <w:ind w:firstLine="0"/>
        <w:jc w:val="left"/>
      </w:pPr>
      <w:r>
        <w:rPr>
          <w:rFonts w:ascii="Times New Roman" w:hAnsi="Times New Roman" w:eastAsia="黑体"/>
          <w:b/>
          <w:color w:val="000000"/>
          <w:sz w:val="32"/>
        </w:rPr>
        <w:t>2  项目规划</w:t>
      </w:r>
    </w:p>
    <w:p>
      <w:pPr>
        <w:pStyle w:val="Heading2"/>
        <w:keepNext/>
        <w:spacing w:before="200" w:after="80" w:line="300" w:lineRule="auto"/>
        <w:ind w:firstLine="0"/>
        <w:jc w:val="left"/>
      </w:pPr>
      <w:r>
        <w:rPr>
          <w:rFonts w:ascii="Times New Roman" w:hAnsi="Times New Roman" w:eastAsia="黑体"/>
          <w:b/>
          <w:color w:val="000000"/>
          <w:sz w:val="26"/>
        </w:rPr>
        <w:t>2.1  整体目标</w:t>
      </w:r>
    </w:p>
    <w:p>
      <w:pPr>
        <w:keepNext w:val="0"/>
        <w:spacing w:before="0" w:after="100" w:line="360" w:lineRule="auto"/>
        <w:ind w:firstLine="420"/>
        <w:jc w:val="both"/>
      </w:pPr>
      <w:r>
        <w:rPr>
          <w:rFonts w:ascii="Times New Roman" w:hAnsi="Times New Roman" w:eastAsia="宋体"/>
          <w:b w:val="0"/>
          <w:color w:val="000000"/>
          <w:sz w:val="24"/>
        </w:rPr>
        <w:t>项目总体目标是构建面向航空营销的可信 AI 推理原型：以营销本体统一表达业务语义，以知识证据约束模型上下文，以统一 Harness 管理模型与工具运行，以人工审核和规则服务约束高影响动作，并以任务级评测支持云端百炼服务与本地自研 Qwen 模型的渐进式协同。项目验收强调“可运行、可追溯、可验证、可治理”，而非仅展示单次自然语言生成效果。</w:t>
      </w:r>
    </w:p>
    <w:p>
      <w:pPr>
        <w:pStyle w:val="Heading3"/>
        <w:keepNext/>
        <w:spacing w:before="140" w:after="40" w:line="300" w:lineRule="auto"/>
        <w:ind w:firstLine="0"/>
        <w:jc w:val="left"/>
      </w:pPr>
      <w:r>
        <w:rPr>
          <w:rFonts w:ascii="Times New Roman" w:hAnsi="Times New Roman" w:eastAsia="楷体"/>
          <w:b/>
          <w:color w:val="000000"/>
          <w:sz w:val="24"/>
        </w:rPr>
        <w:t>2.1.1  研究内容与关键目标</w:t>
      </w:r>
    </w:p>
    <w:tbl>
      <w:tblPr>
        <w:tblStyle w:val="TableGrid"/>
        <w:tblW w:type="dxa" w:w="9000"/>
        <w:jc w:val="center"/>
        <w:tblLayout w:type="fixed"/>
        <w:tblLook w:firstColumn="1" w:firstRow="1" w:lastColumn="0" w:lastRow="0" w:noHBand="0" w:noVBand="1" w:val="04A0"/>
        <w:tblInd w:w="0" w:type="dxa"/>
      </w:tblPr>
      <w:tblGrid>
        <w:gridCol w:w="2100"/>
        <w:gridCol w:w="3400"/>
        <w:gridCol w:w="3500"/>
      </w:tblGrid>
      <w:tr>
        <w:trPr>
          <w:cantSplit/>
          <w:tblHeader w:val="true"/>
        </w:trPr>
        <w:tc>
          <w:tcPr>
            <w:tcW w:type="dxa" w:w="21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研究内容</w:t>
            </w:r>
          </w:p>
        </w:tc>
        <w:tc>
          <w:tcPr>
            <w:tcW w:type="dxa" w:w="34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关键目标</w:t>
            </w:r>
          </w:p>
        </w:tc>
        <w:tc>
          <w:tcPr>
            <w:tcW w:type="dxa" w:w="3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可检查的系统证据</w:t>
            </w:r>
          </w:p>
        </w:tc>
      </w:tr>
      <w:tr>
        <w:trPr>
          <w:cantSplit/>
        </w:trPr>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营销本体与知识底座</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将业务资料转化为候选对象、关系、证据、置信度和状态，并经人工确认后进入正式图谱。</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知识文档/片段、本体对象/关系、来源定位、审核记录与版本状态。</w:t>
            </w:r>
          </w:p>
        </w:tc>
      </w:tr>
      <w:tr>
        <w:trPr>
          <w:cantSplit/>
        </w:trPr>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受控 AI 推理编排</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把授权上下文、智能域契约、工具函数、模型调用、结构校验和人工门禁组织为统一运行链。</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Harness 运行事件、工具轨迹、模型/Token/耗时、Schema 校验与审批记录。</w:t>
            </w:r>
          </w:p>
        </w:tc>
      </w:tr>
      <w:tr>
        <w:trPr>
          <w:cantSplit/>
        </w:trPr>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双模型任务级评测</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在相同提示、上下文、工具和业务门禁下，对百炼主用链路与本地自研 Qwen 进行对照。</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测试集、任务类型、质量指标、时延、错误、人工修改与路由决策。</w:t>
            </w:r>
          </w:p>
        </w:tc>
      </w:tr>
      <w:tr>
        <w:trPr>
          <w:cantSplit/>
        </w:trPr>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营销闭环验证</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以机会—客群—产品—活动—执行—反馈—归因为对象主线，验证建议能够被业务环节接收。</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候选方案、审批摘要、执行批次、反馈对象、归因结果和复盘建议。</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3"/>
        <w:keepNext/>
        <w:spacing w:before="140" w:after="40" w:line="300" w:lineRule="auto"/>
        <w:ind w:firstLine="0"/>
        <w:jc w:val="left"/>
      </w:pPr>
      <w:r>
        <w:rPr>
          <w:rFonts w:ascii="Times New Roman" w:hAnsi="Times New Roman" w:eastAsia="楷体"/>
          <w:b/>
          <w:color w:val="000000"/>
          <w:sz w:val="24"/>
        </w:rPr>
        <w:t>2.1.2  拟解决的关键技术问题</w:t>
      </w:r>
    </w:p>
    <w:p>
      <w:pPr>
        <w:keepNext w:val="0"/>
        <w:spacing w:before="0" w:after="100" w:line="360" w:lineRule="auto"/>
        <w:ind w:firstLine="420"/>
        <w:jc w:val="both"/>
      </w:pPr>
      <w:r>
        <w:rPr>
          <w:rFonts w:ascii="Times New Roman" w:hAnsi="Times New Roman" w:eastAsia="宋体"/>
          <w:b w:val="0"/>
          <w:color w:val="000000"/>
          <w:sz w:val="24"/>
        </w:rPr>
        <w:t>第一，异构营销资料的语义准入问题。系统需要区分“可作为参考知识的文本”与“可进入本体的业务事实”，并对对象类型、关系端点、证据完整性、置信度和有效期实施校验，避免将泛化宣传或无法确认来源的信息写入正式图谱。第二，生成式推理与业务规则的协同问题。模型可提出分析路径和候选方案，但不能绕过权限、库存、资格、频控、预算和审批等确定性约束。第三，模型演进中的可比性问题。本地自研模型的扩展必须建立在同一任务、同一上下文和同一验收口径之上，避免把不同输入条件下的主观感受误作模型能力提升。</w:t>
      </w:r>
    </w:p>
    <w:p>
      <w:pPr>
        <w:pStyle w:val="Heading3"/>
        <w:keepNext/>
        <w:spacing w:before="140" w:after="40" w:line="300" w:lineRule="auto"/>
        <w:ind w:firstLine="0"/>
        <w:jc w:val="left"/>
      </w:pPr>
      <w:r>
        <w:rPr>
          <w:rFonts w:ascii="Times New Roman" w:hAnsi="Times New Roman" w:eastAsia="楷体"/>
          <w:b/>
          <w:color w:val="000000"/>
          <w:sz w:val="24"/>
        </w:rPr>
        <w:t>2.1.3  预期成果与验收思路</w:t>
      </w:r>
    </w:p>
    <w:p>
      <w:pPr>
        <w:keepNext w:val="0"/>
        <w:spacing w:before="0" w:after="100" w:line="360" w:lineRule="auto"/>
        <w:ind w:firstLine="420"/>
        <w:jc w:val="both"/>
      </w:pPr>
      <w:r>
        <w:rPr>
          <w:rFonts w:ascii="Times New Roman" w:hAnsi="Times New Roman" w:eastAsia="宋体"/>
          <w:b w:val="0"/>
          <w:color w:val="000000"/>
          <w:sz w:val="24"/>
        </w:rPr>
        <w:t>预期形成一套可运行的东方航空智能营销平台原型、一版可审计的航司营销本体、一组覆盖数据处理与六个营销智能域的推理运行规范、一套云端与本地模型对照评测方法，以及若干典型营销场景的端到端演示。验收时重点检查：每项建议是否可追溯到知识来源和本体关系；每次模型运行是否记录模型、Token、时延、工具和错误；本体正式更新和对外营销动作是否经过人工门禁；双模型是否能在统一评价框架下给出可比较的结果。</w:t>
      </w:r>
    </w:p>
    <w:p>
      <w:pPr>
        <w:pStyle w:val="Heading3"/>
        <w:keepNext/>
        <w:spacing w:before="140" w:after="40" w:line="300" w:lineRule="auto"/>
        <w:ind w:firstLine="0"/>
        <w:jc w:val="left"/>
      </w:pPr>
      <w:r>
        <w:rPr>
          <w:rFonts w:ascii="Times New Roman" w:hAnsi="Times New Roman" w:eastAsia="楷体"/>
          <w:b/>
          <w:color w:val="000000"/>
          <w:sz w:val="24"/>
        </w:rPr>
        <w:t>2.1.4  研究方法与实验设计</w:t>
      </w:r>
    </w:p>
    <w:p>
      <w:pPr>
        <w:keepNext w:val="0"/>
        <w:spacing w:before="0" w:after="100" w:line="360" w:lineRule="auto"/>
        <w:ind w:firstLine="420"/>
        <w:jc w:val="both"/>
      </w:pPr>
      <w:r>
        <w:rPr>
          <w:rFonts w:ascii="Times New Roman" w:hAnsi="Times New Roman" w:eastAsia="宋体"/>
          <w:b w:val="0"/>
          <w:color w:val="000000"/>
          <w:sz w:val="24"/>
        </w:rPr>
        <w:t>项目采用“工程原型构建—对照实验—场景回放—人工评审”相结合的方法。工程原型用于确保提出的语义模型、推理编排和治理规则能够真正运行；对照实验用于在保持输入条件一致的情况下比较不同模型、不同上下文组织方式或不同工具策略；场景回放用于将抽象指标置入具体航线、客群、产品与活动流程中观察；人工评审用于判断建议是否符合业务常识、规则和可操作性。四种方法相互补充，避免只依据单一自动指标或单次人工印象得出结论。</w:t>
      </w:r>
    </w:p>
    <w:p>
      <w:pPr>
        <w:keepNext w:val="0"/>
        <w:spacing w:before="0" w:after="100" w:line="360" w:lineRule="auto"/>
        <w:ind w:firstLine="420"/>
        <w:jc w:val="both"/>
      </w:pPr>
      <w:r>
        <w:rPr>
          <w:rFonts w:ascii="Times New Roman" w:hAnsi="Times New Roman" w:eastAsia="宋体"/>
          <w:b w:val="0"/>
          <w:color w:val="000000"/>
          <w:sz w:val="24"/>
        </w:rPr>
        <w:t>实验单元以“任务”而非“模型会话”定义。一个任务由问题类型、允许读取的数据对象、知识与本体版本、可调用工具、输出 Schema、人工审核规则和评价指标组成。例如，市场热点处理任务要求生成候选 MarketSignal、Route、Opportunity 及其证据；产品匹配任务要求输出 ProductPackage、适用条件与不可用原因；内容生成任务要求引用已审核的产品事实并通过渠道规格检查。这样可保证云端服务和本地自研模型面对相同业务约束。</w:t>
      </w:r>
    </w:p>
    <w:tbl>
      <w:tblPr>
        <w:tblStyle w:val="TableGrid"/>
        <w:tblW w:type="dxa" w:w="9000"/>
        <w:jc w:val="center"/>
        <w:tblLayout w:type="fixed"/>
        <w:tblLook w:firstColumn="1" w:firstRow="1" w:lastColumn="0" w:lastRow="0" w:noHBand="0" w:noVBand="1" w:val="04A0"/>
        <w:tblInd w:w="0" w:type="dxa"/>
      </w:tblPr>
      <w:tblGrid>
        <w:gridCol w:w="1500"/>
        <w:gridCol w:w="2800"/>
        <w:gridCol w:w="2400"/>
        <w:gridCol w:w="2300"/>
      </w:tblGrid>
      <w:tr>
        <w:trPr>
          <w:cantSplit/>
          <w:tblHeader w:val="true"/>
        </w:trPr>
        <w:tc>
          <w:tcPr>
            <w:tcW w:type="dxa" w:w="1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实验环节</w:t>
            </w:r>
          </w:p>
        </w:tc>
        <w:tc>
          <w:tcPr>
            <w:tcW w:type="dxa" w:w="2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变量控制</w:t>
            </w:r>
          </w:p>
        </w:tc>
        <w:tc>
          <w:tcPr>
            <w:tcW w:type="dxa" w:w="24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主要观测</w:t>
            </w:r>
          </w:p>
        </w:tc>
        <w:tc>
          <w:tcPr>
            <w:tcW w:type="dxa" w:w="2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结果解释原则</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语义上下文对照</w:t>
            </w:r>
          </w:p>
        </w:tc>
        <w:tc>
          <w:tcPr>
            <w:tcW w:type="dxa" w:w="2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固定问题、模型、工具和数据范围，仅调整是否提供本体关系与证据。</w:t>
            </w:r>
          </w:p>
        </w:tc>
        <w:tc>
          <w:tcPr>
            <w:tcW w:type="dxa" w:w="2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来源可定位、关系完整、事实冲突、人工核对耗时。</w:t>
            </w:r>
          </w:p>
        </w:tc>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判断本体语义是否改善可解释性，不以文风优劣替代事实质量。</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模型任务对照</w:t>
            </w:r>
          </w:p>
        </w:tc>
        <w:tc>
          <w:tcPr>
            <w:tcW w:type="dxa" w:w="2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固定 Prompt、上下文、工具、Schema 和人工门禁，比较百炼与内置 Qwen。</w:t>
            </w:r>
          </w:p>
        </w:tc>
        <w:tc>
          <w:tcPr>
            <w:tcW w:type="dxa" w:w="2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结构合法、证据完整、规则通过、时延、失败、人工修改。</w:t>
            </w:r>
          </w:p>
        </w:tc>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按任务给出路由建议，不将个别成功样本泛化为整体结论。</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稳健性测试</w:t>
            </w:r>
          </w:p>
        </w:tc>
        <w:tc>
          <w:tcPr>
            <w:tcW w:type="dxa" w:w="2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构造瞬时异常、异常响应、超长输入、跨租户访问和未启用提供者等条件。</w:t>
            </w:r>
          </w:p>
        </w:tc>
        <w:tc>
          <w:tcPr>
            <w:tcW w:type="dxa" w:w="2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重试、错误分类、拒绝行为、密钥保护、回退与运行事件。</w:t>
            </w:r>
          </w:p>
        </w:tc>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判断工程防护是否有效，不替代真实生产容量压测。</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场景回放</w:t>
            </w:r>
          </w:p>
        </w:tc>
        <w:tc>
          <w:tcPr>
            <w:tcW w:type="dxa" w:w="2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固定业务窗口、对象关系、审核规则与归因口径，演练完整营销链。</w:t>
            </w:r>
          </w:p>
        </w:tc>
        <w:tc>
          <w:tcPr>
            <w:tcW w:type="dxa" w:w="2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候选建议、审批点、执行批次、反馈对象和复盘结论。</w:t>
            </w:r>
          </w:p>
        </w:tc>
        <w:tc>
          <w:tcPr>
            <w:tcW w:type="dxa" w:w="2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验证对象链是否闭合，不将演练数据当作经营增量。</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为降低评测偶然性，项目将同时记录自动指标和人工反馈。自动指标能够稳定衡量响应结构、规则通过、时延、Token、错误和工具调用；人工反馈能够识别营销语义是否正确、权益表述是否可承诺、解释是否足以支持决策。二者不应互相替代：自动指标通过不代表业务可用，人工喜欢的文案也不代表系统在权限、证据和安全方面合格。</w:t>
      </w:r>
    </w:p>
    <w:p>
      <w:pPr>
        <w:pStyle w:val="Heading3"/>
        <w:keepNext/>
        <w:spacing w:before="140" w:after="40" w:line="300" w:lineRule="auto"/>
        <w:ind w:firstLine="0"/>
        <w:jc w:val="left"/>
      </w:pPr>
      <w:r>
        <w:rPr>
          <w:rFonts w:ascii="Times New Roman" w:hAnsi="Times New Roman" w:eastAsia="楷体"/>
          <w:b/>
          <w:color w:val="000000"/>
          <w:sz w:val="24"/>
        </w:rPr>
        <w:t>2.1.5  指标体系与判定阈值设计</w:t>
      </w:r>
    </w:p>
    <w:p>
      <w:pPr>
        <w:keepNext w:val="0"/>
        <w:spacing w:before="0" w:after="100" w:line="360" w:lineRule="auto"/>
        <w:ind w:firstLine="420"/>
        <w:jc w:val="both"/>
      </w:pPr>
      <w:r>
        <w:rPr>
          <w:rFonts w:ascii="Times New Roman" w:hAnsi="Times New Roman" w:eastAsia="宋体"/>
          <w:b w:val="0"/>
          <w:color w:val="000000"/>
          <w:sz w:val="24"/>
        </w:rPr>
        <w:t>项目建立“准入指标—过程指标—结果指标”三层评价框架。准入指标决定候选对象、关系或模型输出能否进入人工审核，包括对象类型、证据、置信度、端点、Schema 和权限校验；过程指标用于观察系统推理是否稳定，包括模型调用次数、Token、时延、重试、失败、工具轨迹和人工修改；结果指标用于授权业务环境中的营销效果，包括送达、互动、购票、核销、辅营、投诉、增量与 ROI。三层指标分别服务于数据质量、工程质量和业务质量，避免把它们混为一个分数。</w:t>
      </w:r>
    </w:p>
    <w:p>
      <w:pPr>
        <w:keepNext w:val="0"/>
        <w:spacing w:before="0" w:after="100" w:line="360" w:lineRule="auto"/>
        <w:ind w:firstLine="420"/>
        <w:jc w:val="both"/>
      </w:pPr>
      <w:r>
        <w:rPr>
          <w:rFonts w:ascii="Times New Roman" w:hAnsi="Times New Roman" w:eastAsia="宋体"/>
          <w:b w:val="0"/>
          <w:color w:val="000000"/>
          <w:sz w:val="24"/>
        </w:rPr>
        <w:t>判定阈值采取“任务分级、逐步收紧”的方式。低风险的文本分类、字段标准化和候选关系抽取，可以先以结构合法、证据完整、人工可快速核对为门槛；中风险的机会建议、产品组合和内容候选，还需通过业务规则、事实校验、敏感词和审核门禁；高风险的预算、权益承诺、渠道触达和规则生效，无论模型质量多高都不得取消人工确认。模型路由阈值也应随任务风险等级变化，而不是以单一准确率覆盖全部业务。</w:t>
      </w:r>
    </w:p>
    <w:p>
      <w:pPr>
        <w:keepNext w:val="0"/>
        <w:spacing w:before="0" w:after="100" w:line="360" w:lineRule="auto"/>
        <w:ind w:firstLine="420"/>
        <w:jc w:val="both"/>
      </w:pPr>
      <w:r>
        <w:rPr>
          <w:rFonts w:ascii="Times New Roman" w:hAnsi="Times New Roman" w:eastAsia="宋体"/>
          <w:b w:val="0"/>
          <w:color w:val="000000"/>
          <w:sz w:val="24"/>
        </w:rPr>
        <w:t>在指标报告方式上，项目将明确区分“原型观测”“自动化测试结果”“场景演练结果”和“真实经营结果”。例如，17 项自动化稳健性测试全部通过、一次低流量端到端调用的耗时与工具轨迹，属于工程验证证据；真实的转化增量与 ROI 只有在授权渠道、真实回传、统一归因口径和对照设计完备后才可报告。该区分既保证项目结果可解释，也防止使用演示数据造成不当宣传。</w:t>
      </w:r>
    </w:p>
    <w:p>
      <w:pPr>
        <w:pStyle w:val="Heading3"/>
        <w:keepNext/>
        <w:spacing w:before="140" w:after="40" w:line="300" w:lineRule="auto"/>
        <w:ind w:firstLine="0"/>
        <w:jc w:val="left"/>
      </w:pPr>
      <w:r>
        <w:rPr>
          <w:rFonts w:ascii="Times New Roman" w:hAnsi="Times New Roman" w:eastAsia="楷体"/>
          <w:b/>
          <w:color w:val="000000"/>
          <w:sz w:val="24"/>
        </w:rPr>
        <w:t>2.1.6  阶段性成果组织方式</w:t>
      </w:r>
    </w:p>
    <w:p>
      <w:pPr>
        <w:keepNext w:val="0"/>
        <w:spacing w:before="0" w:after="100" w:line="360" w:lineRule="auto"/>
        <w:ind w:firstLine="420"/>
        <w:jc w:val="both"/>
      </w:pPr>
      <w:r>
        <w:rPr>
          <w:rFonts w:ascii="Times New Roman" w:hAnsi="Times New Roman" w:eastAsia="宋体"/>
          <w:b w:val="0"/>
          <w:color w:val="000000"/>
          <w:sz w:val="24"/>
        </w:rPr>
        <w:t>项目成果不以单一软件截图作为交付终点，而形成可复用的多层资产：在语义层，沉淀本体对象、关系、状态、证据和准入规则；在工程层，沉淀 Harness、模型适配、工具契约、运行事件和安全策略；在评测层，沉淀任务集、指标口径、对照记录和路由建议；在业务层，沉淀典型场景、审核记录、执行对象和复盘框架。各层成果都可独立检查，也可在端到端场景中组合验证。</w:t>
      </w:r>
    </w:p>
    <w:p>
      <w:pPr>
        <w:keepNext w:val="0"/>
        <w:spacing w:before="0" w:after="100" w:line="360" w:lineRule="auto"/>
        <w:ind w:firstLine="420"/>
        <w:jc w:val="both"/>
      </w:pPr>
      <w:r>
        <w:rPr>
          <w:rFonts w:ascii="Times New Roman" w:hAnsi="Times New Roman" w:eastAsia="宋体"/>
          <w:b w:val="0"/>
          <w:color w:val="000000"/>
          <w:sz w:val="24"/>
        </w:rPr>
        <w:t>对于竞赛展示，团队将以一个完整场景贯穿说明：从外部热点或经营信号进入知识与本体，到机会识别、客群快照、产品匹配、内容与活动候选，再到审批、执行回流和复盘。展示不仅说明“模型能说什么”，还说明“模型基于什么、不能做什么、何时需要人确认、如何量化运行质量”。这种组织方式与项目的研究目标一致，也便于评审从技术、业务和治理三个层面理解成果。</w:t>
      </w:r>
    </w:p>
    <w:p>
      <w:pPr>
        <w:pStyle w:val="Heading2"/>
        <w:keepNext/>
        <w:spacing w:before="200" w:after="80" w:line="300" w:lineRule="auto"/>
        <w:ind w:firstLine="0"/>
        <w:jc w:val="left"/>
      </w:pPr>
      <w:r>
        <w:rPr>
          <w:rFonts w:ascii="Times New Roman" w:hAnsi="Times New Roman" w:eastAsia="黑体"/>
          <w:b/>
          <w:color w:val="000000"/>
          <w:sz w:val="26"/>
        </w:rPr>
        <w:t>2.2  技术创新点</w:t>
      </w:r>
    </w:p>
    <w:p>
      <w:pPr>
        <w:spacing w:before="0" w:after="100" w:line="360" w:lineRule="auto"/>
        <w:ind w:firstLine="420"/>
      </w:pPr>
      <w:r>
        <w:rPr>
          <w:rFonts w:ascii="Times New Roman" w:hAnsi="Times New Roman" w:eastAsia="宋体"/>
          <w:sz w:val="22"/>
        </w:rPr>
        <w:t>本节仅给出评审可快速核对的创新结论和业务价值；问题拆解、技术机制、工程依据、对比与适用边界统一收录于附录 A，避免主文重复展开。</w:t>
      </w:r>
    </w:p>
    <w:p>
      <w:pPr>
        <w:pStyle w:val="Heading3"/>
        <w:spacing w:before="140" w:after="40" w:line="300" w:lineRule="auto"/>
      </w:pPr>
      <w:r>
        <w:rPr>
          <w:rFonts w:ascii="Times New Roman" w:hAnsi="Times New Roman" w:eastAsia="宋体"/>
          <w:b/>
          <w:sz w:val="24"/>
        </w:rPr>
        <w:t>2.2.1  本体化营销决策上下文</w:t>
      </w:r>
    </w:p>
    <w:p>
      <w:pPr>
        <w:spacing w:before="0" w:after="100" w:line="360" w:lineRule="auto"/>
        <w:ind w:firstLine="420"/>
      </w:pPr>
      <w:r>
        <w:rPr>
          <w:rFonts w:ascii="Times New Roman" w:hAnsi="Times New Roman" w:eastAsia="宋体"/>
          <w:sz w:val="22"/>
        </w:rPr>
        <w:t>项目把机会、客群快照、产品包、活动、反馈与复盘等对象及其关系组织为营销本体，并将来源证据、有效期、置信度、冲突和确认状态纳入同一语义层。模型据此读取的是可定位、可校验的业务事实，而不是仅凭相似文本拼接建议；过期、冲突或待审信息不能直接支撑可执行动作。详见附录 A.1-A.2。</w:t>
      </w:r>
    </w:p>
    <w:p>
      <w:pPr>
        <w:pStyle w:val="Heading3"/>
        <w:spacing w:before="140" w:after="40" w:line="300" w:lineRule="auto"/>
      </w:pPr>
      <w:r>
        <w:rPr>
          <w:rFonts w:ascii="Times New Roman" w:hAnsi="Times New Roman" w:eastAsia="宋体"/>
          <w:b/>
          <w:sz w:val="24"/>
        </w:rPr>
        <w:t>2.2.2  统一 Harness 的受控推理运行</w:t>
      </w:r>
    </w:p>
    <w:p>
      <w:pPr>
        <w:spacing w:before="0" w:after="100" w:line="360" w:lineRule="auto"/>
        <w:ind w:firstLine="420"/>
      </w:pPr>
      <w:r>
        <w:rPr>
          <w:rFonts w:ascii="Times New Roman" w:hAnsi="Times New Roman" w:eastAsia="宋体"/>
          <w:sz w:val="22"/>
        </w:rPr>
        <w:t>统一 Harness 在一次 AI 运行中编排身份与租户校验、授权上下文加载、模型和白名单工具调用、结构与规则校验、事件记录、重试和降级。它将模型调用从页面中的黑箱请求转化为可观察、可回放的业务运行对象，并明确模型生成、确定性规则和人工门禁之间的责任边界。详见附录 A.3。</w:t>
      </w:r>
    </w:p>
    <w:p>
      <w:pPr>
        <w:pStyle w:val="Heading3"/>
        <w:spacing w:before="140" w:after="40" w:line="300" w:lineRule="auto"/>
      </w:pPr>
      <w:r>
        <w:rPr>
          <w:rFonts w:ascii="Times New Roman" w:hAnsi="Times New Roman" w:eastAsia="宋体"/>
          <w:b/>
          <w:sz w:val="24"/>
        </w:rPr>
        <w:t>2.2.3  持久化人机协同与任务级模型路由</w:t>
      </w:r>
    </w:p>
    <w:p>
      <w:pPr>
        <w:spacing w:before="0" w:after="100" w:line="360" w:lineRule="auto"/>
        <w:ind w:firstLine="420"/>
      </w:pPr>
      <w:r>
        <w:rPr>
          <w:rFonts w:ascii="Times New Roman" w:hAnsi="Times New Roman" w:eastAsia="宋体"/>
          <w:sz w:val="22"/>
        </w:rPr>
        <w:t>项目将审批、采纳、修改和驳回建模为带版本、角色、理由与状态变化的持久化决策数据；同时以任务而非模型名称定义双模型对照，在相同权限、上下文、工具、输出 Schema 与审核规则下评价质量、时延、成本和安全。达到阈值的任务可逐步扩展，异常时保留受控回退或人工接管。详见附录 A.4-A.5。</w:t>
      </w:r>
    </w:p>
    <w:p>
      <w:pPr>
        <w:pStyle w:val="Heading3"/>
        <w:spacing w:before="140" w:after="40" w:line="300" w:lineRule="auto"/>
      </w:pPr>
      <w:r>
        <w:rPr>
          <w:rFonts w:ascii="Times New Roman" w:hAnsi="Times New Roman" w:eastAsia="宋体"/>
          <w:b/>
          <w:sz w:val="24"/>
        </w:rPr>
        <w:t>2.2.4  状态可控、可回放的营销活动闭环</w:t>
      </w:r>
    </w:p>
    <w:p>
      <w:pPr>
        <w:spacing w:before="0" w:after="100" w:line="360" w:lineRule="auto"/>
        <w:ind w:firstLine="420"/>
      </w:pPr>
      <w:r>
        <w:rPr>
          <w:rFonts w:ascii="Times New Roman" w:hAnsi="Times New Roman" w:eastAsia="宋体"/>
          <w:sz w:val="22"/>
        </w:rPr>
        <w:t>平台把机会、客群、产品、内容、活动版本、审批、执行、反馈与复盘串成受状态机约束的对象链；审批冻结版本，反馈和复盘关联批次与指标口径。数据缺失时只保留待补充结论，不将演练数据作经营归因。详见附录 A.6。</w:t>
      </w:r>
    </w:p>
    <w:p>
      <w:pPr>
        <w:pStyle w:val="Heading1"/>
        <w:keepNext/>
        <w:spacing w:before="300" w:after="140" w:line="300" w:lineRule="auto"/>
        <w:ind w:firstLine="0"/>
        <w:jc w:val="left"/>
      </w:pPr>
      <w:r>
        <w:rPr>
          <w:rFonts w:ascii="Times New Roman" w:hAnsi="Times New Roman" w:eastAsia="黑体"/>
          <w:b/>
          <w:color w:val="000000"/>
          <w:sz w:val="32"/>
        </w:rPr>
        <w:t>3  实施方案</w:t>
      </w:r>
    </w:p>
    <w:p>
      <w:pPr>
        <w:pStyle w:val="Heading2"/>
        <w:keepNext/>
        <w:spacing w:before="200" w:after="80" w:line="300" w:lineRule="auto"/>
        <w:ind w:firstLine="0"/>
        <w:jc w:val="left"/>
      </w:pPr>
      <w:r>
        <w:rPr>
          <w:rFonts w:ascii="Times New Roman" w:hAnsi="Times New Roman" w:eastAsia="黑体"/>
          <w:b/>
          <w:color w:val="000000"/>
          <w:sz w:val="26"/>
        </w:rPr>
        <w:t>3.1  技术可行性分析</w:t>
      </w:r>
    </w:p>
    <w:p>
      <w:pPr>
        <w:pStyle w:val="Heading3"/>
        <w:keepNext/>
        <w:spacing w:before="140" w:after="40" w:line="300" w:lineRule="auto"/>
        <w:ind w:firstLine="0"/>
        <w:jc w:val="left"/>
      </w:pPr>
      <w:r>
        <w:rPr>
          <w:rFonts w:ascii="Times New Roman" w:hAnsi="Times New Roman" w:eastAsia="楷体"/>
          <w:b/>
          <w:color w:val="000000"/>
          <w:sz w:val="24"/>
        </w:rPr>
        <w:t>3.1.1  原型架构与工程可行性</w:t>
      </w:r>
    </w:p>
    <w:p>
      <w:pPr>
        <w:keepNext w:val="0"/>
        <w:spacing w:before="0" w:after="100" w:line="360" w:lineRule="auto"/>
        <w:ind w:firstLine="420"/>
        <w:jc w:val="both"/>
      </w:pPr>
      <w:r>
        <w:rPr>
          <w:rFonts w:ascii="Times New Roman" w:hAnsi="Times New Roman" w:eastAsia="宋体"/>
          <w:b w:val="0"/>
          <w:color w:val="000000"/>
          <w:sz w:val="24"/>
        </w:rPr>
        <w:t>平台采用“工作台—平台 API—统一 Harness—模型/工具/知识本体—数据存储”的分层架构。业务人员在前端提交问题、数据或活动草案；API 在当前租户和角色范围内组织上下文；Harness 调用模型、检索与业务函数；知识库与本体保留来源、关系和状态；活动、审批、执行和复盘对象用于承接业务闭环。该架构已经具备本地运行基础，后续可通过增加持久化任务队列、独立 Worker 与授权连接器扩展处理能力。</w:t>
      </w:r>
    </w:p>
    <w:tbl>
      <w:tblPr>
        <w:tblStyle w:val="TableGrid"/>
        <w:tblW w:type="dxa" w:w="9000"/>
        <w:jc w:val="center"/>
        <w:tblLayout w:type="fixed"/>
        <w:tblLook w:firstColumn="1" w:firstRow="1" w:lastColumn="0" w:lastRow="0" w:noHBand="0" w:noVBand="1" w:val="04A0"/>
        <w:tblInd w:w="0" w:type="dxa"/>
      </w:tblPr>
      <w:tblGrid>
        <w:gridCol w:w="1800"/>
        <w:gridCol w:w="3500"/>
        <w:gridCol w:w="37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技术环节</w:t>
            </w:r>
          </w:p>
        </w:tc>
        <w:tc>
          <w:tcPr>
            <w:tcW w:type="dxa" w:w="3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现有实现基础</w:t>
            </w:r>
          </w:p>
        </w:tc>
        <w:tc>
          <w:tcPr>
            <w:tcW w:type="dxa" w:w="3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可行性说明</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数据接入与处理</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文件接入、基础解析、知识文档和片段存储、数据处理智能体。</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可从受控文件和授权数据源开始，逐步接入接口/数据库连接器。</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知识与本体</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本体语义模型、对象关系存储、关系端点校验、人工确认和来源记录。</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可先以候选准入保障质量，再按对象类型扩展业务覆盖。</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模型与推理</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OpenAI 兼容客户端、流式响应、重试、Token 统计、Harness 事件和工具调用。</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模型服务与业务编排解耦，便于对照百炼与本地自研 Qwen。</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业务闭环</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机会、客群、产品、活动、审批、执行、反馈和复盘对象链。</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以原型数据和典型场景演练验证；真实渠道接入后扩展为生产归因。</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3"/>
        <w:keepNext/>
        <w:spacing w:before="140" w:after="40" w:line="300" w:lineRule="auto"/>
        <w:ind w:firstLine="0"/>
        <w:jc w:val="left"/>
      </w:pPr>
      <w:r>
        <w:rPr>
          <w:rFonts w:ascii="Times New Roman" w:hAnsi="Times New Roman" w:eastAsia="楷体"/>
          <w:b/>
          <w:color w:val="000000"/>
          <w:sz w:val="24"/>
        </w:rPr>
        <w:t>3.1.2  推理稳健性与结果边界</w:t>
      </w:r>
    </w:p>
    <w:p>
      <w:pPr>
        <w:keepNext w:val="0"/>
        <w:spacing w:before="0" w:after="100" w:line="360" w:lineRule="auto"/>
        <w:ind w:firstLine="420"/>
        <w:jc w:val="both"/>
      </w:pPr>
      <w:r>
        <w:rPr>
          <w:rFonts w:ascii="Times New Roman" w:hAnsi="Times New Roman" w:eastAsia="宋体"/>
          <w:b w:val="0"/>
          <w:color w:val="000000"/>
          <w:sz w:val="24"/>
        </w:rPr>
        <w:t>项目已经形成针对模型调用与智能体运行的自动化稳健性测试。现有报告记录 17 项测试全部通过，覆盖 429、502、503、504 等瞬时异常的最多 3 次指数退避重试、连接与读取错误恢复、异常响应结构校验、空输入和超长输入拒绝、租户隔离、未启用提供者拒绝、密钥脱敏、数据流水线与六个智能域的治理门禁。该结论用于说明原型已建立关键工程防护，不等同于真实生产渠道的并发压测、经营效果结论或全部外部连接器验收。</w:t>
      </w:r>
    </w:p>
    <w:p>
      <w:pPr>
        <w:keepNext w:val="0"/>
        <w:spacing w:before="0" w:after="100" w:line="360" w:lineRule="auto"/>
        <w:ind w:firstLine="420"/>
        <w:jc w:val="both"/>
      </w:pPr>
      <w:r>
        <w:rPr>
          <w:rFonts w:ascii="Times New Roman" w:hAnsi="Times New Roman" w:eastAsia="宋体"/>
          <w:b w:val="0"/>
          <w:color w:val="000000"/>
          <w:sz w:val="24"/>
        </w:rPr>
        <w:t>历史低流量端到端测试中，平台通过一次真实模型调用完成上海—三亚营销机会分析，接口返回 HTTP 200，总耗时 44.32 秒，生成约 950 字符结果，运行过程记录 5 次模型调用、4 次结构化决策解析和 4 次工具调用。该观察表明“模型—Harness—工具—综合回答”链路能够运行，同时也暴露多轮规划和工具循环带来的时延问题。因此，项目将端到端时延、工具选择短路、缓存和路由策略作为后续优化对象，而不把单次演示数据包装为业务经营成效。</w:t>
      </w:r>
    </w:p>
    <w:p>
      <w:pPr>
        <w:pStyle w:val="Heading3"/>
        <w:keepNext/>
        <w:spacing w:before="140" w:after="40" w:line="300" w:lineRule="auto"/>
        <w:ind w:firstLine="0"/>
        <w:jc w:val="left"/>
      </w:pPr>
      <w:r>
        <w:rPr>
          <w:rFonts w:ascii="Times New Roman" w:hAnsi="Times New Roman" w:eastAsia="楷体"/>
          <w:b/>
          <w:color w:val="000000"/>
          <w:sz w:val="24"/>
        </w:rPr>
        <w:t>3.1.3  风险、治理与生产化路径</w:t>
      </w:r>
    </w:p>
    <w:p>
      <w:pPr>
        <w:keepNext w:val="0"/>
        <w:spacing w:before="0" w:after="80" w:line="360" w:lineRule="auto"/>
        <w:ind w:firstLine="420"/>
        <w:jc w:val="both"/>
      </w:pPr>
      <w:r>
        <w:rPr>
          <w:rFonts w:ascii="Times New Roman" w:hAnsi="Times New Roman" w:eastAsia="宋体"/>
          <w:b w:val="0"/>
          <w:color w:val="000000"/>
          <w:sz w:val="24"/>
        </w:rPr>
        <w:t>综合考虑数据、知识、推理、业务动作与效果评估风险，项目采用下表所示的分层控制策略。该表保留并重构了原版本的治理路线：它既说明当前原型能做什么，也明确哪些能力仍需在真实授权环境中验证。</w:t>
      </w:r>
    </w:p>
    <w:tbl>
      <w:tblPr>
        <w:tblStyle w:val="TableGrid"/>
        <w:tblW w:type="dxa" w:w="9000"/>
        <w:jc w:val="center"/>
        <w:tblLayout w:type="fixed"/>
        <w:tblLook w:firstColumn="1" w:firstRow="1" w:lastColumn="0" w:lastRow="0" w:noHBand="0" w:noVBand="1" w:val="04A0"/>
        <w:tblInd w:w="0" w:type="dxa"/>
      </w:tblPr>
      <w:tblGrid>
        <w:gridCol w:w="1300"/>
        <w:gridCol w:w="2600"/>
        <w:gridCol w:w="3000"/>
        <w:gridCol w:w="2100"/>
      </w:tblGrid>
      <w:tr>
        <w:trPr>
          <w:cantSplit/>
          <w:tblHeader w:val="true"/>
        </w:trPr>
        <w:tc>
          <w:tcPr>
            <w:tcW w:type="dxa" w:w="1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风险维度</w:t>
            </w:r>
          </w:p>
        </w:tc>
        <w:tc>
          <w:tcPr>
            <w:tcW w:type="dxa" w:w="26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当前原型控制</w:t>
            </w:r>
          </w:p>
        </w:tc>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验证或扩展路径</w:t>
            </w:r>
          </w:p>
        </w:tc>
        <w:tc>
          <w:tcPr>
            <w:tcW w:type="dxa" w:w="21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不可绕过的边界</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数据与隐私</w:t>
            </w:r>
          </w:p>
        </w:tc>
        <w:tc>
          <w:tcPr>
            <w:tcW w:type="dxa" w:w="2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租户隔离、字段白名单、聚合画像、来源记录、服务端密钥管理。</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补齐数据分级、脱敏、访问审计、保留与删除机制。</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不得在营销工作台暴露无关旅客明细。</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知识与本体</w:t>
            </w:r>
          </w:p>
        </w:tc>
        <w:tc>
          <w:tcPr>
            <w:tcW w:type="dxa" w:w="2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候选对象关系带证据、置信度、状态和人工确认；知识层与正式图谱分层。</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完善来源优先级、冲突仲裁、有效期、版本回滚和批量审核。</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低证据或低置信度内容不得自动成为正式事实。</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模型与推理</w:t>
            </w:r>
          </w:p>
        </w:tc>
        <w:tc>
          <w:tcPr>
            <w:tcW w:type="dxa" w:w="2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模型配置、Token/耗时、重试、响应校验和 Harness 轨迹统一记录。</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建立基准集、任务路由阈值、成本监测、漂移监控和内置模型灰度。</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模型输出不得越过权限、Schema 和工具白名单。</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营销动作</w:t>
            </w:r>
          </w:p>
        </w:tc>
        <w:tc>
          <w:tcPr>
            <w:tcW w:type="dxa" w:w="2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预算、资格、库存、频控、敏感词、内容事实与审批形成门禁。</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授权接入 OA、预算、渠道与异常补偿系统，完成回滚机制。</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对外发布、权益承诺和渠道触达必须人工确认。</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效果评估</w:t>
            </w:r>
          </w:p>
        </w:tc>
        <w:tc>
          <w:tcPr>
            <w:tcW w:type="dxa" w:w="2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原型展示执行、反馈和复盘对象关系，指标只用于场景演示。</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建立标准归因口径、对照实验、增量评估和持续复盘。</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不得以原型看板数字替代真实经营统计。</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2"/>
        <w:keepNext/>
        <w:spacing w:before="200" w:after="80" w:line="300" w:lineRule="auto"/>
        <w:ind w:firstLine="0"/>
        <w:jc w:val="left"/>
      </w:pPr>
      <w:r>
        <w:rPr>
          <w:rFonts w:ascii="Times New Roman" w:hAnsi="Times New Roman" w:eastAsia="黑体"/>
          <w:b/>
          <w:color w:val="000000"/>
          <w:sz w:val="26"/>
        </w:rPr>
        <w:t>3.2  技术细节</w:t>
      </w:r>
    </w:p>
    <w:p>
      <w:pPr>
        <w:pStyle w:val="Heading3"/>
        <w:keepNext/>
        <w:spacing w:before="140" w:after="40" w:line="300" w:lineRule="auto"/>
        <w:ind w:firstLine="0"/>
        <w:jc w:val="left"/>
      </w:pPr>
      <w:r>
        <w:rPr>
          <w:rFonts w:ascii="Times New Roman" w:hAnsi="Times New Roman" w:eastAsia="楷体"/>
          <w:b/>
          <w:color w:val="000000"/>
          <w:sz w:val="24"/>
        </w:rPr>
        <w:t>3.2.1  总体技术路线</w:t>
      </w:r>
    </w:p>
    <w:p>
      <w:pPr>
        <w:keepNext w:val="0"/>
        <w:spacing w:before="0" w:after="80" w:line="360" w:lineRule="auto"/>
        <w:ind w:firstLine="420"/>
        <w:jc w:val="both"/>
      </w:pPr>
      <w:r>
        <w:rPr>
          <w:rFonts w:ascii="Times New Roman" w:hAnsi="Times New Roman" w:eastAsia="宋体"/>
          <w:b w:val="0"/>
          <w:color w:val="000000"/>
          <w:sz w:val="24"/>
        </w:rPr>
        <w:t>项目以“数据进入时可追溯、推理运行时可约束、结果产生后可确认、业务反馈后可复盘”为主线，形成如下技术路线。</w:t>
      </w:r>
    </w:p>
    <w:tbl>
      <w:tblPr>
        <w:tblStyle w:val="TableGrid"/>
        <w:tblW w:type="dxa" w:w="9000"/>
        <w:jc w:val="center"/>
        <w:tblLayout w:type="fixed"/>
        <w:tblLook w:firstColumn="1" w:firstRow="1" w:lastColumn="0" w:lastRow="0" w:noHBand="0" w:noVBand="1" w:val="04A0"/>
        <w:tblInd w:w="0" w:type="dxa"/>
      </w:tblPr>
      <w:tblGrid>
        <w:gridCol w:w="3000"/>
        <w:gridCol w:w="3000"/>
        <w:gridCol w:w="3000"/>
      </w:tblGrid>
      <w:tr>
        <w:trPr>
          <w:cantSplit/>
          <w:tblHeader w:val="true"/>
        </w:trPr>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Pr>
                <w:b/>
              </w:rPr>
            </w:r>
            <w:r>
              <w:rPr>
                <w:rFonts w:ascii="Times New Roman" w:hAnsi="Times New Roman" w:eastAsia="宋体"/>
                <w:b/>
                <w:color w:val="000000"/>
                <w:sz w:val="21"/>
              </w:rPr>
              <w:t>数据接入</w:t>
            </w:r>
          </w:p>
        </w:tc>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Pr>
                <w:b/>
              </w:rPr>
            </w:r>
            <w:r>
              <w:rPr>
                <w:rFonts w:ascii="Times New Roman" w:hAnsi="Times New Roman" w:eastAsia="宋体"/>
                <w:b/>
                <w:color w:val="000000"/>
                <w:sz w:val="21"/>
              </w:rPr>
              <w:t>解析与标准化</w:t>
            </w:r>
          </w:p>
        </w:tc>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Pr>
                <w:b/>
              </w:rPr>
            </w:r>
            <w:r>
              <w:rPr>
                <w:rFonts w:ascii="Times New Roman" w:hAnsi="Times New Roman" w:eastAsia="宋体"/>
                <w:b/>
                <w:color w:val="000000"/>
                <w:sz w:val="21"/>
              </w:rPr>
              <w:t>知识与本体准入</w:t>
            </w:r>
          </w:p>
        </w:tc>
      </w:tr>
      <w:tr>
        <w:trPr>
          <w:cantSplit/>
        </w:trPr>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授权文件、接口、数据库快照</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结构识别、切分、清洗、对象关系候选抽取</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证据、置信度、端点与状态校验，人工确认</w:t>
            </w:r>
          </w:p>
        </w:tc>
      </w:tr>
      <w:tr>
        <w:trPr>
          <w:cantSplit/>
        </w:trPr>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Pr>
                <w:b/>
              </w:rPr>
            </w:r>
            <w:r>
              <w:rPr>
                <w:rFonts w:ascii="Times New Roman" w:hAnsi="Times New Roman" w:eastAsia="宋体"/>
                <w:b/>
                <w:color w:val="000000"/>
                <w:sz w:val="21"/>
              </w:rPr>
              <w:t>受控推理编排</w:t>
            </w:r>
          </w:p>
        </w:tc>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Pr>
                <w:b/>
              </w:rPr>
            </w:r>
            <w:r>
              <w:rPr>
                <w:rFonts w:ascii="Times New Roman" w:hAnsi="Times New Roman" w:eastAsia="宋体"/>
                <w:b/>
                <w:color w:val="000000"/>
                <w:sz w:val="21"/>
              </w:rPr>
              <w:t>营销闭环执行</w:t>
            </w:r>
          </w:p>
        </w:tc>
        <w:tc>
          <w:tcPr>
            <w:tcW w:type="dxa" w:w="3000"/>
            <w:tcMar>
              <w:top w:w="80" w:type="dxa"/>
              <w:start w:w="90" w:type="dxa"/>
              <w:bottom w:w="80" w:type="dxa"/>
              <w:end w:w="90" w:type="dxa"/>
            </w:tcMar>
            <w:vAlign w:val="center"/>
            <w:shd w:fill="F2F2F2"/>
          </w:tcPr>
          <w:p>
            <w:pPr>
              <w:keepNext w:val="0"/>
              <w:spacing w:before="0" w:after="0" w:line="283" w:lineRule="auto"/>
              <w:ind w:firstLine="0"/>
              <w:jc w:val="center"/>
            </w:pPr>
            <w:r>
              <w:rPr>
                <w:b/>
              </w:rPr>
            </w:r>
            <w:r>
              <w:rPr>
                <w:rFonts w:ascii="Times New Roman" w:hAnsi="Times New Roman" w:eastAsia="宋体"/>
                <w:b/>
                <w:color w:val="000000"/>
                <w:sz w:val="21"/>
              </w:rPr>
              <w:t>评测与持续学习</w:t>
            </w:r>
          </w:p>
        </w:tc>
      </w:tr>
      <w:tr>
        <w:trPr>
          <w:cantSplit/>
        </w:trPr>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Harness 加载上下文，调用模型与业务工具，校验输出</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机会—客群—产品—内容—活动—审批—执行—反馈</w:t>
            </w:r>
          </w:p>
        </w:tc>
        <w:tc>
          <w:tcPr>
            <w:tcW w:type="dxa" w:w="3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质量、时延、成本、人工修改、归因与路由策略更新</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20" w:after="100" w:line="240" w:lineRule="auto"/>
        <w:ind w:firstLine="0"/>
        <w:jc w:val="center"/>
      </w:pPr>
      <w:r>
        <w:rPr>
          <w:rFonts w:ascii="Times New Roman" w:hAnsi="Times New Roman" w:eastAsia="宋体"/>
          <w:b w:val="0"/>
          <w:color w:val="666666"/>
          <w:sz w:val="20"/>
        </w:rPr>
        <w:t>图 1  航空营销可信 AI 推理技术路线</w:t>
      </w:r>
    </w:p>
    <w:p>
      <w:pPr>
        <w:pStyle w:val="Heading3"/>
        <w:keepNext/>
        <w:spacing w:before="140" w:after="40" w:line="300" w:lineRule="auto"/>
        <w:ind w:firstLine="0"/>
        <w:jc w:val="left"/>
      </w:pPr>
      <w:r>
        <w:rPr>
          <w:rFonts w:ascii="Times New Roman" w:hAnsi="Times New Roman" w:eastAsia="楷体"/>
          <w:b/>
          <w:color w:val="000000"/>
          <w:sz w:val="24"/>
        </w:rPr>
        <w:t>3.2.2  数据处理、知识库与本体准入</w:t>
      </w:r>
    </w:p>
    <w:p>
      <w:pPr>
        <w:keepNext w:val="0"/>
        <w:spacing w:before="0" w:after="100" w:line="360" w:lineRule="auto"/>
        <w:ind w:firstLine="420"/>
        <w:jc w:val="both"/>
      </w:pPr>
      <w:r>
        <w:rPr>
          <w:rFonts w:ascii="Times New Roman" w:hAnsi="Times New Roman" w:eastAsia="宋体"/>
          <w:b w:val="0"/>
          <w:color w:val="000000"/>
          <w:sz w:val="24"/>
        </w:rPr>
        <w:t>数据处理首先登记数据来源、租户、提交人和时间，再按文档、规则、产品、经营指标、渠道结果等类别选择解析与处理策略。对于文档和报表，系统保留原始文件哈希、解析版本、页码/段落/表格位置；对于接口和数据库数据，系统通过只读权限、表/字段白名单、增量标识和脱敏规则控制读取范围。解析后的内容按业务语义切分为知识片段，并在抽取阶段生成候选对象、候选关系及其证据。</w:t>
      </w:r>
    </w:p>
    <w:p>
      <w:pPr>
        <w:keepNext w:val="0"/>
        <w:spacing w:before="0" w:after="100" w:line="360" w:lineRule="auto"/>
        <w:ind w:firstLine="420"/>
        <w:jc w:val="both"/>
      </w:pPr>
      <w:r>
        <w:rPr>
          <w:rFonts w:ascii="Times New Roman" w:hAnsi="Times New Roman" w:eastAsia="宋体"/>
          <w:b w:val="0"/>
          <w:color w:val="000000"/>
          <w:sz w:val="24"/>
        </w:rPr>
        <w:t>候选对象只有同时满足类型在允许范围内、具有稳定标识和标签、可指向证据、置信度达到准入要求等条件时，才可被标记为本体可准入；候选关系还需检查源端点、目标端点、关系类型和证据。无法稳定映射到业务对象的内容保留在知识层，不自动写入本体。这种“先知识保留、后本体准入”的机制避免模型把泛化文案、推测结论或重复信息扩散为正式业务事实。</w:t>
      </w:r>
    </w:p>
    <w:p>
      <w:pPr>
        <w:pStyle w:val="Heading3"/>
        <w:keepNext/>
        <w:spacing w:before="140" w:after="40" w:line="300" w:lineRule="auto"/>
        <w:ind w:firstLine="0"/>
        <w:jc w:val="left"/>
      </w:pPr>
      <w:r>
        <w:rPr>
          <w:rFonts w:ascii="Times New Roman" w:hAnsi="Times New Roman" w:eastAsia="楷体"/>
          <w:b/>
          <w:color w:val="000000"/>
          <w:sz w:val="24"/>
        </w:rPr>
        <w:t>3.2.3  营销本体与六个智能域</w:t>
      </w:r>
    </w:p>
    <w:tbl>
      <w:tblPr>
        <w:tblStyle w:val="TableGrid"/>
        <w:tblW w:type="dxa" w:w="9000"/>
        <w:jc w:val="center"/>
        <w:tblLayout w:type="fixed"/>
        <w:tblLook w:firstColumn="1" w:firstRow="1" w:lastColumn="0" w:lastRow="0" w:noHBand="0" w:noVBand="1" w:val="04A0"/>
        <w:tblInd w:w="0" w:type="dxa"/>
      </w:tblPr>
      <w:tblGrid>
        <w:gridCol w:w="1300"/>
        <w:gridCol w:w="2500"/>
        <w:gridCol w:w="3200"/>
        <w:gridCol w:w="2000"/>
      </w:tblGrid>
      <w:tr>
        <w:trPr>
          <w:cantSplit/>
          <w:tblHeader w:val="true"/>
        </w:trPr>
        <w:tc>
          <w:tcPr>
            <w:tcW w:type="dxa" w:w="1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智能域</w:t>
            </w:r>
          </w:p>
        </w:tc>
        <w:tc>
          <w:tcPr>
            <w:tcW w:type="dxa" w:w="2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核心本体对象</w:t>
            </w:r>
          </w:p>
        </w:tc>
        <w:tc>
          <w:tcPr>
            <w:tcW w:type="dxa" w:w="32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AI Inference 的受约束输出</w:t>
            </w:r>
          </w:p>
        </w:tc>
        <w:tc>
          <w:tcPr>
            <w:tcW w:type="dxa" w:w="2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人工门禁</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机会洞察</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MarketSignal、Route、Flight、MetricObservation、Opportunity</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机会候选、证据、影响范围、时间窗与建议时机。</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是否进入营销策划。</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客群洞察</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CustomerNeed、CustomerAggregate、AudienceSnapshot</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聚合客群、标签解释、可触达性、排除规则与有效期。</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客群口径、保护名单与频控。</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产品匹配</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Product、ProductPackage、ValueProposition、BusinessRule</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主推产品、替代方案、资格与不可用原因。</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库存、价格、权益和适用边界。</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活动编排</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StrategyPlan、TouchpointPlan、Campaign、ApprovalTask</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目标、预算、渠道、节奏、频控与审批材料候选。</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活动、预算与发布审批。</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内容生成</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ContentAsset、Channel、Evidence</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多渠道文案、事实引用、长度与风险提示。</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产品事实、品牌、敏感词与合规审核。</w:t>
            </w:r>
          </w:p>
        </w:tc>
      </w:tr>
      <w:tr>
        <w:trPr>
          <w:cantSplit/>
        </w:trPr>
        <w:tc>
          <w:tcPr>
            <w:tcW w:type="dxa" w:w="1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效果分析</w:t>
            </w:r>
          </w:p>
        </w:tc>
        <w:tc>
          <w:tcPr>
            <w:tcW w:type="dxa" w:w="2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ExecutionBatch、Feedback、AttributionResult、Review</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漏斗、异常解释、归因候选与下一轮建议。</w:t>
            </w:r>
          </w:p>
        </w:tc>
        <w:tc>
          <w:tcPr>
            <w:tcW w:type="dxa" w:w="2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归因口径与策略更新。</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六个智能域共享同一 Harness、权限、知识本体与运行审计，但拥有不同的输入输出契约和人工审核节点。例如，机会洞察只能输出证据充分的 Opportunity 候选，内容生成只能使用已审核的产品事实，效果分析只能在获得授权回传和明确口径后形成归因结论。</w:t>
      </w:r>
    </w:p>
    <w:p>
      <w:pPr>
        <w:pStyle w:val="Heading3"/>
        <w:keepNext/>
        <w:spacing w:before="140" w:after="40" w:line="300" w:lineRule="auto"/>
        <w:ind w:firstLine="0"/>
        <w:jc w:val="left"/>
      </w:pPr>
      <w:r>
        <w:rPr>
          <w:rFonts w:ascii="Times New Roman" w:hAnsi="Times New Roman" w:eastAsia="楷体"/>
          <w:b/>
          <w:color w:val="000000"/>
          <w:sz w:val="24"/>
        </w:rPr>
        <w:t>3.2.4  统一 Harness 与 AI 推理运行链</w:t>
      </w:r>
    </w:p>
    <w:tbl>
      <w:tblPr>
        <w:tblStyle w:val="TableGrid"/>
        <w:tblW w:type="dxa" w:w="9000"/>
        <w:jc w:val="center"/>
        <w:tblLayout w:type="fixed"/>
        <w:tblLook w:firstColumn="1" w:firstRow="1" w:lastColumn="0" w:lastRow="0" w:noHBand="0" w:noVBand="1" w:val="04A0"/>
        <w:tblInd w:w="0" w:type="dxa"/>
      </w:tblPr>
      <w:tblGrid>
        <w:gridCol w:w="1750"/>
        <w:gridCol w:w="3850"/>
        <w:gridCol w:w="34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运行步骤</w:t>
            </w:r>
          </w:p>
        </w:tc>
        <w:tc>
          <w:tcPr>
            <w:tcW w:type="dxa" w:w="38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处理内容</w:t>
            </w:r>
          </w:p>
        </w:tc>
        <w:tc>
          <w:tcPr>
            <w:tcW w:type="dxa" w:w="34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系统记录的推理证据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请求与权限校验</w:t>
            </w:r>
          </w:p>
        </w:tc>
        <w:tc>
          <w:tcPr>
            <w:tcW w:type="dxa" w:w="3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校验登录身份、租户、角色、输入长度与模型提供者可用性。</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请求标识、租户、拒绝原因和安全事件。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上下文加载</w:t>
            </w:r>
          </w:p>
        </w:tc>
        <w:tc>
          <w:tcPr>
            <w:tcW w:type="dxa" w:w="3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读取授权知识片段、本体对象关系、活动状态、业务规则和工具白名单。</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来源、对象、版本、有效期和上下文事件。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智能域与工具编排</w:t>
            </w:r>
          </w:p>
        </w:tc>
        <w:tc>
          <w:tcPr>
            <w:tcW w:type="dxa" w:w="3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把问题映射到对应智能域，由模型在允许范围内选择检索、评分、资格、频控等工具。</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智能域契约、模型名称、工具输入输出摘要与耗时。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结构与事实校验</w:t>
            </w:r>
          </w:p>
        </w:tc>
        <w:tc>
          <w:tcPr>
            <w:tcW w:type="dxa" w:w="3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校验响应结构、引用、敏感内容、权限和确定性业务规则。</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Schema 结果、风险项、失败或降级事件。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人工确认与结果回写</w:t>
            </w:r>
          </w:p>
        </w:tc>
        <w:tc>
          <w:tcPr>
            <w:tcW w:type="dxa" w:w="3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将高影响候选送入审批，保存运行记录、证据、反馈和复盘关联。</w:t>
            </w:r>
          </w:p>
        </w:tc>
        <w:tc>
          <w:tcPr>
            <w:tcW w:type="dxa" w:w="34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HumanDecision、AgentRun、Recommendation 与 Review 对象关系。</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3"/>
        <w:keepNext/>
        <w:spacing w:before="140" w:after="40" w:line="300" w:lineRule="auto"/>
        <w:ind w:firstLine="0"/>
        <w:jc w:val="left"/>
      </w:pPr>
      <w:r>
        <w:rPr>
          <w:rFonts w:ascii="Times New Roman" w:hAnsi="Times New Roman" w:eastAsia="楷体"/>
          <w:b/>
          <w:color w:val="000000"/>
          <w:sz w:val="24"/>
        </w:rPr>
        <w:t>3.2.5  双模型使用策略与评测设计</w:t>
      </w:r>
    </w:p>
    <w:p>
      <w:pPr>
        <w:keepNext w:val="0"/>
        <w:spacing w:before="0" w:after="100" w:line="360" w:lineRule="auto"/>
        <w:ind w:firstLine="420"/>
        <w:jc w:val="both"/>
      </w:pPr>
      <w:r>
        <w:rPr>
          <w:rFonts w:ascii="Times New Roman" w:hAnsi="Times New Roman" w:eastAsia="宋体"/>
          <w:b w:val="0"/>
          <w:color w:val="000000"/>
          <w:sz w:val="24"/>
        </w:rPr>
        <w:t>前期，阿里云百炼 AgentStudio 的 OpenAI 兼容服务作为默认推理链路，重点验证模型调用、知识检索、本体查询、工具编排、流式输出和审核门禁的可用性。团队基于 Qwen 的本地自研模型通过内置测试模型入口，在不改变 Prompt 模板、知识与本体上下文、工具白名单、输出 Schema 和人工门禁的前提下，完成领域问答、对象关系抽取、分类和结构化生成等任务的对照。</w:t>
      </w:r>
    </w:p>
    <w:tbl>
      <w:tblPr>
        <w:tblStyle w:val="TableGrid"/>
        <w:tblW w:type="dxa" w:w="9000"/>
        <w:jc w:val="center"/>
        <w:tblLayout w:type="fixed"/>
        <w:tblLook w:firstColumn="1" w:firstRow="1" w:lastColumn="0" w:lastRow="0" w:noHBand="0" w:noVBand="1" w:val="04A0"/>
        <w:tblInd w:w="0" w:type="dxa"/>
      </w:tblPr>
      <w:tblGrid>
        <w:gridCol w:w="1700"/>
        <w:gridCol w:w="4000"/>
        <w:gridCol w:w="3300"/>
      </w:tblGrid>
      <w:tr>
        <w:trPr>
          <w:cantSplit/>
          <w:tblHeader w:val="true"/>
        </w:trPr>
        <w:tc>
          <w:tcPr>
            <w:tcW w:type="dxa" w:w="1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比较维度</w:t>
            </w:r>
          </w:p>
        </w:tc>
        <w:tc>
          <w:tcPr>
            <w:tcW w:type="dxa" w:w="4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观测指标</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用于路由的判断</w:t>
            </w:r>
          </w:p>
        </w:tc>
      </w:tr>
      <w:tr>
        <w:trPr>
          <w:cantSplit/>
        </w:trPr>
        <w:tc>
          <w:tcPr>
            <w:tcW w:type="dxa" w:w="1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结构与事实</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响应结构合法率、证据引用完整率、关系端点合法率、业务规则通过率。</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任务输出是否达到可进入人工审核的最低质量。</w:t>
            </w:r>
          </w:p>
        </w:tc>
      </w:tr>
      <w:tr>
        <w:trPr>
          <w:cantSplit/>
        </w:trPr>
        <w:tc>
          <w:tcPr>
            <w:tcW w:type="dxa" w:w="1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效率与成本</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端到端时延、Token 用量、重试次数、失败率、资源占用。</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同类任务是否具备可接受的性能和稳定性。</w:t>
            </w:r>
          </w:p>
        </w:tc>
      </w:tr>
      <w:tr>
        <w:trPr>
          <w:cantSplit/>
        </w:trPr>
        <w:tc>
          <w:tcPr>
            <w:tcW w:type="dxa" w:w="1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人工可用性</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人工修改量、采纳率、驳回原因、审核耗时。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输出是否真实降低审核和运营负担。</w:t>
            </w:r>
          </w:p>
        </w:tc>
      </w:tr>
      <w:tr>
        <w:trPr>
          <w:cantSplit/>
        </w:trPr>
        <w:tc>
          <w:tcPr>
            <w:tcW w:type="dxa" w:w="1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安全与治理</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越权访问、敏感信息泄露、提示注入、跨租户隔离和回退成功率。</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任务是否满足扩大内置模型使用的安全门槛。</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评测遵循“先任务、后模型”的原则：任一模型都不得因名称或部署位置而天然获得更高权限。对于通过统一质量、安全、时延和人工编辑门槛的任务，可逐步提高内置 Qwen 自研模型的承担比例；当质量波动、规则失败或服务异常发生时，系统应记录原因并按策略回退到百炼主用链路。</w:t>
      </w:r>
    </w:p>
    <w:p>
      <w:pPr>
        <w:pStyle w:val="Heading3"/>
        <w:keepNext/>
        <w:spacing w:before="140" w:after="40" w:line="300" w:lineRule="auto"/>
        <w:ind w:firstLine="0"/>
        <w:jc w:val="left"/>
      </w:pPr>
      <w:r>
        <w:rPr>
          <w:rFonts w:ascii="Times New Roman" w:hAnsi="Times New Roman" w:eastAsia="楷体"/>
          <w:b/>
          <w:color w:val="000000"/>
          <w:sz w:val="24"/>
        </w:rPr>
        <w:t>3.2.6  评价指标与典型场景验证</w:t>
      </w:r>
    </w:p>
    <w:tbl>
      <w:tblPr>
        <w:tblStyle w:val="TableGrid"/>
        <w:tblW w:type="dxa" w:w="9000"/>
        <w:jc w:val="center"/>
        <w:tblLayout w:type="fixed"/>
        <w:tblLook w:firstColumn="1" w:firstRow="1" w:lastColumn="0" w:lastRow="0" w:noHBand="0" w:noVBand="1" w:val="04A0"/>
        <w:tblInd w:w="0" w:type="dxa"/>
      </w:tblPr>
      <w:tblGrid>
        <w:gridCol w:w="1550"/>
        <w:gridCol w:w="3150"/>
        <w:gridCol w:w="2750"/>
        <w:gridCol w:w="1550"/>
      </w:tblGrid>
      <w:tr>
        <w:trPr>
          <w:cantSplit/>
          <w:tblHeader w:val="true"/>
        </w:trPr>
        <w:tc>
          <w:tcPr>
            <w:tcW w:type="dxa" w:w="15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评价层级</w:t>
            </w:r>
          </w:p>
        </w:tc>
        <w:tc>
          <w:tcPr>
            <w:tcW w:type="dxa" w:w="31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核心指标</w:t>
            </w:r>
          </w:p>
        </w:tc>
        <w:tc>
          <w:tcPr>
            <w:tcW w:type="dxa" w:w="2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评价目的</w:t>
            </w:r>
          </w:p>
        </w:tc>
        <w:tc>
          <w:tcPr>
            <w:tcW w:type="dxa" w:w="15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结果使用边界</w:t>
            </w:r>
          </w:p>
        </w:tc>
      </w:tr>
      <w:tr>
        <w:trPr>
          <w:cantSplit/>
        </w:trPr>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推理工程质量</w:t>
            </w:r>
          </w:p>
        </w:tc>
        <w:tc>
          <w:tcPr>
            <w:tcW w:type="dxa" w:w="31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结构合法、重试恢复、错误、Token、时延、工具轨迹。</w:t>
            </w:r>
          </w:p>
        </w:tc>
        <w:tc>
          <w:tcPr>
            <w:tcW w:type="dxa" w:w="2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确认服务可用、可观测、异常可诊断。</w:t>
            </w:r>
          </w:p>
        </w:tc>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不直接等同于营销效果。</w:t>
            </w:r>
          </w:p>
        </w:tc>
      </w:tr>
      <w:tr>
        <w:trPr>
          <w:cantSplit/>
        </w:trPr>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知识与本体质量</w:t>
            </w:r>
          </w:p>
        </w:tc>
        <w:tc>
          <w:tcPr>
            <w:tcW w:type="dxa" w:w="31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对象抽取、关系端点、证据覆盖、置信度、冲突和过期状态。</w:t>
            </w:r>
          </w:p>
        </w:tc>
        <w:tc>
          <w:tcPr>
            <w:tcW w:type="dxa" w:w="2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确认推理上下文可信且可回溯。</w:t>
            </w:r>
          </w:p>
        </w:tc>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低质量候选不得进入正式图谱。</w:t>
            </w:r>
          </w:p>
        </w:tc>
      </w:tr>
      <w:tr>
        <w:trPr>
          <w:cantSplit/>
        </w:trPr>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业务建议质量</w:t>
            </w:r>
          </w:p>
        </w:tc>
        <w:tc>
          <w:tcPr>
            <w:tcW w:type="dxa" w:w="31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机会解释、客群合理性、产品资格、内容事实、审批结果、人工修改。</w:t>
            </w:r>
          </w:p>
        </w:tc>
        <w:tc>
          <w:tcPr>
            <w:tcW w:type="dxa" w:w="2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确认建议符合航空营销规则并可被业务人员使用。</w:t>
            </w:r>
          </w:p>
        </w:tc>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需由业务人员审核后确认。</w:t>
            </w:r>
          </w:p>
        </w:tc>
      </w:tr>
      <w:tr>
        <w:trPr>
          <w:cantSplit/>
        </w:trPr>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营销结果质量</w:t>
            </w:r>
          </w:p>
        </w:tc>
        <w:tc>
          <w:tcPr>
            <w:tcW w:type="dxa" w:w="31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送达、互动、购票、核销、辅营、投诉、增量与 ROI。</w:t>
            </w:r>
          </w:p>
        </w:tc>
        <w:tc>
          <w:tcPr>
            <w:tcW w:type="dxa" w:w="2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确认授权渠道接入后的真实业务效果。</w:t>
            </w:r>
          </w:p>
        </w:tc>
        <w:tc>
          <w:tcPr>
            <w:tcW w:type="dxa" w:w="15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仅以真实回传和统一归因口径计算。</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典型场景以“上海—三亚国庆早鸟”为验证主线。系统先将目的地热度、搜索增长、航线供给、客座率观测和预售窗口关联为机会证据，再形成带有效期和排除规则的聚合客群快照；随后对产品包的库存、资格、权益和有效期进行校验，生成渠道内容与活动候选，待审批后才可形成执行批次。执行结果以 Feedback 和 AttributionResult 回流，用于评价客群、产品、内容和渠道的组合，而不是将模型生成文本本身视作最终成效。</w:t>
      </w:r>
    </w:p>
    <w:p>
      <w:pPr>
        <w:pStyle w:val="Heading3"/>
        <w:keepNext/>
        <w:spacing w:before="140" w:after="40" w:line="300" w:lineRule="auto"/>
        <w:ind w:firstLine="0"/>
        <w:jc w:val="left"/>
      </w:pPr>
      <w:r>
        <w:rPr>
          <w:rFonts w:ascii="Times New Roman" w:hAnsi="Times New Roman" w:eastAsia="楷体"/>
          <w:b/>
          <w:color w:val="000000"/>
          <w:sz w:val="24"/>
        </w:rPr>
        <w:t>3.2.7  数据源契约与语义标准化细节</w:t>
      </w:r>
    </w:p>
    <w:p>
      <w:pPr>
        <w:keepNext w:val="0"/>
        <w:spacing w:before="0" w:after="100" w:line="360" w:lineRule="auto"/>
        <w:ind w:firstLine="420"/>
        <w:jc w:val="both"/>
      </w:pPr>
      <w:r>
        <w:rPr>
          <w:rFonts w:ascii="Times New Roman" w:hAnsi="Times New Roman" w:eastAsia="宋体"/>
          <w:b w:val="0"/>
          <w:color w:val="000000"/>
          <w:sz w:val="24"/>
        </w:rPr>
        <w:t>多源数据要进入统一推理链，首先需要建立数据源契约。契约并不要求所有来源使用同一物理表结构，而要求每一种来源明确其业务含义、权威程度、更新频率、时间窗口、可读取字段、脱敏要求、来源定位方法和失效条件。对于经营指标，必须明确统计口径和观察窗口；对于产品规则，必须明确适用航班、资格、库存、价格、权益和有效期；对于客群信息，必须明确其为聚合统计还是可授权的细分结果；对于热点信息，必须明确来源、发布时间、相关性和人工确认状态。</w:t>
      </w:r>
    </w:p>
    <w:p>
      <w:pPr>
        <w:keepNext w:val="0"/>
        <w:spacing w:before="0" w:after="100" w:line="360" w:lineRule="auto"/>
        <w:ind w:firstLine="420"/>
        <w:jc w:val="both"/>
      </w:pPr>
      <w:r>
        <w:rPr>
          <w:rFonts w:ascii="Times New Roman" w:hAnsi="Times New Roman" w:eastAsia="宋体"/>
          <w:b w:val="0"/>
          <w:color w:val="000000"/>
          <w:sz w:val="24"/>
        </w:rPr>
        <w:t>在标准化过程中，系统将原始字段映射为营销对象的稳定属性，而不是简单复制源系统编码。以航线为例，原始数据可能分别出现出发城市、到达城市、机场三字码、航班号和日期；本体层将其组织为 Route、Flight、MetricObservation 等对象，并通过关系表达“观测发生在哪个航线/航班、适用于哪个时间窗、支持哪个机会判断”。以产品为例，原始产品名称、价格、库存和规则文本被组织为 Product、ProductPackage、BusinessRule 与 ValueProposition，使模型能够区分可销售事实与营销表达。</w:t>
      </w:r>
    </w:p>
    <w:tbl>
      <w:tblPr>
        <w:tblStyle w:val="TableGrid"/>
        <w:tblW w:type="dxa" w:w="9000"/>
        <w:jc w:val="center"/>
        <w:tblLayout w:type="fixed"/>
        <w:tblLook w:firstColumn="1" w:firstRow="1" w:lastColumn="0" w:lastRow="0" w:noHBand="0" w:noVBand="1" w:val="04A0"/>
        <w:tblInd w:w="0" w:type="dxa"/>
      </w:tblPr>
      <w:tblGrid>
        <w:gridCol w:w="1500"/>
        <w:gridCol w:w="2700"/>
        <w:gridCol w:w="2700"/>
        <w:gridCol w:w="2100"/>
      </w:tblGrid>
      <w:tr>
        <w:trPr>
          <w:cantSplit/>
          <w:tblHeader w:val="true"/>
        </w:trPr>
        <w:tc>
          <w:tcPr>
            <w:tcW w:type="dxa" w:w="1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对象类别</w:t>
            </w:r>
          </w:p>
        </w:tc>
        <w:tc>
          <w:tcPr>
            <w:tcW w:type="dxa" w:w="2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最小语义字段</w:t>
            </w:r>
          </w:p>
        </w:tc>
        <w:tc>
          <w:tcPr>
            <w:tcW w:type="dxa" w:w="2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证据与状态要求</w:t>
            </w:r>
          </w:p>
        </w:tc>
        <w:tc>
          <w:tcPr>
            <w:tcW w:type="dxa" w:w="21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推理中的用途</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市场与经营信号</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来源、发布时间、时间窗、适用航线/市场、观测指标。</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保留来源位置；区分候选、确认、过期和已拒绝。</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识别 Opportunity 并解释机会依据。</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客群快照</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筛选语义、聚合规模、授权范围、排除规则、有效期。</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不暴露无关个人明细；记录生成版本和确认人。</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约束 AudienceSnapshot 的可触达范围。</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产品与规则</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产品包、适用条件、库存、资格、价格、权益、有效期。</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以权威产品规则为优先来源；过期或冲突内容不得直接使用。</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校验 ProductPackage 与内容承诺。</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活动与反馈</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目标、预算、渠道、频控、执行批次、结果口径。</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审批与执行状态分离；反馈绑定批次、渠道和时间窗。</w:t>
            </w:r>
          </w:p>
        </w:tc>
        <w:tc>
          <w:tcPr>
            <w:tcW w:type="dxa" w:w="21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组织 Campaign、Feedback 与 AttributionResult。</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语义标准化后仍须处理时间与冲突问题。平台不假设“最新文本一定正确”，而是依据来源优先级、有效期、人工确认、版本和冲突状态决定上下文是否可用。当两份规则文件给出不同结论时，模型不应自行选择更符合语言直觉的一项，而应将冲突作为风险项输出，等待业务人员确定优先来源或更新规则。对于不具备有效期或来源的内容，系统可以作为参考知识保留，但不将其作为可直接执行营销动作的事实依据。</w:t>
      </w:r>
    </w:p>
    <w:p>
      <w:pPr>
        <w:pStyle w:val="Heading3"/>
        <w:keepNext/>
        <w:spacing w:before="140" w:after="40" w:line="300" w:lineRule="auto"/>
        <w:ind w:firstLine="0"/>
        <w:jc w:val="left"/>
      </w:pPr>
      <w:r>
        <w:rPr>
          <w:rFonts w:ascii="Times New Roman" w:hAnsi="Times New Roman" w:eastAsia="楷体"/>
          <w:b/>
          <w:color w:val="000000"/>
          <w:sz w:val="24"/>
        </w:rPr>
        <w:t>3.2.8  知识检索、证据引用与 Prompt 契约</w:t>
      </w:r>
    </w:p>
    <w:p>
      <w:pPr>
        <w:keepNext w:val="0"/>
        <w:spacing w:before="0" w:after="100" w:line="360" w:lineRule="auto"/>
        <w:ind w:firstLine="420"/>
        <w:jc w:val="both"/>
      </w:pPr>
      <w:r>
        <w:rPr>
          <w:rFonts w:ascii="Times New Roman" w:hAnsi="Times New Roman" w:eastAsia="宋体"/>
          <w:b w:val="0"/>
          <w:color w:val="000000"/>
          <w:sz w:val="24"/>
        </w:rPr>
        <w:t>知识检索的目标不是向模型堆叠尽可能多的文本，而是在问题、智能域和权限范围确定后，提供足以支撑当前决策的最小证据集合。Harness 先根据问题确定可能涉及的业务对象和智能域，再读取当前租户范围内有效的知识片段、本体关系、活动状态与规则。检索结果需保留文档标识、片段定位、对象关联、版本和有效期，使后续输出可以引用“事实来自哪里”，而不是只给出一个没有来源的结论。</w:t>
      </w:r>
    </w:p>
    <w:p>
      <w:pPr>
        <w:keepNext w:val="0"/>
        <w:spacing w:before="0" w:after="100" w:line="360" w:lineRule="auto"/>
        <w:ind w:firstLine="420"/>
        <w:jc w:val="both"/>
      </w:pPr>
      <w:r>
        <w:rPr>
          <w:rFonts w:ascii="Times New Roman" w:hAnsi="Times New Roman" w:eastAsia="宋体"/>
          <w:b w:val="0"/>
          <w:color w:val="000000"/>
          <w:sz w:val="24"/>
        </w:rPr>
        <w:t>Prompt 被视为运行契约而非单纯的文案。系统提示词描述智能域职责、允许读取的对象、可调用的工具、不可跨越的权限边界、事实与建议的区分方式及输出结构要求；用户输入提供待分析的问题或业务任务；工具结果提供可核验的中间事实。模型不得把没有工具或证据支持的假设表述为已确认事实，也不得将“建议”伪装为已经执行的动作。对于活动发布、本体更新和预算决策，Prompt 需要明确要求输出待确认事项，而不是产生完成状态。</w:t>
      </w:r>
    </w:p>
    <w:tbl>
      <w:tblPr>
        <w:tblStyle w:val="TableGrid"/>
        <w:tblW w:type="dxa" w:w="9000"/>
        <w:jc w:val="center"/>
        <w:tblLayout w:type="fixed"/>
        <w:tblLook w:firstColumn="1" w:firstRow="1" w:lastColumn="0" w:lastRow="0" w:noHBand="0" w:noVBand="1" w:val="04A0"/>
        <w:tblInd w:w="0" w:type="dxa"/>
      </w:tblPr>
      <w:tblGrid>
        <w:gridCol w:w="1600"/>
        <w:gridCol w:w="3700"/>
        <w:gridCol w:w="3700"/>
      </w:tblGrid>
      <w:tr>
        <w:trPr>
          <w:cantSplit/>
          <w:tblHeader w:val="true"/>
        </w:trPr>
        <w:tc>
          <w:tcPr>
            <w:tcW w:type="dxa" w:w="16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输出区块</w:t>
            </w:r>
          </w:p>
        </w:tc>
        <w:tc>
          <w:tcPr>
            <w:tcW w:type="dxa" w:w="3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最小内容</w:t>
            </w:r>
          </w:p>
        </w:tc>
        <w:tc>
          <w:tcPr>
            <w:tcW w:type="dxa" w:w="3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校验要求</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事实与证据</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已知事实、来源标识、对象关系、时间窗与有效期。</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无来源或已过期内容不得标为已确认事实。</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分析与建议</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机会解释、候选方案、适用范围、替代方案与风险说明。</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建议需区分于事实，并绑定相关对象和规则。</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工具与规则</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调用的业务函数、返回摘要、通过或失败的校验项。</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只能使用白名单工具；结果需记录在 AgentRun。</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人工确认</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高影响动作、冲突、信息缺口、需确认的业务口径。</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不得将待确认事项写为已发布、已生效或已执行。</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对于长问题或大量资料，系统在模型调用前执行输入边界检查。现有实现拒绝空问题和超过 12000 字符的输入，并将连接、读取、写入与连接池超时区分配置。边界检查的目的是避免无效调用、提示注入和不可控成本，而不是以截断代替业务理解。超长或复杂资料应优先经过文件解析、知识切分、候选审核和分步检索，而非一次性塞入对话上下文。</w:t>
      </w:r>
    </w:p>
    <w:p>
      <w:pPr>
        <w:pStyle w:val="Heading3"/>
        <w:keepNext/>
        <w:spacing w:before="140" w:after="40" w:line="300" w:lineRule="auto"/>
        <w:ind w:firstLine="0"/>
        <w:jc w:val="left"/>
      </w:pPr>
      <w:r>
        <w:rPr>
          <w:rFonts w:ascii="Times New Roman" w:hAnsi="Times New Roman" w:eastAsia="楷体"/>
          <w:b/>
          <w:color w:val="000000"/>
          <w:sz w:val="24"/>
        </w:rPr>
        <w:t>3.2.9  工具调用、规则服务与状态机协同</w:t>
      </w:r>
    </w:p>
    <w:p>
      <w:pPr>
        <w:keepNext w:val="0"/>
        <w:spacing w:before="0" w:after="100" w:line="360" w:lineRule="auto"/>
        <w:ind w:firstLine="420"/>
        <w:jc w:val="both"/>
      </w:pPr>
      <w:r>
        <w:rPr>
          <w:rFonts w:ascii="Times New Roman" w:hAnsi="Times New Roman" w:eastAsia="宋体"/>
          <w:b w:val="0"/>
          <w:color w:val="000000"/>
          <w:sz w:val="24"/>
        </w:rPr>
        <w:t>AI Inference 的作用是选择分析路径并组织候选结论，确定性工具负责执行可复核的业务计算与检查。工具可以包括市场信号查询、对象关系检索、产品资格校验、库存检查、客群授权与频控检查、内容长度与敏感词检查、活动状态查询和效果指标计算。每个工具均应拥有明确的输入结构、输出结构、权限范围、超时策略和错误语义；模型只能在当前智能域允许的工具集内调用，不能直接执行任意 SQL、绕过审批或写入正式业务数据。</w:t>
      </w:r>
    </w:p>
    <w:p>
      <w:pPr>
        <w:keepNext w:val="0"/>
        <w:spacing w:before="0" w:after="100" w:line="360" w:lineRule="auto"/>
        <w:ind w:firstLine="420"/>
        <w:jc w:val="both"/>
      </w:pPr>
      <w:r>
        <w:rPr>
          <w:rFonts w:ascii="Times New Roman" w:hAnsi="Times New Roman" w:eastAsia="宋体"/>
          <w:b w:val="0"/>
          <w:color w:val="000000"/>
          <w:sz w:val="24"/>
        </w:rPr>
        <w:t>状态机用于把自然语言建议转换为可管理的业务流程。以活动为例，候选方案可以处于草稿、待审核、已驳回、已批准、待执行、执行中、已完成或已暂停等状态；状态转换由规则与人工决定，而不是由模型一句“已发布”触发。以本体对象为例，候选、正式、生效、过期、冲突和已撤销具有不同可见性与可用性。状态机确保模型无法把尚未经过审核的结果误用为下游事实。</w:t>
      </w:r>
    </w:p>
    <w:tbl>
      <w:tblPr>
        <w:tblStyle w:val="TableGrid"/>
        <w:tblW w:type="dxa" w:w="9000"/>
        <w:jc w:val="center"/>
        <w:tblLayout w:type="fixed"/>
        <w:tblLook w:firstColumn="1" w:firstRow="1" w:lastColumn="0" w:lastRow="0" w:noHBand="0" w:noVBand="1" w:val="04A0"/>
        <w:tblInd w:w="0" w:type="dxa"/>
      </w:tblPr>
      <w:tblGrid>
        <w:gridCol w:w="1850"/>
        <w:gridCol w:w="3500"/>
        <w:gridCol w:w="3650"/>
      </w:tblGrid>
      <w:tr>
        <w:trPr>
          <w:cantSplit/>
          <w:tblHeader w:val="true"/>
        </w:trPr>
        <w:tc>
          <w:tcPr>
            <w:tcW w:type="dxa" w:w="18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工具/服务类别</w:t>
            </w:r>
          </w:p>
        </w:tc>
        <w:tc>
          <w:tcPr>
            <w:tcW w:type="dxa" w:w="3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模型可请求的能力</w:t>
            </w:r>
          </w:p>
        </w:tc>
        <w:tc>
          <w:tcPr>
            <w:tcW w:type="dxa" w:w="36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系统必须返回的约束信息</w:t>
            </w:r>
          </w:p>
        </w:tc>
      </w:tr>
      <w:tr>
        <w:trPr>
          <w:cantSplit/>
        </w:trPr>
        <w:tc>
          <w:tcPr>
            <w:tcW w:type="dxa" w:w="1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知识与本体检索</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定位授权证据、对象、关系、版本与关联活动。</w:t>
            </w:r>
          </w:p>
        </w:tc>
        <w:tc>
          <w:tcPr>
            <w:tcW w:type="dxa" w:w="3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来源、有效期、状态、权限范围和缺失说明。</w:t>
            </w:r>
          </w:p>
        </w:tc>
      </w:tr>
      <w:tr>
        <w:trPr>
          <w:cantSplit/>
        </w:trPr>
        <w:tc>
          <w:tcPr>
            <w:tcW w:type="dxa" w:w="1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产品与客群校验</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检查资格、库存、价格、权益、授权、保护名单与频控。</w:t>
            </w:r>
          </w:p>
        </w:tc>
        <w:tc>
          <w:tcPr>
            <w:tcW w:type="dxa" w:w="3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通过/失败、不可用原因、适用条件和规则依据。</w:t>
            </w:r>
          </w:p>
        </w:tc>
      </w:tr>
      <w:tr>
        <w:trPr>
          <w:cantSplit/>
        </w:trPr>
        <w:tc>
          <w:tcPr>
            <w:tcW w:type="dxa" w:w="1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活动与内容检查</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生成候选内容、检查渠道规格、预算、审批与状态。</w:t>
            </w:r>
          </w:p>
        </w:tc>
        <w:tc>
          <w:tcPr>
            <w:tcW w:type="dxa" w:w="3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敏感项、审批要求、渠道限制和下一步人工动作。</w:t>
            </w:r>
          </w:p>
        </w:tc>
      </w:tr>
      <w:tr>
        <w:trPr>
          <w:cantSplit/>
        </w:trPr>
        <w:tc>
          <w:tcPr>
            <w:tcW w:type="dxa" w:w="18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执行与效果分析</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读取回传事件、漏斗、异常和归因候选。</w:t>
            </w:r>
          </w:p>
        </w:tc>
        <w:tc>
          <w:tcPr>
            <w:tcW w:type="dxa" w:w="36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统计口径、时间窗、缺失数据、样本边界和置信提示。</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工具调用失败不应被模型自行掩盖。系统需要区分可重试的暂时性失败、不可重试的参数或权限错误、需要人工介入的业务冲突和可降级的知识缺失。现有客户端对 429、502、503、504 及连接类异常实施最多 3 次指数退避重试；非瞬时 4xx 错误立即失败；异常信息经过脱敏后记录。此类策略保证问题可诊断，也防止模型为了给出看似完整的回答而编造不存在的工具结果。</w:t>
      </w:r>
    </w:p>
    <w:p>
      <w:pPr>
        <w:pStyle w:val="Heading3"/>
        <w:keepNext/>
        <w:spacing w:before="140" w:after="40" w:line="300" w:lineRule="auto"/>
        <w:ind w:firstLine="0"/>
        <w:jc w:val="left"/>
      </w:pPr>
      <w:r>
        <w:rPr>
          <w:rFonts w:ascii="Times New Roman" w:hAnsi="Times New Roman" w:eastAsia="楷体"/>
          <w:b/>
          <w:color w:val="000000"/>
          <w:sz w:val="24"/>
        </w:rPr>
        <w:t>3.2.10  模型工程、性能优化与成本控制</w:t>
      </w:r>
    </w:p>
    <w:p>
      <w:pPr>
        <w:keepNext w:val="0"/>
        <w:spacing w:before="0" w:after="100" w:line="360" w:lineRule="auto"/>
        <w:ind w:firstLine="420"/>
        <w:jc w:val="both"/>
      </w:pPr>
      <w:r>
        <w:rPr>
          <w:rFonts w:ascii="Times New Roman" w:hAnsi="Times New Roman" w:eastAsia="宋体"/>
          <w:b w:val="0"/>
          <w:color w:val="000000"/>
          <w:sz w:val="24"/>
        </w:rPr>
        <w:t>模型工程的核心不是单纯追求更长回答，而是使不同任务在可接受的质量、时延和成本范围内完成。平台为每次模型调用记录模型名称、请求/生成 Token、总 Token、耗时、重试次数、错误、工具调用与最终状态。这些运行数据可用于发现某类任务是否频繁陷入多轮规划、是否重复检索同一对象、是否因无效上下文导致回答冗长，也可用于比较云端百炼服务和内置 Qwen 自研模型在相同任务中的资源消耗。</w:t>
      </w:r>
    </w:p>
    <w:p>
      <w:pPr>
        <w:keepNext w:val="0"/>
        <w:spacing w:before="0" w:after="100" w:line="360" w:lineRule="auto"/>
        <w:ind w:firstLine="420"/>
        <w:jc w:val="both"/>
      </w:pPr>
      <w:r>
        <w:rPr>
          <w:rFonts w:ascii="Times New Roman" w:hAnsi="Times New Roman" w:eastAsia="宋体"/>
          <w:b w:val="0"/>
          <w:color w:val="000000"/>
          <w:sz w:val="24"/>
        </w:rPr>
        <w:t>对于复杂问题，性能优化采用分层策略：首先通过智能域选择和对象过滤缩小上下文；其次对固定规则、产品事实和已确认本体关系实施缓存与版本控制；再次对可并行的查询与校验进行调度；最后才考虑减少模型轮次或切换模型。任何优化都不得删除证据、跳过规则或取消人工门禁。尤其在涉及权益、库存和预算时，较短的推理链必须以事实与安全不受损为前提。</w:t>
      </w:r>
    </w:p>
    <w:tbl>
      <w:tblPr>
        <w:tblStyle w:val="TableGrid"/>
        <w:tblW w:type="dxa" w:w="9000"/>
        <w:jc w:val="center"/>
        <w:tblLayout w:type="fixed"/>
        <w:tblLook w:firstColumn="1" w:firstRow="1" w:lastColumn="0" w:lastRow="0" w:noHBand="0" w:noVBand="1" w:val="04A0"/>
        <w:tblInd w:w="0" w:type="dxa"/>
      </w:tblPr>
      <w:tblGrid>
        <w:gridCol w:w="1600"/>
        <w:gridCol w:w="3800"/>
        <w:gridCol w:w="3600"/>
      </w:tblGrid>
      <w:tr>
        <w:trPr>
          <w:cantSplit/>
          <w:tblHeader w:val="true"/>
        </w:trPr>
        <w:tc>
          <w:tcPr>
            <w:tcW w:type="dxa" w:w="16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优化对象</w:t>
            </w:r>
          </w:p>
        </w:tc>
        <w:tc>
          <w:tcPr>
            <w:tcW w:type="dxa" w:w="3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可采取的工程措施</w:t>
            </w:r>
          </w:p>
        </w:tc>
        <w:tc>
          <w:tcPr>
            <w:tcW w:type="dxa" w:w="36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需持续观测的副作用</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上下文规模</w:t>
            </w:r>
          </w:p>
        </w:tc>
        <w:tc>
          <w:tcPr>
            <w:tcW w:type="dxa" w:w="3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按智能域、对象类型、有效期和权限过滤；对重复片段去重。</w:t>
            </w:r>
          </w:p>
        </w:tc>
        <w:tc>
          <w:tcPr>
            <w:tcW w:type="dxa" w:w="3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是否遗漏关键证据、降低解释完整性或引入过期信息。</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工具循环</w:t>
            </w:r>
          </w:p>
        </w:tc>
        <w:tc>
          <w:tcPr>
            <w:tcW w:type="dxa" w:w="3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为常用查询设置短路条件、会话级缓存和明确的终止规则。</w:t>
            </w:r>
          </w:p>
        </w:tc>
        <w:tc>
          <w:tcPr>
            <w:tcW w:type="dxa" w:w="3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是否因过早终止导致未完成必要的资格或规则检查。</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模型路由</w:t>
            </w:r>
          </w:p>
        </w:tc>
        <w:tc>
          <w:tcPr>
            <w:tcW w:type="dxa" w:w="3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将结构化、分类和关系抽取等任务逐步对照到内置 Qwen。</w:t>
            </w:r>
          </w:p>
        </w:tc>
        <w:tc>
          <w:tcPr>
            <w:tcW w:type="dxa" w:w="3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质量波动、人工修改、失败率、回退频率和安全边界。</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运行容量</w:t>
            </w:r>
          </w:p>
        </w:tc>
        <w:tc>
          <w:tcPr>
            <w:tcW w:type="dxa" w:w="3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设置租户级并发上限、调用预算告警、限流与熔断策略。</w:t>
            </w:r>
          </w:p>
        </w:tc>
        <w:tc>
          <w:tcPr>
            <w:tcW w:type="dxa" w:w="3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高峰期排队时延、服务不可用和跨租户资源争用。</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成本控制同样应当是可解释的。模型调用预算不能只按总 Token 限制，还应与任务价值、风险等级和人工审核收益结合。例如，对低风险的分类任务可优先使用通过对照门槛的本地模型；对跨对象复杂分析可暂用百炼主用链路；对需要真实发布的活动，即使模型调用成本较低，也必须保留规则和审核成本。平台的目标是用可观测的数据支持决策，而不是简单将成本压缩到最低。</w:t>
      </w:r>
    </w:p>
    <w:p>
      <w:pPr>
        <w:pStyle w:val="Heading3"/>
        <w:keepNext/>
        <w:spacing w:before="140" w:after="40" w:line="300" w:lineRule="auto"/>
        <w:ind w:firstLine="0"/>
        <w:jc w:val="left"/>
      </w:pPr>
      <w:r>
        <w:rPr>
          <w:rFonts w:ascii="Times New Roman" w:hAnsi="Times New Roman" w:eastAsia="楷体"/>
          <w:b/>
          <w:color w:val="000000"/>
          <w:sz w:val="24"/>
        </w:rPr>
        <w:t>3.2.11  典型场景的端到端推理拆解</w:t>
      </w:r>
    </w:p>
    <w:p>
      <w:pPr>
        <w:keepNext w:val="0"/>
        <w:spacing w:before="0" w:after="100" w:line="360" w:lineRule="auto"/>
        <w:ind w:firstLine="420"/>
        <w:jc w:val="both"/>
      </w:pPr>
      <w:r>
        <w:rPr>
          <w:rFonts w:ascii="Times New Roman" w:hAnsi="Times New Roman" w:eastAsia="宋体"/>
          <w:b w:val="0"/>
          <w:color w:val="000000"/>
          <w:sz w:val="24"/>
        </w:rPr>
        <w:t>以“上海—三亚国庆早鸟”场景为例，系统从机会识别开始，而不是从一句“请写一条促销文案”开始。第一步，外部目的地热度、App 搜索增长、航线供给、客座率观测和预售窗口以来源、时间窗和适用范围进入知识与本体。机会洞察智能域在读取这些已确认或待确认对象后，形成 Opportunity 候选，并说明影响航线、证据、风险和建议时机。若市场信号缺乏来源、经营数据已过期或航线关联不足，系统应返回信息缺口而非强行推荐。</w:t>
      </w:r>
    </w:p>
    <w:p>
      <w:pPr>
        <w:keepNext w:val="0"/>
        <w:spacing w:before="0" w:after="100" w:line="360" w:lineRule="auto"/>
        <w:ind w:firstLine="420"/>
        <w:jc w:val="both"/>
      </w:pPr>
      <w:r>
        <w:rPr>
          <w:rFonts w:ascii="Times New Roman" w:hAnsi="Times New Roman" w:eastAsia="宋体"/>
          <w:b w:val="0"/>
          <w:color w:val="000000"/>
          <w:sz w:val="24"/>
        </w:rPr>
        <w:t>第二步，客群洞察智能域从授权的聚合画像和行为统计中构造 AudienceSnapshot。候选口径可以包含近期搜索、比价期、未出票、家庭出行特征等条件，但必须同时附带营销授权、保护名单、频控、排除规则、客群规模和有效期。系统输出的是可复现的聚合快照而不是旅客个人名单；营销人员需要确认该快照是否符合业务口径以及是否适合当前活动窗口。</w:t>
      </w:r>
    </w:p>
    <w:p>
      <w:pPr>
        <w:keepNext w:val="0"/>
        <w:spacing w:before="0" w:after="100" w:line="360" w:lineRule="auto"/>
        <w:ind w:firstLine="420"/>
        <w:jc w:val="both"/>
      </w:pPr>
      <w:r>
        <w:rPr>
          <w:rFonts w:ascii="Times New Roman" w:hAnsi="Times New Roman" w:eastAsia="宋体"/>
          <w:b w:val="0"/>
          <w:color w:val="000000"/>
          <w:sz w:val="24"/>
        </w:rPr>
        <w:t>第三步，产品匹配智能域在已确定的航线、航班和时间窗内，组合早鸟客票、额外行李、优选座位和目的地权益等候选 ProductPackage。模型可以提出主推与替代方案，但工具必须校验库存、适用资格、价格、权益、有效期和交付条件。任何“更省心”“更优惠”等表述都需要能回到已确认的产品事实；无法满足资格或库存条件的组合必须说明不可用原因，不能被模型包装成对外承诺。</w:t>
      </w:r>
    </w:p>
    <w:p>
      <w:pPr>
        <w:keepNext w:val="0"/>
        <w:spacing w:before="0" w:after="100" w:line="360" w:lineRule="auto"/>
        <w:ind w:firstLine="420"/>
        <w:jc w:val="both"/>
      </w:pPr>
      <w:r>
        <w:rPr>
          <w:rFonts w:ascii="Times New Roman" w:hAnsi="Times New Roman" w:eastAsia="宋体"/>
          <w:b w:val="0"/>
          <w:color w:val="000000"/>
          <w:sz w:val="24"/>
        </w:rPr>
        <w:t>第四步，活动编排和内容生成智能域将已确认的机会、客群、产品和价值主张组织为 Campaign 候选，形成 App、短信或其他授权渠道的内容版本、触点计划、预算、频控和审批摘要。模型可以根据渠道规格生成不同文案，但必须保留事实引用、敏感词提示、长度校验和待审批事项。活动在规则、预算、内容与渠道审核完成前仅是候选状态，不能直接形成外发命令。</w:t>
      </w:r>
    </w:p>
    <w:p>
      <w:pPr>
        <w:keepNext w:val="0"/>
        <w:spacing w:before="0" w:after="100" w:line="360" w:lineRule="auto"/>
        <w:ind w:firstLine="420"/>
        <w:jc w:val="both"/>
      </w:pPr>
      <w:r>
        <w:rPr>
          <w:rFonts w:ascii="Times New Roman" w:hAnsi="Times New Roman" w:eastAsia="宋体"/>
          <w:b w:val="0"/>
          <w:color w:val="000000"/>
          <w:sz w:val="24"/>
        </w:rPr>
        <w:t>第五步，授权渠道返回送达、回执、点击、购票、核销、辅营购买或失败等事件后，系统将其组织为 ExecutionBatch 与 Feedback。效果分析智能域以预先定义的时间窗和归因口径连接客群、产品、内容、渠道和交易履约结果，输出 AttributionResult 与 Review 候选。若回传不完整、样本不足或口径不一致，系统应明确标示不确定性，不将相关性解释为因果增量。</w:t>
      </w:r>
    </w:p>
    <w:tbl>
      <w:tblPr>
        <w:tblStyle w:val="TableGrid"/>
        <w:tblW w:type="dxa" w:w="9000"/>
        <w:jc w:val="center"/>
        <w:tblLayout w:type="fixed"/>
        <w:tblLook w:firstColumn="1" w:firstRow="1" w:lastColumn="0" w:lastRow="0" w:noHBand="0" w:noVBand="1" w:val="04A0"/>
        <w:tblInd w:w="0" w:type="dxa"/>
      </w:tblPr>
      <w:tblGrid>
        <w:gridCol w:w="1450"/>
        <w:gridCol w:w="2700"/>
        <w:gridCol w:w="2900"/>
        <w:gridCol w:w="1950"/>
      </w:tblGrid>
      <w:tr>
        <w:trPr>
          <w:cantSplit/>
          <w:tblHeader w:val="true"/>
        </w:trPr>
        <w:tc>
          <w:tcPr>
            <w:tcW w:type="dxa" w:w="14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场景环节</w:t>
            </w:r>
          </w:p>
        </w:tc>
        <w:tc>
          <w:tcPr>
            <w:tcW w:type="dxa" w:w="2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本体与工具输入</w:t>
            </w:r>
          </w:p>
        </w:tc>
        <w:tc>
          <w:tcPr>
            <w:tcW w:type="dxa" w:w="2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模型候选输出</w:t>
            </w:r>
          </w:p>
        </w:tc>
        <w:tc>
          <w:tcPr>
            <w:tcW w:type="dxa" w:w="1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必须确认的事项</w:t>
            </w:r>
          </w:p>
        </w:tc>
      </w:tr>
      <w:tr>
        <w:trPr>
          <w:cantSplit/>
        </w:trPr>
        <w:tc>
          <w:tcPr>
            <w:tcW w:type="dxa" w:w="14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机会形成</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热点、搜索、供给、客座率、时间窗与来源证据。</w:t>
            </w:r>
          </w:p>
        </w:tc>
        <w:tc>
          <w:tcPr>
            <w:tcW w:type="dxa" w:w="2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Opportunity、机会解释、影响范围与时机。</w:t>
            </w:r>
          </w:p>
        </w:tc>
        <w:tc>
          <w:tcPr>
            <w:tcW w:type="dxa" w:w="1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证据是否充分、是否进入策划。</w:t>
            </w:r>
          </w:p>
        </w:tc>
      </w:tr>
      <w:tr>
        <w:trPr>
          <w:cantSplit/>
        </w:trPr>
        <w:tc>
          <w:tcPr>
            <w:tcW w:type="dxa" w:w="14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客群快照</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聚合画像、授权、频控、保护名单、有效期。</w:t>
            </w:r>
          </w:p>
        </w:tc>
        <w:tc>
          <w:tcPr>
            <w:tcW w:type="dxa" w:w="2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AudienceSnapshot、规模、标签解释与排除条件。</w:t>
            </w:r>
          </w:p>
        </w:tc>
        <w:tc>
          <w:tcPr>
            <w:tcW w:type="dxa" w:w="1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客群口径和触达边界。</w:t>
            </w:r>
          </w:p>
        </w:tc>
      </w:tr>
      <w:tr>
        <w:trPr>
          <w:cantSplit/>
        </w:trPr>
        <w:tc>
          <w:tcPr>
            <w:tcW w:type="dxa" w:w="14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产品匹配</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产品规则、库存、价格、资格、权益与航班条件。</w:t>
            </w:r>
          </w:p>
        </w:tc>
        <w:tc>
          <w:tcPr>
            <w:tcW w:type="dxa" w:w="2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ProductPackage、主推/替代方案、不可用原因。</w:t>
            </w:r>
          </w:p>
        </w:tc>
        <w:tc>
          <w:tcPr>
            <w:tcW w:type="dxa" w:w="1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对外可承诺的组合与事实。</w:t>
            </w:r>
          </w:p>
        </w:tc>
      </w:tr>
      <w:tr>
        <w:trPr>
          <w:cantSplit/>
        </w:trPr>
        <w:tc>
          <w:tcPr>
            <w:tcW w:type="dxa" w:w="14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活动与内容</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目标、预算、渠道规格、敏感词、审批规则。</w:t>
            </w:r>
          </w:p>
        </w:tc>
        <w:tc>
          <w:tcPr>
            <w:tcW w:type="dxa" w:w="2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Campaign、内容版本、触点计划与风险提示。</w:t>
            </w:r>
          </w:p>
        </w:tc>
        <w:tc>
          <w:tcPr>
            <w:tcW w:type="dxa" w:w="1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预算、内容、频控、审批与发布。</w:t>
            </w:r>
          </w:p>
        </w:tc>
      </w:tr>
      <w:tr>
        <w:trPr>
          <w:cantSplit/>
        </w:trPr>
        <w:tc>
          <w:tcPr>
            <w:tcW w:type="dxa" w:w="14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反馈与复盘</w:t>
            </w:r>
          </w:p>
        </w:tc>
        <w:tc>
          <w:tcPr>
            <w:tcW w:type="dxa" w:w="2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执行批次、回执、交易、履约、投诉和归因口径。</w:t>
            </w:r>
          </w:p>
        </w:tc>
        <w:tc>
          <w:tcPr>
            <w:tcW w:type="dxa" w:w="2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Feedback、AttributionResult、Review 与下一轮建议。</w:t>
            </w:r>
          </w:p>
        </w:tc>
        <w:tc>
          <w:tcPr>
            <w:tcW w:type="dxa" w:w="1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数据完整性、归因口径与策略调整。</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3"/>
        <w:keepNext/>
        <w:spacing w:before="140" w:after="40" w:line="300" w:lineRule="auto"/>
        <w:ind w:firstLine="0"/>
        <w:jc w:val="left"/>
      </w:pPr>
      <w:r>
        <w:rPr>
          <w:rFonts w:ascii="Times New Roman" w:hAnsi="Times New Roman" w:eastAsia="楷体"/>
          <w:b/>
          <w:color w:val="000000"/>
          <w:sz w:val="24"/>
        </w:rPr>
        <w:t>3.2.12  场景评审与结果复核机制</w:t>
      </w:r>
    </w:p>
    <w:p>
      <w:pPr>
        <w:keepNext w:val="0"/>
        <w:spacing w:before="0" w:after="100" w:line="360" w:lineRule="auto"/>
        <w:ind w:firstLine="420"/>
        <w:jc w:val="both"/>
      </w:pPr>
      <w:r>
        <w:rPr>
          <w:rFonts w:ascii="Times New Roman" w:hAnsi="Times New Roman" w:eastAsia="宋体"/>
          <w:b w:val="0"/>
          <w:color w:val="000000"/>
          <w:sz w:val="24"/>
        </w:rPr>
        <w:t>典型场景评审由技术与业务共同完成。技术侧检查数据是否来自授权范围、本体关系和工具调用是否符合契约、模型输出是否满足结构与安全要求、运行日志是否完整；业务侧检查机会解释是否合理、客群是否可用、产品权益是否真实、内容是否符合品牌和渠道要求、活动是否需要补充审核条件。两类评审结论均写入 HumanDecision 或对应审核记录，形成后续模型和规则优化的真实反馈。</w:t>
      </w:r>
    </w:p>
    <w:p>
      <w:pPr>
        <w:keepNext w:val="0"/>
        <w:spacing w:before="0" w:after="100" w:line="360" w:lineRule="auto"/>
        <w:ind w:firstLine="420"/>
        <w:jc w:val="both"/>
      </w:pPr>
      <w:r>
        <w:rPr>
          <w:rFonts w:ascii="Times New Roman" w:hAnsi="Times New Roman" w:eastAsia="宋体"/>
          <w:b w:val="0"/>
          <w:color w:val="000000"/>
          <w:sz w:val="24"/>
        </w:rPr>
        <w:t>复核机制强调可回放性。任意一项推荐应能复现当时使用的知识片段、本体版本、模型配置、Prompt 版本、工具输入输出、审核意见和最终状态。若后续发现来源错误、产品规则变更或归因口径调整，系统应能够定位受影响的候选、正式对象和活动版本，并支持重新处理、撤销或标注失效。可回放并不是为了追究单次模型输出，而是为了让团队持续理解“结论为何产生、何时不再适用、应如何改进”。</w:t>
      </w:r>
    </w:p>
    <w:p>
      <w:pPr>
        <w:keepNext w:val="0"/>
        <w:spacing w:before="0" w:after="100" w:line="360" w:lineRule="auto"/>
        <w:ind w:firstLine="420"/>
        <w:jc w:val="both"/>
      </w:pPr>
      <w:r>
        <w:rPr>
          <w:rFonts w:ascii="Times New Roman" w:hAnsi="Times New Roman" w:eastAsia="宋体"/>
          <w:b w:val="0"/>
          <w:color w:val="000000"/>
          <w:sz w:val="24"/>
        </w:rPr>
        <w:t>因此，项目的最终技术目标可以概括为：让 AI Inference 在航空营销中拥有可见的知识边界、可验证的运行过程、可管理的行动权限和可持续的反馈学习。云端百炼服务为前期端到端验证提供稳定支撑，本地基于 Qwen 的自研模型为后续数据可控和成本优化提供扩展方向，而营销本体与人工治理机制保证两类模型都服务于同一条可信业务链。</w:t>
      </w:r>
    </w:p>
    <w:p>
      <w:pPr>
        <w:pStyle w:val="Heading2"/>
        <w:keepNext/>
        <w:spacing w:before="200" w:after="80" w:line="300" w:lineRule="auto"/>
        <w:ind w:firstLine="0"/>
        <w:jc w:val="left"/>
      </w:pPr>
      <w:r>
        <w:rPr>
          <w:rFonts w:ascii="Times New Roman" w:hAnsi="Times New Roman" w:eastAsia="黑体"/>
          <w:b/>
          <w:color w:val="000000"/>
          <w:sz w:val="26"/>
        </w:rPr>
        <w:t>3.3  计划和分工</w:t>
      </w:r>
    </w:p>
    <w:p>
      <w:pPr>
        <w:pStyle w:val="Heading3"/>
        <w:keepNext/>
        <w:spacing w:before="140" w:after="40" w:line="300" w:lineRule="auto"/>
        <w:ind w:firstLine="0"/>
        <w:jc w:val="left"/>
      </w:pPr>
      <w:r>
        <w:rPr>
          <w:rFonts w:ascii="Times New Roman" w:hAnsi="Times New Roman" w:eastAsia="楷体"/>
          <w:b/>
          <w:color w:val="000000"/>
          <w:sz w:val="24"/>
        </w:rPr>
        <w:t>3.3.1  实施计划</w:t>
      </w:r>
    </w:p>
    <w:tbl>
      <w:tblPr>
        <w:tblStyle w:val="TableGrid"/>
        <w:tblW w:type="dxa" w:w="9000"/>
        <w:jc w:val="center"/>
        <w:tblLayout w:type="fixed"/>
        <w:tblLook w:firstColumn="1" w:firstRow="1" w:lastColumn="0" w:lastRow="0" w:noHBand="0" w:noVBand="1" w:val="04A0"/>
        <w:tblInd w:w="0" w:type="dxa"/>
      </w:tblPr>
      <w:tblGrid>
        <w:gridCol w:w="1800"/>
        <w:gridCol w:w="4000"/>
        <w:gridCol w:w="32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阶段</w:t>
            </w:r>
          </w:p>
        </w:tc>
        <w:tc>
          <w:tcPr>
            <w:tcW w:type="dxa" w:w="4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主要任务</w:t>
            </w:r>
          </w:p>
        </w:tc>
        <w:tc>
          <w:tcPr>
            <w:tcW w:type="dxa" w:w="32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阶段产出与核验</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第一阶段：语义底座</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完善数据接入、知识切分、候选对象关系抽取和本体准入；固化对象、关系、状态和证据规范。</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可查看来源定位、候选状态、人工确认和正式本体更新记录。</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第二阶段：受控推理</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完善 Harness、工具权限、结构校验、运行事件和六智能域输入输出契约。</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每次推理可检查上下文、模型、Token、时延、工具、错误和人工门禁。</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第三阶段：双模型评测</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构建任务集，对照百炼主用链路与本地自研 Qwen，确定任务级阈值与回退策略。</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形成质量、安全、时延、人工修改和路由建议的对照记录。</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第四阶段：闭环演示</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围绕典型航线营销场景完成机会、客群、产品、内容、审批、执行和复盘演示。</w:t>
            </w:r>
          </w:p>
        </w:tc>
        <w:tc>
          <w:tcPr>
            <w:tcW w:type="dxa" w:w="32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形成可回放的场景链路、评测结果、风险说明和优化建议。</w:t>
            </w:r>
          </w:p>
        </w:tc>
      </w:tr>
    </w:tbl>
    <w:p>
      <w:pPr>
        <w:keepNext w:val="0"/>
        <w:spacing w:before="20" w:after="20" w:line="240" w:lineRule="auto"/>
        <w:ind w:firstLine="0"/>
        <w:jc w:val="both"/>
      </w:pPr>
      <w:r>
        <w:rPr>
          <w:rFonts w:ascii="Times New Roman" w:hAnsi="Times New Roman" w:eastAsia="宋体"/>
          <w:b w:val="0"/>
          <w:color w:val="000000"/>
          <w:sz w:val="8"/>
        </w:rPr>
      </w:r>
    </w:p>
    <w:p>
      <w:pPr>
        <w:pStyle w:val="Heading3"/>
        <w:keepNext/>
        <w:spacing w:before="140" w:after="40" w:line="300" w:lineRule="auto"/>
        <w:ind w:firstLine="0"/>
        <w:jc w:val="left"/>
      </w:pPr>
      <w:r>
        <w:rPr>
          <w:rFonts w:ascii="Times New Roman" w:hAnsi="Times New Roman" w:eastAsia="楷体"/>
          <w:b/>
          <w:color w:val="000000"/>
          <w:sz w:val="24"/>
        </w:rPr>
        <w:t>3.3.2  团队分工</w:t>
      </w:r>
    </w:p>
    <w:tbl>
      <w:tblPr>
        <w:tblStyle w:val="TableGrid"/>
        <w:tblW w:type="dxa" w:w="9000"/>
        <w:jc w:val="center"/>
        <w:tblLayout w:type="fixed"/>
        <w:tblLook w:firstColumn="1" w:firstRow="1" w:lastColumn="0" w:lastRow="0" w:noHBand="0" w:noVBand="1" w:val="04A0"/>
        <w:tblInd w:w="0" w:type="dxa"/>
      </w:tblPr>
      <w:tblGrid>
        <w:gridCol w:w="1500"/>
        <w:gridCol w:w="4000"/>
        <w:gridCol w:w="3500"/>
      </w:tblGrid>
      <w:tr>
        <w:trPr>
          <w:cantSplit/>
          <w:tblHeader w:val="true"/>
        </w:trPr>
        <w:tc>
          <w:tcPr>
            <w:tcW w:type="dxa" w:w="1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成员</w:t>
            </w:r>
          </w:p>
        </w:tc>
        <w:tc>
          <w:tcPr>
            <w:tcW w:type="dxa" w:w="40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主要职责</w:t>
            </w:r>
          </w:p>
        </w:tc>
        <w:tc>
          <w:tcPr>
            <w:tcW w:type="dxa" w:w="35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21"/>
              </w:rPr>
              <w:t>对应成果</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胡于飞</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总体方案、平台工程、模型接入与推理运行链设计。</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系统架构、Harness、模型路由、端到端验证与项目整合。</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林李洋</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营销本体、数据处理、知识准入与业务流程建模。</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本体语义模型、候选审核规范、机会到复盘对象链。</w:t>
            </w:r>
          </w:p>
        </w:tc>
      </w:tr>
      <w:tr>
        <w:trPr>
          <w:cantSplit/>
        </w:trPr>
        <w:tc>
          <w:tcPr>
            <w:tcW w:type="dxa" w:w="1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张婷婷</w:t>
            </w:r>
          </w:p>
        </w:tc>
        <w:tc>
          <w:tcPr>
            <w:tcW w:type="dxa" w:w="40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场景设计、评测口径、内容与活动验证、文档与展示。</w:t>
            </w:r>
          </w:p>
        </w:tc>
        <w:tc>
          <w:tcPr>
            <w:tcW w:type="dxa" w:w="35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21"/>
              </w:rPr>
              <w:t>典型场景、业务审核点、指标体系、演示材料与复盘。</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团队以“工程实现—语义建模—业务验证”协同推进。每一阶段均以可检查的对象、运行记录、测试结果或场景回放作为交付依据；对无法由当前原型直接证明的生产化结论，文档明确标注为后续验证路径，不以推测替代事实。</w:t>
      </w:r>
    </w:p>
    <w:p>
      <w:pPr>
        <w:pStyle w:val="Heading3"/>
        <w:keepNext/>
        <w:spacing w:before="140" w:after="40" w:line="300" w:lineRule="auto"/>
        <w:ind w:firstLine="0"/>
        <w:jc w:val="left"/>
      </w:pPr>
      <w:r>
        <w:rPr>
          <w:rFonts w:ascii="Times New Roman" w:hAnsi="Times New Roman" w:eastAsia="楷体"/>
          <w:b/>
          <w:color w:val="000000"/>
          <w:sz w:val="24"/>
        </w:rPr>
        <w:t>3.3.3  质量保证与项目管理机制</w:t>
      </w:r>
    </w:p>
    <w:p>
      <w:pPr>
        <w:keepNext w:val="0"/>
        <w:spacing w:before="0" w:after="100" w:line="360" w:lineRule="auto"/>
        <w:ind w:firstLine="420"/>
        <w:jc w:val="both"/>
      </w:pPr>
      <w:r>
        <w:rPr>
          <w:rFonts w:ascii="Times New Roman" w:hAnsi="Times New Roman" w:eastAsia="宋体"/>
          <w:b w:val="0"/>
          <w:color w:val="000000"/>
          <w:sz w:val="24"/>
        </w:rPr>
        <w:t>项目采用代码、数据、模型、文档和场景五类资产的协同管理方式。代码侧通过模块化服务、自动化测试和版本控制降低回归风险；数据侧通过来源登记、哈希、解析版本、字段白名单和候选审核保证可追溯性；模型侧通过提供者配置、Prompt 版本、Token 与运行事件记录保证可比较性；文档侧通过本体规范、测试报告和项目说明同步口径；场景侧通过审批点、演练记录和复盘结果连接技术实现与业务解释。</w:t>
      </w:r>
    </w:p>
    <w:p>
      <w:pPr>
        <w:keepNext w:val="0"/>
        <w:spacing w:before="0" w:after="100" w:line="360" w:lineRule="auto"/>
        <w:ind w:firstLine="420"/>
        <w:jc w:val="both"/>
      </w:pPr>
      <w:r>
        <w:rPr>
          <w:rFonts w:ascii="Times New Roman" w:hAnsi="Times New Roman" w:eastAsia="宋体"/>
          <w:b w:val="0"/>
          <w:color w:val="000000"/>
          <w:sz w:val="24"/>
        </w:rPr>
        <w:t>在迭代节奏上，团队先对低风险、可结构化的任务进行验证，再逐步扩展到需要多对象关联和业务判断的任务。任何新对象类型、新工具、新模型路由或新渠道接入，都应先经过权限、数据质量、输出结构、人工审核和回退策略检查。若发现提示注入、来源冲突、异常响应、跨租户访问、规则失效或业务口径不清等问题，优先记录并收敛风险，而不是为了演示完整性绕过问题。</w:t>
      </w:r>
    </w:p>
    <w:tbl>
      <w:tblPr>
        <w:tblStyle w:val="TableGrid"/>
        <w:tblW w:type="dxa" w:w="9000"/>
        <w:jc w:val="center"/>
        <w:tblLayout w:type="fixed"/>
        <w:tblLook w:firstColumn="1" w:firstRow="1" w:lastColumn="0" w:lastRow="0" w:noHBand="0" w:noVBand="1" w:val="04A0"/>
        <w:tblInd w:w="0" w:type="dxa"/>
      </w:tblPr>
      <w:tblGrid>
        <w:gridCol w:w="1600"/>
        <w:gridCol w:w="3700"/>
        <w:gridCol w:w="3700"/>
      </w:tblGrid>
      <w:tr>
        <w:trPr>
          <w:cantSplit/>
          <w:tblHeader w:val="true"/>
        </w:trPr>
        <w:tc>
          <w:tcPr>
            <w:tcW w:type="dxa" w:w="16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质量维度</w:t>
            </w:r>
          </w:p>
        </w:tc>
        <w:tc>
          <w:tcPr>
            <w:tcW w:type="dxa" w:w="3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检查机制</w:t>
            </w:r>
          </w:p>
        </w:tc>
        <w:tc>
          <w:tcPr>
            <w:tcW w:type="dxa" w:w="37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责任分工与留痕</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代码与接口</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自动化测试、异常重试、输入边界、模型提供者与租户隔离。</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工程负责人维护测试记录、运行日志和版本变更说明。</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知识与本体</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来源、证据、置信度、关系端点、状态、有效期与人工确认。</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语义建模负责人维护准入规则、审核结论和版本状态。</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模型与推理</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Schema、工具白名单、Token、时延、错误、回退、人工修改与采纳。</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平台与评测负责人维护任务集、对照结果和路由建议。</w:t>
            </w:r>
          </w:p>
        </w:tc>
      </w:tr>
      <w:tr>
        <w:trPr>
          <w:cantSplit/>
        </w:trPr>
        <w:tc>
          <w:tcPr>
            <w:tcW w:type="dxa" w:w="16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场景与业务</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产品事实、授权、频控、预算、审批、渠道和归因口径复核。</w:t>
            </w:r>
          </w:p>
        </w:tc>
        <w:tc>
          <w:tcPr>
            <w:tcW w:type="dxa" w:w="37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场景负责人记录评审意见、待确认事项与复盘建议。</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100" w:line="360" w:lineRule="auto"/>
        <w:ind w:firstLine="420"/>
        <w:jc w:val="both"/>
      </w:pPr>
      <w:r>
        <w:rPr>
          <w:rFonts w:ascii="Times New Roman" w:hAnsi="Times New Roman" w:eastAsia="宋体"/>
          <w:b w:val="0"/>
          <w:color w:val="000000"/>
          <w:sz w:val="24"/>
        </w:rPr>
        <w:t>通过上述机制，项目能够在持续扩展功能的同时保持研究结论的边界清晰：已实现的能力由代码、运行记录和测试验证支持；正在建设的能力由明确的任务、接口和验收条件描述；尚未获得真实授权环境验证的能力被保留为生产化路径。该做法既符合竞赛项目的工程展示需要，也符合研究型项目对问题、方法、证据和结论一致性的要求。</w:t>
      </w:r>
    </w:p>
    <w:p>
      <w:pPr>
        <w:pStyle w:val="Heading3"/>
        <w:keepNext/>
        <w:spacing w:before="140" w:after="40" w:line="300" w:lineRule="auto"/>
        <w:ind w:firstLine="0"/>
        <w:jc w:val="left"/>
      </w:pPr>
      <w:r>
        <w:rPr>
          <w:rFonts w:ascii="Times New Roman" w:hAnsi="Times New Roman" w:eastAsia="楷体"/>
          <w:b/>
          <w:color w:val="000000"/>
          <w:sz w:val="24"/>
        </w:rPr>
        <w:t>3.2.13  系统总体架构与责任边界</w:t>
      </w:r>
    </w:p>
    <w:p>
      <w:pPr>
        <w:keepNext w:val="0"/>
        <w:spacing w:before="0" w:after="80" w:line="360" w:lineRule="auto"/>
        <w:ind w:firstLine="420"/>
        <w:jc w:val="both"/>
      </w:pPr>
      <w:r>
        <w:rPr>
          <w:rFonts w:ascii="Times New Roman" w:hAnsi="Times New Roman" w:eastAsia="宋体"/>
          <w:b w:val="0"/>
          <w:color w:val="000000"/>
          <w:sz w:val="24"/>
        </w:rPr>
        <w:t>本页以分层架构说明系统如何把业务工作台、权限控制、统一推理、知识本体和模型服务组合为一个可治理的平台。关键设计不是把模型直接暴露给页面，而是让每一层承担清晰、可测试的责任。</w:t>
      </w:r>
    </w:p>
    <w:p>
      <w:r>
        <w:drawing>
          <wp:inline xmlns:a="http://schemas.openxmlformats.org/drawingml/2006/main" xmlns:pic="http://schemas.openxmlformats.org/drawingml/2006/picture">
            <wp:extent cx="3744000" cy="2038400"/>
            <wp:docPr id="1" name="Picture 1" descr="展示营销工作台、平台 API、统一 Harness、知识本体、模型与规则服务之间的责任分层。" title="图 2  可信航空营销 AI 的分层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3744000" cy="203840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2  可信航空营销 AI 的分层架构</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该图描述的是当前原型的工程组织方式。正式生产环境仍需以东航授权的身份体系、数据源、预算、审批和渠道系统为权威边界。</w:t>
      </w:r>
    </w:p>
    <w:p>
      <w:pPr>
        <w:keepNext w:val="0"/>
        <w:spacing w:before="0" w:after="100" w:line="312" w:lineRule="auto"/>
        <w:ind w:firstLine="420"/>
        <w:jc w:val="both"/>
      </w:pPr>
      <w:r>
        <w:rPr>
          <w:rFonts w:ascii="Times New Roman" w:hAnsi="Times New Roman" w:eastAsia="宋体"/>
          <w:b w:val="0"/>
          <w:color w:val="000000"/>
          <w:sz w:val="20"/>
        </w:rPr>
        <w:t>架构图的审查重点是责任是否被清楚分离：页面仅承担业务呈现和人工操作，平台 API 承担身份、租户和权限，Harness 承担运行编排与事件，知识本体承担上下文与证据，模型与规则服务分别承担候选生成和确定性校验。任何一层都不应越过其他层直接改变高影响业务状态。</w:t>
      </w:r>
    </w:p>
    <w:p>
      <w:pPr>
        <w:pStyle w:val="Heading3"/>
        <w:keepNext/>
        <w:spacing w:before="140" w:after="40" w:line="300" w:lineRule="auto"/>
        <w:ind w:firstLine="0"/>
        <w:jc w:val="left"/>
      </w:pPr>
      <w:r>
        <w:rPr>
          <w:rFonts w:ascii="Times New Roman" w:hAnsi="Times New Roman" w:eastAsia="楷体"/>
          <w:b/>
          <w:color w:val="000000"/>
          <w:sz w:val="24"/>
        </w:rPr>
        <w:t>3.2.14  数据处理与知识本体准入流程</w:t>
      </w:r>
    </w:p>
    <w:p>
      <w:pPr>
        <w:keepNext w:val="0"/>
        <w:spacing w:before="0" w:after="80" w:line="360" w:lineRule="auto"/>
        <w:ind w:firstLine="420"/>
        <w:jc w:val="both"/>
      </w:pPr>
      <w:r>
        <w:rPr>
          <w:rFonts w:ascii="Times New Roman" w:hAnsi="Times New Roman" w:eastAsia="宋体"/>
          <w:b w:val="0"/>
          <w:color w:val="000000"/>
          <w:sz w:val="24"/>
        </w:rPr>
        <w:t>面向规则、报表、航线资料和渠道结果等异构输入，平台采用“先保留来源、再抽取候选、后实施校验与确认”的路径，避免将未验证文本直接当作业务事实。</w:t>
      </w:r>
    </w:p>
    <w:p>
      <w:r>
        <w:drawing>
          <wp:inline xmlns:a="http://schemas.openxmlformats.org/drawingml/2006/main" xmlns:pic="http://schemas.openxmlformats.org/drawingml/2006/picture">
            <wp:extent cx="3744000" cy="2038400"/>
            <wp:docPr id="2" name="Picture 2" descr="展示授权数据接入、解析标准化、候选抽取、语义校验和人工确认之间的顺序关系。" title="图 3  数据处理与知识本体准入链"/>
            <wp:cNvGraphicFramePr>
              <a:graphicFrameLocks noChangeAspect="1"/>
            </wp:cNvGraphicFramePr>
            <a:graphic>
              <a:graphicData uri="http://schemas.openxmlformats.org/drawingml/2006/picture">
                <pic:pic>
                  <pic:nvPicPr>
                    <pic:cNvPr id="0" name="data.png"/>
                    <pic:cNvPicPr/>
                  </pic:nvPicPr>
                  <pic:blipFill>
                    <a:blip r:embed="rId12"/>
                    <a:stretch>
                      <a:fillRect/>
                    </a:stretch>
                  </pic:blipFill>
                  <pic:spPr>
                    <a:xfrm>
                      <a:off x="0" y="0"/>
                      <a:ext cx="3744000" cy="203840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3  数据处理与知识本体准入链</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候选对象与候选关系可以在原型中保存并查看；跨系统实时连接、完整的候选审核工作台与生产级数据治理仍属于后续建设范围。</w:t>
      </w:r>
    </w:p>
    <w:p>
      <w:pPr>
        <w:keepNext w:val="0"/>
        <w:spacing w:before="0" w:after="100" w:line="312" w:lineRule="auto"/>
        <w:ind w:firstLine="420"/>
        <w:jc w:val="both"/>
      </w:pPr>
      <w:r>
        <w:rPr>
          <w:rFonts w:ascii="Times New Roman" w:hAnsi="Times New Roman" w:eastAsia="宋体"/>
          <w:b w:val="0"/>
          <w:color w:val="000000"/>
          <w:sz w:val="20"/>
        </w:rPr>
        <w:t>数据处理链的关键控制不是“抽得越多越好”，而是让每一条可使用的关系都能说明来源、对象类型、关系端点、置信度与审核状态。无法稳定映射的内容保留为知识参考，低质量或冲突内容进入待确认或驳回路径，由此避免在模型上下文中混入无责任边界的伪事实。</w:t>
      </w:r>
    </w:p>
    <w:p>
      <w:pPr>
        <w:pStyle w:val="Heading3"/>
        <w:keepNext/>
        <w:spacing w:before="140" w:after="40" w:line="300" w:lineRule="auto"/>
        <w:ind w:firstLine="0"/>
        <w:jc w:val="left"/>
      </w:pPr>
      <w:r>
        <w:rPr>
          <w:rFonts w:ascii="Times New Roman" w:hAnsi="Times New Roman" w:eastAsia="楷体"/>
          <w:b/>
          <w:color w:val="000000"/>
          <w:sz w:val="24"/>
        </w:rPr>
        <w:t>3.2.15  营销活动闭环状态机</w:t>
      </w:r>
    </w:p>
    <w:p>
      <w:pPr>
        <w:keepNext w:val="0"/>
        <w:spacing w:before="0" w:after="80" w:line="360" w:lineRule="auto"/>
        <w:ind w:firstLine="420"/>
        <w:jc w:val="both"/>
      </w:pPr>
      <w:r>
        <w:rPr>
          <w:rFonts w:ascii="Times New Roman" w:hAnsi="Times New Roman" w:eastAsia="宋体"/>
          <w:b w:val="0"/>
          <w:color w:val="000000"/>
          <w:sz w:val="24"/>
        </w:rPr>
        <w:t>V1.6 新增持久化活动闭环纵向切片，把活动创建、版本冻结、审批、执行、反馈和复盘由页面展示推进为具有明确状态和审计事件的业务对象链。</w:t>
      </w:r>
    </w:p>
    <w:p>
      <w:r>
        <w:drawing>
          <wp:inline xmlns:a="http://schemas.openxmlformats.org/drawingml/2006/main" xmlns:pic="http://schemas.openxmlformats.org/drawingml/2006/picture">
            <wp:extent cx="3744000" cy="2038400"/>
            <wp:docPr id="3" name="Picture 3" descr="展示活动从草稿、审批到批次执行、反馈与复盘的受控推进。" title="图 4  营销活动闭环状态机"/>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3744000" cy="203840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4  营销活动闭环状态机</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渠道执行与反馈数据在当前版本中为受控模拟或授权导入，不能表述为已经接入东航正式渠道、交易或财务系统。</w:t>
      </w:r>
    </w:p>
    <w:p>
      <w:pPr>
        <w:keepNext w:val="0"/>
        <w:spacing w:before="0" w:after="100" w:line="312" w:lineRule="auto"/>
        <w:ind w:firstLine="420"/>
        <w:jc w:val="both"/>
      </w:pPr>
      <w:r>
        <w:rPr>
          <w:rFonts w:ascii="Times New Roman" w:hAnsi="Times New Roman" w:eastAsia="宋体"/>
          <w:b w:val="0"/>
          <w:color w:val="000000"/>
          <w:sz w:val="20"/>
        </w:rPr>
        <w:t>状态机使活动推进具备可计算的前置条件。审批、批次启动、反馈导入和复盘生成均由服务端状态约束，模型的自然语言输出不会直接跳过这些节点。审计事件将每次变化与版本、操作者和时间关联，因此活动既能运行，也能在发生争议时回放。</w:t>
      </w:r>
    </w:p>
    <w:p>
      <w:pPr>
        <w:pStyle w:val="Heading3"/>
        <w:keepNext/>
        <w:spacing w:before="140" w:after="40" w:line="300" w:lineRule="auto"/>
        <w:ind w:firstLine="0"/>
        <w:jc w:val="left"/>
      </w:pPr>
      <w:r>
        <w:rPr>
          <w:rFonts w:ascii="Times New Roman" w:hAnsi="Times New Roman" w:eastAsia="楷体"/>
          <w:b/>
          <w:color w:val="000000"/>
          <w:sz w:val="24"/>
        </w:rPr>
        <w:t>3.2.16  成果证据的分层呈现</w:t>
      </w:r>
    </w:p>
    <w:p>
      <w:pPr>
        <w:keepNext w:val="0"/>
        <w:spacing w:before="0" w:after="80" w:line="360" w:lineRule="auto"/>
        <w:ind w:firstLine="420"/>
        <w:jc w:val="both"/>
      </w:pPr>
      <w:r>
        <w:rPr>
          <w:rFonts w:ascii="Times New Roman" w:hAnsi="Times New Roman" w:eastAsia="宋体"/>
          <w:b w:val="0"/>
          <w:color w:val="000000"/>
          <w:sz w:val="24"/>
        </w:rPr>
        <w:t>竞赛材料以证据类型而非叙述力度决定结论范围。代码实现、健康运行、测试通过、场景演练和生产化验证分别对应不同的可信等级，不应相互替代。</w:t>
      </w:r>
    </w:p>
    <w:p>
      <w:r>
        <w:drawing>
          <wp:inline xmlns:a="http://schemas.openxmlformats.org/drawingml/2006/main" xmlns:pic="http://schemas.openxmlformats.org/drawingml/2006/picture">
            <wp:extent cx="3744000" cy="2038400"/>
            <wp:docPr id="4" name="Picture 4" descr="展示代码、运行、测试、场景和生产化五类证据的递进关系。" title="图 5  竞赛成果的证据分层"/>
            <wp:cNvGraphicFramePr>
              <a:graphicFrameLocks noChangeAspect="1"/>
            </wp:cNvGraphicFramePr>
            <a:graphic>
              <a:graphicData uri="http://schemas.openxmlformats.org/drawingml/2006/picture">
                <pic:pic>
                  <pic:nvPicPr>
                    <pic:cNvPr id="0" name="evidence.png"/>
                    <pic:cNvPicPr/>
                  </pic:nvPicPr>
                  <pic:blipFill>
                    <a:blip r:embed="rId14"/>
                    <a:stretch>
                      <a:fillRect/>
                    </a:stretch>
                  </pic:blipFill>
                  <pic:spPr>
                    <a:xfrm>
                      <a:off x="0" y="0"/>
                      <a:ext cx="3744000" cy="203840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5  竞赛成果的证据分层</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本文中所有经营数字均注明为原型或演示口径；只有获得授权渠道回传、统一归因与对照设计后，才能形成真实经营成效结论。</w:t>
      </w:r>
    </w:p>
    <w:p>
      <w:pPr>
        <w:keepNext w:val="0"/>
        <w:spacing w:before="0" w:after="100" w:line="312" w:lineRule="auto"/>
        <w:ind w:firstLine="420"/>
        <w:jc w:val="both"/>
      </w:pPr>
      <w:r>
        <w:rPr>
          <w:rFonts w:ascii="Times New Roman" w:hAnsi="Times New Roman" w:eastAsia="宋体"/>
          <w:b w:val="0"/>
          <w:color w:val="000000"/>
          <w:sz w:val="20"/>
        </w:rPr>
        <w:t>证据分层用于限制结论的外推范围。代码实现、健康运行、自动化测试、场景演练和生产化验证分别回答不同问题；只有真实渠道回传、统一归因和对照设计具备后，原型看板与演练数据才可能升级为经营结论。</w:t>
      </w:r>
    </w:p>
    <w:p>
      <w:pPr>
        <w:pStyle w:val="Heading3"/>
        <w:keepNext/>
        <w:spacing w:before="140" w:after="40" w:line="300" w:lineRule="auto"/>
        <w:ind w:firstLine="0"/>
        <w:jc w:val="left"/>
      </w:pPr>
      <w:r>
        <w:rPr>
          <w:rFonts w:ascii="Times New Roman" w:hAnsi="Times New Roman" w:eastAsia="楷体"/>
          <w:b/>
          <w:color w:val="000000"/>
          <w:sz w:val="24"/>
        </w:rPr>
        <w:t>3.2.17  业务角色与工作台责任矩阵</w:t>
      </w:r>
    </w:p>
    <w:p>
      <w:pPr>
        <w:keepNext w:val="0"/>
        <w:spacing w:before="0" w:after="80" w:line="360" w:lineRule="auto"/>
        <w:ind w:firstLine="420"/>
        <w:jc w:val="both"/>
      </w:pPr>
      <w:r>
        <w:rPr>
          <w:rFonts w:ascii="Times New Roman" w:hAnsi="Times New Roman" w:eastAsia="宋体"/>
          <w:b w:val="0"/>
          <w:color w:val="000000"/>
          <w:sz w:val="24"/>
        </w:rPr>
        <w:t>平台把营销任务拆分给业务、数据、产品、合规和平台管理角色。角色的目标不是增加流程层级，而是把数据可见范围、可执行动作和应承担的确认责任明确下来。</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角色</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在工作台中的主要任务</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系统控制与可审计证据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营销运营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查看机会、选择客群和产品、配置活动目标、发起审批并阅读复盘。</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仅在写权限范围内编辑；活动版本、审批意见和操作时间线留痕。</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产品运营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核验产品包、权益、库存、资格和有效期，确认对外可承诺内容。</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产品确认成为审批节点；不通过时活动返回修改状态。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合规与管理员</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复核渠道、频控、预算、内容事实和高影响操作。</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合规节点仅允许授权角色处理；审批决定和评论持久化。</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数据与 AI 运营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维护数据源、知识片段、本体候选、模型提供商和运行质量。</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租户隔离、来源记录、模型用量、事件和异常均可查询。</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该矩阵是原型中的责任分离设计，后续应与实际组织岗位、SSO 和 OA 审批流完成映射。</w:t>
      </w:r>
    </w:p>
    <w:p>
      <w:pPr>
        <w:pStyle w:val="Heading3"/>
        <w:keepNext/>
        <w:spacing w:before="140" w:after="40" w:line="300" w:lineRule="auto"/>
        <w:ind w:firstLine="0"/>
        <w:jc w:val="left"/>
      </w:pPr>
      <w:r>
        <w:rPr>
          <w:rFonts w:ascii="Times New Roman" w:hAnsi="Times New Roman" w:eastAsia="楷体"/>
          <w:b/>
          <w:color w:val="000000"/>
          <w:sz w:val="24"/>
        </w:rPr>
        <w:t>3.2.18  航空营销端到端业务主线</w:t>
      </w:r>
    </w:p>
    <w:p>
      <w:pPr>
        <w:keepNext w:val="0"/>
        <w:spacing w:before="0" w:after="80" w:line="360" w:lineRule="auto"/>
        <w:ind w:firstLine="420"/>
        <w:jc w:val="both"/>
      </w:pPr>
      <w:r>
        <w:rPr>
          <w:rFonts w:ascii="Times New Roman" w:hAnsi="Times New Roman" w:eastAsia="宋体"/>
          <w:b w:val="0"/>
          <w:color w:val="000000"/>
          <w:sz w:val="24"/>
        </w:rPr>
        <w:t>平台用统一对象链连接营销活动，而不是把机会、客群、产品、文案和效果分别停留在孤立页面。每一阶段既输出业务候选，也给出后续阶段所需的约束与证据。</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阶段</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输入与处理</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形成的可检查对象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机会发现</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读取市场热点、搜索趋势、航线供给、经营观测与时间窗。</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MarketSignal、MetricObservation、Opportunity 与来源证据。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客群识别</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组合聚合画像、行为、授权、频控、保护名单和有效期。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AudienceSnapshot、筛选口径、可触达规模与排除条件。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产品匹配</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核验产品包、资格、库存、价格、权益和适用航班/时段。</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ProductPackage、BusinessRule、主推/替代方案与不可用原因。</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活动执行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冻结配置、走审批、创建批次、接收渠道或导入反馈。</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Campaign、ApprovalTask、ExecutionBatch、Feedback 与审计事件。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复盘学习</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按时间窗和口径汇总漏斗、收入、成本与异常。</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CampaignReview、指标结果、边界说明与下一轮 Recommendation。</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主线中的每个对象均有状态、来源或创建记录。当前版本只验证本地闭环和受控导入，不代表上游与渠道系统已经全部对接。</w:t>
      </w:r>
    </w:p>
    <w:p>
      <w:pPr>
        <w:pStyle w:val="Heading3"/>
        <w:keepNext/>
        <w:spacing w:before="140" w:after="40" w:line="300" w:lineRule="auto"/>
        <w:ind w:firstLine="0"/>
        <w:jc w:val="left"/>
      </w:pPr>
      <w:r>
        <w:rPr>
          <w:rFonts w:ascii="Times New Roman" w:hAnsi="Times New Roman" w:eastAsia="楷体"/>
          <w:b/>
          <w:color w:val="000000"/>
          <w:sz w:val="24"/>
        </w:rPr>
        <w:t>3.2.19  市场机会数据的最小语义契约</w:t>
      </w:r>
    </w:p>
    <w:p>
      <w:pPr>
        <w:keepNext w:val="0"/>
        <w:spacing w:before="0" w:after="80" w:line="360" w:lineRule="auto"/>
        <w:ind w:firstLine="420"/>
        <w:jc w:val="both"/>
      </w:pPr>
      <w:r>
        <w:rPr>
          <w:rFonts w:ascii="Times New Roman" w:hAnsi="Times New Roman" w:eastAsia="宋体"/>
          <w:b w:val="0"/>
          <w:color w:val="000000"/>
          <w:sz w:val="24"/>
        </w:rPr>
        <w:t>机会洞察并不直接把热度或波动当作营销结论。市场信号只有与航线、时间窗、经营观测、来源和确认状态共同出现时，才有资格进入机会候选。</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字段类别</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最小要求</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用于防止的错误</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来源与时间</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记录来源类型、发布时间、采集时间、统计窗口和有效期。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把过期热点或不同观察窗口的数据拼接为当前机会。</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影响对象</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关联航线、机场、区域、航班或产品范围，并保留关系证据。</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仅凭目的地名称泛化到全部航线或客群。</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经营观测</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说明指标名称、统计口径、样本范围与异常方向。</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把相关趋势解释为确定的收入机会。</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置信与状态</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区分候选、确认、冲突、过期与已拒绝，并记录确认人。</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模型将待核验信息包装为已确定的业务事实。</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机会候选输出应包含“已知事实、待核验事项、建议动作与风险”，而不是只给出一个缺少依据的营销主题。</w:t>
      </w:r>
    </w:p>
    <w:p>
      <w:pPr>
        <w:pStyle w:val="Heading3"/>
        <w:keepNext/>
        <w:spacing w:before="140" w:after="40" w:line="300" w:lineRule="auto"/>
        <w:ind w:firstLine="0"/>
        <w:jc w:val="left"/>
      </w:pPr>
      <w:r>
        <w:rPr>
          <w:rFonts w:ascii="Times New Roman" w:hAnsi="Times New Roman" w:eastAsia="楷体"/>
          <w:b/>
          <w:color w:val="000000"/>
          <w:sz w:val="24"/>
        </w:rPr>
        <w:t>3.2.20  客群快照与触达边界</w:t>
      </w:r>
    </w:p>
    <w:p>
      <w:pPr>
        <w:keepNext w:val="0"/>
        <w:spacing w:before="0" w:after="80" w:line="360" w:lineRule="auto"/>
        <w:ind w:firstLine="420"/>
        <w:jc w:val="both"/>
      </w:pPr>
      <w:r>
        <w:rPr>
          <w:rFonts w:ascii="Times New Roman" w:hAnsi="Times New Roman" w:eastAsia="宋体"/>
          <w:b w:val="0"/>
          <w:color w:val="000000"/>
          <w:sz w:val="24"/>
        </w:rPr>
        <w:t>客群工作台采用聚合口径表达营销对象。AI 的作用是解释筛选条件、关联业务语义和提示风险，而非在页面上展示无关的旅客个人信息。</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控制项</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设计要求</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可见证据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聚合规模</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活动配置引用快照规模，不替换为可随时变化的个人明细列表。</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AudienceSnapshot 版本、人数、生成时间和有效期。</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筛选条件</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保存行为、目的地、会员、旅程阶段等条件的语义描述。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可复现条件、标签解释和本体关系。</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触达许可</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在筛选与投放前检查授权、保护名单、营销疲劳和频控。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排除规则、可触达状态和需确认提示。</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版本冻结</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活动提交时冻结客群规模与选择依据，避免审批后口径漂移。</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campaign_versions 中的聚合配置快照。</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真实客群数据的访问、保留与脱敏需遵循东航授权与数据治理制度；本项目文档不包含任何旅客级个人数据。</w:t>
      </w:r>
    </w:p>
    <w:p>
      <w:pPr>
        <w:pStyle w:val="Heading3"/>
        <w:keepNext/>
        <w:spacing w:before="140" w:after="40" w:line="300" w:lineRule="auto"/>
        <w:ind w:firstLine="0"/>
        <w:jc w:val="left"/>
      </w:pPr>
      <w:r>
        <w:rPr>
          <w:rFonts w:ascii="Times New Roman" w:hAnsi="Times New Roman" w:eastAsia="楷体"/>
          <w:b/>
          <w:color w:val="000000"/>
          <w:sz w:val="24"/>
        </w:rPr>
        <w:t>3.2.21  产品包、权益与规则校验</w:t>
      </w:r>
    </w:p>
    <w:p>
      <w:pPr>
        <w:keepNext w:val="0"/>
        <w:spacing w:before="0" w:after="80" w:line="360" w:lineRule="auto"/>
        <w:ind w:firstLine="420"/>
        <w:jc w:val="both"/>
      </w:pPr>
      <w:r>
        <w:rPr>
          <w:rFonts w:ascii="Times New Roman" w:hAnsi="Times New Roman" w:eastAsia="宋体"/>
          <w:b w:val="0"/>
          <w:color w:val="000000"/>
          <w:sz w:val="24"/>
        </w:rPr>
        <w:t>产品匹配智能域把模型建议限制在已审核的产品事实与规则范围内。它既可给出适配建议，也必须返回不满足条件时的原因。</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校验维度</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最小业务规则</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输出要求</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适用性</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关联航线、航班、日期、舱位、会员或企业资格。</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明确适用范围与不适用原因。</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库存与价格</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读取当前授权库存、价格或可销售状态；不可用时拒绝承诺。</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区分实时数据、缓存数据和待确认状态。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权益事实</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对行李、选座、升舱、卡券与服务权益绑定来源和有效期。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内容生成仅可引用已确认权益。</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替代方案</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主推产品不可用时，以规则允许的备选组合替代。</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说明替代条件，不伪装为原方案。</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当前原型提供对象关系、规则建模和演示产品包；正式价格、库存和权益仍应由权威产品系统提供。</w:t>
      </w:r>
    </w:p>
    <w:p>
      <w:pPr>
        <w:pStyle w:val="Heading3"/>
        <w:keepNext/>
        <w:spacing w:before="140" w:after="40" w:line="300" w:lineRule="auto"/>
        <w:ind w:firstLine="0"/>
        <w:jc w:val="left"/>
      </w:pPr>
      <w:r>
        <w:rPr>
          <w:rFonts w:ascii="Times New Roman" w:hAnsi="Times New Roman" w:eastAsia="楷体"/>
          <w:b/>
          <w:color w:val="000000"/>
          <w:sz w:val="24"/>
        </w:rPr>
        <w:t>3.2.22  内容生成的事实约束与渠道适配</w:t>
      </w:r>
    </w:p>
    <w:p>
      <w:pPr>
        <w:keepNext w:val="0"/>
        <w:spacing w:before="0" w:after="80" w:line="360" w:lineRule="auto"/>
        <w:ind w:firstLine="420"/>
        <w:jc w:val="both"/>
      </w:pPr>
      <w:r>
        <w:rPr>
          <w:rFonts w:ascii="Times New Roman" w:hAnsi="Times New Roman" w:eastAsia="宋体"/>
          <w:b w:val="0"/>
          <w:color w:val="000000"/>
          <w:sz w:val="24"/>
        </w:rPr>
        <w:t>内容生成不是独立的文案任务，而是活动配置的一个受控产物。内容必须来自已确认的产品、客群、活动和渠道上下文，并在发布前进入人工审核。</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检查项</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模型与规则协作</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不可突破的边界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事实引用</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模型依据已审核产品事实、活动目标和客群语境生成候选。</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不得新增未验证价格、库存、权益或服务承诺。</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渠道规格</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工具可检查短信长度、App 展示结构、触点时段与频控要求。</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渠道适配不等同于已经发送。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风险提示</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模型标记敏感措辞、信息缺口与需要确认的表达。</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风险提示不能替代合规审核。</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版本管理</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不同渠道和编辑版本应与活动版本、审批和执行批次关联。</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未审批版本不得进入正式触达。</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竞赛演示展示候选内容与审核路径，不以生成文案的流畅性代替业务事实、品牌和合规判断。</w:t>
      </w:r>
    </w:p>
    <w:p>
      <w:pPr>
        <w:pStyle w:val="Heading3"/>
        <w:keepNext/>
        <w:spacing w:before="140" w:after="40" w:line="300" w:lineRule="auto"/>
        <w:ind w:firstLine="0"/>
        <w:jc w:val="left"/>
      </w:pPr>
      <w:r>
        <w:rPr>
          <w:rFonts w:ascii="Times New Roman" w:hAnsi="Times New Roman" w:eastAsia="楷体"/>
          <w:b/>
          <w:color w:val="000000"/>
          <w:sz w:val="24"/>
        </w:rPr>
        <w:t>3.2.23  统一 Harness 的运行事件模型</w:t>
      </w:r>
    </w:p>
    <w:p>
      <w:pPr>
        <w:keepNext w:val="0"/>
        <w:spacing w:before="0" w:after="80" w:line="360" w:lineRule="auto"/>
        <w:ind w:firstLine="420"/>
        <w:jc w:val="both"/>
      </w:pPr>
      <w:r>
        <w:rPr>
          <w:rFonts w:ascii="Times New Roman" w:hAnsi="Times New Roman" w:eastAsia="宋体"/>
          <w:b w:val="0"/>
          <w:color w:val="000000"/>
          <w:sz w:val="24"/>
        </w:rPr>
        <w:t>统一 Harness 将一次 AI 运行拆成可观察事件，以支持失败诊断、质量评估与复盘。运行事件不是简单日志，而是与租户、智能域、模型、工具和人工决策相连接的业务证据。</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事件阶段</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平台记录内容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评审价值</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开始与校验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请求标识、租户、角色、输入边界、可用提供者和拒绝原因。</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证明运行没有绕过身份和配置边界。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上下文加载</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知识片段、本体对象、版本、有效期、工具白名单与权限范围。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说明模型基于哪些可追溯信息推理。</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模型与工具</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模型名称、Token、耗时、轮次、工具输入输出摘要和错误。</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支持时延、成本、失败和工具选择评测。</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治理与结束</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结构校验、人工确认、最终状态、降级、回退和异常脱敏。</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证明高影响输出被约束并可回放。</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原型已经记录模型调用、工具与运行事件；生产化阶段还需扩展集中监控、归档策略与跨系统关联标识。</w:t>
      </w:r>
    </w:p>
    <w:p>
      <w:pPr>
        <w:pStyle w:val="Heading3"/>
        <w:keepNext/>
        <w:spacing w:before="140" w:after="40" w:line="300" w:lineRule="auto"/>
        <w:ind w:firstLine="0"/>
        <w:jc w:val="left"/>
      </w:pPr>
      <w:r>
        <w:rPr>
          <w:rFonts w:ascii="Times New Roman" w:hAnsi="Times New Roman" w:eastAsia="楷体"/>
          <w:b/>
          <w:color w:val="000000"/>
          <w:sz w:val="24"/>
        </w:rPr>
        <w:t>3.2.24  模型提供商与任务路由边界</w:t>
      </w:r>
    </w:p>
    <w:p>
      <w:pPr>
        <w:keepNext w:val="0"/>
        <w:spacing w:before="0" w:after="80" w:line="360" w:lineRule="auto"/>
        <w:ind w:firstLine="420"/>
        <w:jc w:val="both"/>
      </w:pPr>
      <w:r>
        <w:rPr>
          <w:rFonts w:ascii="Times New Roman" w:hAnsi="Times New Roman" w:eastAsia="宋体"/>
          <w:b w:val="0"/>
          <w:color w:val="000000"/>
          <w:sz w:val="24"/>
        </w:rPr>
        <w:t>系统通过 OpenAI 兼容接口接入推理服务，并把提供商配置与业务权限分离。模型名称不能成为获得数据或动作权限的理由。</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路由问题</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当前处理方式</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后续验收重点</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服务可用性</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提供者可启用、停用、查询模型并进行连接测试；不可用配置被拒绝。</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限流、熔断、并发、调用预算和供应商故障演练。</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任务适配</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百炼主用链路与本地 Qwen 以同一 Harness、Prompt、工具和 Schema 对照。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按任务建立质量、时延、人工修改和安全阈值。</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数据边界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仅加载当前租户与角色授权上下文，密钥由服务端加密保存。</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接入企业密钥轮换、权限审计和敏感数据分级。</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回退策略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异常输入、异常响应或服务错误进入受控失败、重试或降级。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明确每类任务的回退模型、人工接管与告警责任。</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本文仅陈述 OpenAI 兼容服务接入事实，不将其表述为自动调用了某个百炼 Agent 的私有工作流、知识库或工具。</w:t>
      </w:r>
    </w:p>
    <w:p>
      <w:pPr>
        <w:pStyle w:val="Heading3"/>
        <w:keepNext/>
        <w:spacing w:before="140" w:after="40" w:line="300" w:lineRule="auto"/>
        <w:ind w:firstLine="0"/>
        <w:jc w:val="left"/>
      </w:pPr>
      <w:r>
        <w:rPr>
          <w:rFonts w:ascii="Times New Roman" w:hAnsi="Times New Roman" w:eastAsia="楷体"/>
          <w:b/>
          <w:color w:val="000000"/>
          <w:sz w:val="24"/>
        </w:rPr>
        <w:t>3.2.25  Prompt 契约与结构化输出</w:t>
      </w:r>
    </w:p>
    <w:p>
      <w:pPr>
        <w:keepNext w:val="0"/>
        <w:spacing w:before="0" w:after="80" w:line="360" w:lineRule="auto"/>
        <w:ind w:firstLine="420"/>
        <w:jc w:val="both"/>
      </w:pPr>
      <w:r>
        <w:rPr>
          <w:rFonts w:ascii="Times New Roman" w:hAnsi="Times New Roman" w:eastAsia="宋体"/>
          <w:b w:val="0"/>
          <w:color w:val="000000"/>
          <w:sz w:val="24"/>
        </w:rPr>
        <w:t>Prompt 在本项目中被视为可版本化的运行契约。它规定智能域的任务范围、可读取对象、可调用工具、事实与建议的区分、输出结构和人工确认要求。</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契约要素</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约束内容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校验方式</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角色与目标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限定为机会、客群、产品、活动、内容或效果分析智能域。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运行事件记录智能域与提示版本。</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事实边界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要求引用来源、对象关系、有效期，缺失时明确说明。</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Schema 与业务规则检查事实区块。</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工具边界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只能使用已注册、当前角色可用的工具函数。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工具白名单、权限校验与调用轨迹。</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动作边界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高影响动作必须输出待确认事项，不得伪造执行状态。</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审批、状态机与人工决策记录。</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结构化输出不会使模型天然正确，但能把不可接受的缺字段、越权表达和状态混淆转化为可检测、可拒绝的问题。</w:t>
      </w:r>
    </w:p>
    <w:p>
      <w:pPr>
        <w:pStyle w:val="Heading3"/>
        <w:keepNext/>
        <w:spacing w:before="140" w:after="40" w:line="300" w:lineRule="auto"/>
        <w:ind w:firstLine="0"/>
        <w:jc w:val="left"/>
      </w:pPr>
      <w:r>
        <w:rPr>
          <w:rFonts w:ascii="Times New Roman" w:hAnsi="Times New Roman" w:eastAsia="楷体"/>
          <w:b/>
          <w:color w:val="000000"/>
          <w:sz w:val="24"/>
        </w:rPr>
        <w:t>3.2.26  工具调用白名单与错误语义</w:t>
      </w:r>
    </w:p>
    <w:p>
      <w:pPr>
        <w:keepNext w:val="0"/>
        <w:spacing w:before="0" w:after="80" w:line="360" w:lineRule="auto"/>
        <w:ind w:firstLine="420"/>
        <w:jc w:val="both"/>
      </w:pPr>
      <w:r>
        <w:rPr>
          <w:rFonts w:ascii="Times New Roman" w:hAnsi="Times New Roman" w:eastAsia="宋体"/>
          <w:b w:val="0"/>
          <w:color w:val="000000"/>
          <w:sz w:val="24"/>
        </w:rPr>
        <w:t>模型的自然语言推理必须经由确定性工具落到可检查的业务事实。工具协议同时描述正常结果和失败结果，防止模型忽略校验失败后继续编造结论。</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工具类别</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允许执行的计算或查询</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失败时的受控响应</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知识与图谱</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定位来源片段、对象关系、状态与版本。</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返回缺失、过期、冲突或无权限，而非自动补全。</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资格与规则</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检查库存、价格、权益、授权、频控和审批条件。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给出不通过原因和可选人工处理动作。</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活动与批次</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读取活动状态、创建受控批次、导入授权反馈。</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状态不满足时拒绝转换并写入审计。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效果计算</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计算送达、点击、出票、收入、增量收入和 ROI。</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成本或基准缺失时返回待补充，不输出伪精确指标。</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当前代码中的工具与 API 用于本地原型和受控演示。真实生产系统应在授权接口、服务账号和幂等协议下提供同类能力。</w:t>
      </w:r>
    </w:p>
    <w:p>
      <w:pPr>
        <w:pStyle w:val="Heading3"/>
        <w:keepNext/>
        <w:spacing w:before="140" w:after="40" w:line="300" w:lineRule="auto"/>
        <w:ind w:firstLine="0"/>
        <w:jc w:val="left"/>
      </w:pPr>
      <w:r>
        <w:rPr>
          <w:rFonts w:ascii="Times New Roman" w:hAnsi="Times New Roman" w:eastAsia="楷体"/>
          <w:b/>
          <w:color w:val="000000"/>
          <w:sz w:val="24"/>
        </w:rPr>
        <w:t>3.2.27  活动版本冻结与审批链路</w:t>
      </w:r>
    </w:p>
    <w:p>
      <w:pPr>
        <w:keepNext w:val="0"/>
        <w:spacing w:before="0" w:after="80" w:line="360" w:lineRule="auto"/>
        <w:ind w:firstLine="420"/>
        <w:jc w:val="both"/>
      </w:pPr>
      <w:r>
        <w:rPr>
          <w:rFonts w:ascii="Times New Roman" w:hAnsi="Times New Roman" w:eastAsia="宋体"/>
          <w:b w:val="0"/>
          <w:color w:val="000000"/>
          <w:sz w:val="24"/>
        </w:rPr>
        <w:t>活动版本用于防止“审批的是 A，执行的是 B”。当用户提交审批时，系统冻结客群规模、产品包、预算、ROI 目标、渠道和说明，并生成可追溯版本。</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业务动作</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系统写入对象</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状态与审计结果</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创建活动</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 主数据，包括名称、负责人、客群规模、产品、预算和目标。</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初始为草稿，创建动作写入 business_action_events。</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提交审批</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CampaignVersion 配置快照与三段 ApprovalTask。</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进入待产品确认，版本与渠道信息被冻结。</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产品通过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ApprovalDecision 与下一审批任务。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状态推进到待营销审批，并保留决定人和评论。</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营销通过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ApprovalDecision 与合规审批任务。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状态推进到待合规复核。</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合规通过或退回</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最后审批决定、活动状态变化与审计事件。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通过后可建批次；退回后进入退回修改。</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三段审批是当前原型的受控流程，不替代东航正式 OA；后续将角色映射和回调规则接入企业审批体系。</w:t>
      </w:r>
    </w:p>
    <w:p>
      <w:pPr>
        <w:pStyle w:val="Heading3"/>
        <w:keepNext/>
        <w:spacing w:before="140" w:after="40" w:line="300" w:lineRule="auto"/>
        <w:ind w:firstLine="0"/>
        <w:jc w:val="left"/>
      </w:pPr>
      <w:r>
        <w:rPr>
          <w:rFonts w:ascii="Times New Roman" w:hAnsi="Times New Roman" w:eastAsia="楷体"/>
          <w:b/>
          <w:color w:val="000000"/>
          <w:sz w:val="24"/>
        </w:rPr>
        <w:t>3.2.28  执行批次、反馈指标与复盘对象</w:t>
      </w:r>
    </w:p>
    <w:p>
      <w:pPr>
        <w:keepNext w:val="0"/>
        <w:spacing w:before="0" w:after="80" w:line="360" w:lineRule="auto"/>
        <w:ind w:firstLine="420"/>
        <w:jc w:val="both"/>
      </w:pPr>
      <w:r>
        <w:rPr>
          <w:rFonts w:ascii="Times New Roman" w:hAnsi="Times New Roman" w:eastAsia="宋体"/>
          <w:b w:val="0"/>
          <w:color w:val="000000"/>
          <w:sz w:val="24"/>
        </w:rPr>
        <w:t>批准后的活动以执行批次承接投放，而不是直接由文本命令触发渠道。批次、反馈和复盘分别保存计划、结果与解释，便于定位同一活动内不同渠道或策略的差异。</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对象</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主要字段或作用</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与效果计算的关系</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ExecutionBatch</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渠道摘要、目标人数、状态、启动与完成时间。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限定某次投放或受控演练的统计边界。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FeedbackMetric</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送达、点击、出票、收入、基准收入、成本和导入渠道。</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为点击率、转化率、增量收入和 ROI 提供原始数。</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CampaignReview</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复盘结果、漏斗摘要、异常说明和下一轮建议。</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汇总当前版本的指标，但不替代因果归因验证。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BusinessActionEvent</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操作者、动作、前后状态、上下文和时间。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支持按活动回放全链路责任与状态变化。</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反馈可由受控模拟或授权导入产生；当前原型不声称已形成东航生产渠道的实时投放与交易对账链路。</w:t>
      </w:r>
    </w:p>
    <w:p>
      <w:pPr>
        <w:pStyle w:val="Heading3"/>
        <w:keepNext/>
        <w:spacing w:before="140" w:after="40" w:line="300" w:lineRule="auto"/>
        <w:ind w:firstLine="0"/>
        <w:jc w:val="left"/>
      </w:pPr>
      <w:r>
        <w:rPr>
          <w:rFonts w:ascii="Times New Roman" w:hAnsi="Times New Roman" w:eastAsia="楷体"/>
          <w:b/>
          <w:color w:val="000000"/>
          <w:sz w:val="24"/>
        </w:rPr>
        <w:t>3.2.29  效果指标口径与计算边界</w:t>
      </w:r>
    </w:p>
    <w:p>
      <w:pPr>
        <w:keepNext w:val="0"/>
        <w:spacing w:before="0" w:after="80" w:line="360" w:lineRule="auto"/>
        <w:ind w:firstLine="420"/>
        <w:jc w:val="both"/>
      </w:pPr>
      <w:r>
        <w:rPr>
          <w:rFonts w:ascii="Times New Roman" w:hAnsi="Times New Roman" w:eastAsia="宋体"/>
          <w:b w:val="0"/>
          <w:color w:val="000000"/>
          <w:sz w:val="24"/>
        </w:rPr>
        <w:t>效果分析首先定义指标分子、分母、时间窗和数据完整性，再讨论结论。特别是增量收入与 ROI 不能由页面展示值或总收入直接替代。</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指标</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原型计算公式</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解释边界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送达率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送达人数 / 目标人数。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依赖渠道回执完整性；不等同于用户看到或理解。</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点击率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点击人数 / 送达人数。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仅表示触达后的互动，不等同于购买意愿。</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出票转化率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出票人数或订单数 / 送达人数。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需约定同一用户、订单和时间窗的去重口径。</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增量收入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实际收入 - 基准收入。</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基准必须由对照、历史或经确认的估计口径提供。</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ROI</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增量收入 / 营销成本。</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成本为零或缺失时返回待补充，不以收入成本比替代。</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项目将指标公式写入系统与文档，用于强调可验证口径；真实增量效果仍需对照组或因果归因设计后才能报告。</w:t>
      </w:r>
    </w:p>
    <w:p>
      <w:pPr>
        <w:pStyle w:val="Heading3"/>
        <w:keepNext/>
        <w:spacing w:before="140" w:after="40" w:line="300" w:lineRule="auto"/>
        <w:ind w:firstLine="0"/>
        <w:jc w:val="left"/>
      </w:pPr>
      <w:r>
        <w:rPr>
          <w:rFonts w:ascii="Times New Roman" w:hAnsi="Times New Roman" w:eastAsia="楷体"/>
          <w:b/>
          <w:color w:val="000000"/>
          <w:sz w:val="24"/>
        </w:rPr>
        <w:t>3.2.30  审计时间线与可回放性</w:t>
      </w:r>
    </w:p>
    <w:p>
      <w:pPr>
        <w:keepNext w:val="0"/>
        <w:spacing w:before="0" w:after="80" w:line="360" w:lineRule="auto"/>
        <w:ind w:firstLine="420"/>
        <w:jc w:val="both"/>
      </w:pPr>
      <w:r>
        <w:rPr>
          <w:rFonts w:ascii="Times New Roman" w:hAnsi="Times New Roman" w:eastAsia="宋体"/>
          <w:b w:val="0"/>
          <w:color w:val="000000"/>
          <w:sz w:val="24"/>
        </w:rPr>
        <w:t>营销闭环的核心不是“页面上显示了什么”，而是系统能否回答谁在何时以什么版本做了什么决定，以及状态为什么发生变化。审计时间线提供这一最小回放能力。</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审计问题</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记录方式</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可用于的复核</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谁发起了活动或审批</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记录当前用户、角色、动作名称和发生时间。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核对责任边界与审批权限。</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状态为何变化</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写入 previous_status、next_status、审批评论和关联对象。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解释活动从草稿到批准、执行和复盘的原因。</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使用了哪个版本</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活动提交时创建版本快照并与后续动作关联。</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防止执行内容与审批版本发生漂移。</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反馈来自哪里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指标绑定执行批次、渠道摘要和导入时间。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核对漏斗与收入计算的统计边界。</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原型审计适用于本地演示与功能验证；生产环境还需要集中日志、留存策略、不可抵赖审计和跨系统关联标识。</w:t>
      </w:r>
    </w:p>
    <w:p>
      <w:pPr>
        <w:pStyle w:val="Heading3"/>
        <w:keepNext/>
        <w:spacing w:before="140" w:after="40" w:line="300" w:lineRule="auto"/>
        <w:ind w:firstLine="0"/>
        <w:jc w:val="left"/>
      </w:pPr>
      <w:r>
        <w:rPr>
          <w:rFonts w:ascii="Times New Roman" w:hAnsi="Times New Roman" w:eastAsia="楷体"/>
          <w:b/>
          <w:color w:val="000000"/>
          <w:sz w:val="24"/>
        </w:rPr>
        <w:t>3.2.31  数据质量规则与冲突处理</w:t>
      </w:r>
    </w:p>
    <w:p>
      <w:pPr>
        <w:keepNext w:val="0"/>
        <w:spacing w:before="0" w:after="80" w:line="360" w:lineRule="auto"/>
        <w:ind w:firstLine="420"/>
        <w:jc w:val="both"/>
      </w:pPr>
      <w:r>
        <w:rPr>
          <w:rFonts w:ascii="Times New Roman" w:hAnsi="Times New Roman" w:eastAsia="宋体"/>
          <w:b w:val="0"/>
          <w:color w:val="000000"/>
          <w:sz w:val="24"/>
        </w:rPr>
        <w:t>数据进入模型前需要先经过来源、结构、语义与状态检查。数据质量问题不是模型可以凭语言直觉修正的内容，而应变成待审核、待重试或待补充的显式状态。</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质量问题</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检测思路</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处置原则</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重复资料</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文件哈希、来源标识、时间窗和对象关系辅助识别。</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保留批次信息，避免重复写入正式本体。</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字段缺失</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根据数据源契约检查最小字段与关键规则字段。</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标记缺失并阻止高影响对象进入可执行链。</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规则冲突</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比较来源优先级、有效期、版本与人工确认状态。</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不由模型自行裁决，进入冲突与审核队列。</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解析质量低</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OCR、表格错位、结构损坏或无法定位来源时降低置信度。</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保留原始材料，要求人工复核后再准入。</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数据处理能力已在原型中具备基础链路；完整质量评分、批处理治理和企业级数据目录属于下一阶段。</w:t>
      </w:r>
    </w:p>
    <w:p>
      <w:pPr>
        <w:pStyle w:val="Heading3"/>
        <w:keepNext/>
        <w:spacing w:before="140" w:after="40" w:line="300" w:lineRule="auto"/>
        <w:ind w:firstLine="0"/>
        <w:jc w:val="left"/>
      </w:pPr>
      <w:r>
        <w:rPr>
          <w:rFonts w:ascii="Times New Roman" w:hAnsi="Times New Roman" w:eastAsia="楷体"/>
          <w:b/>
          <w:color w:val="000000"/>
          <w:sz w:val="24"/>
        </w:rPr>
        <w:t>3.2.32  知识证据与本体关系的差异</w:t>
      </w:r>
    </w:p>
    <w:p>
      <w:pPr>
        <w:keepNext w:val="0"/>
        <w:spacing w:before="0" w:after="80" w:line="360" w:lineRule="auto"/>
        <w:ind w:firstLine="420"/>
        <w:jc w:val="both"/>
      </w:pPr>
      <w:r>
        <w:rPr>
          <w:rFonts w:ascii="Times New Roman" w:hAnsi="Times New Roman" w:eastAsia="宋体"/>
          <w:b w:val="0"/>
          <w:color w:val="000000"/>
          <w:sz w:val="24"/>
        </w:rPr>
        <w:t>知识库回答“事实来自哪里”，本体回答“事实之间如何关联”。两者共同服务于推理，但不能相互替代，也不能在缺少证据时凭关系名称制造事实。</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层次</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保存内容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对推理的贡献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原始知识</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文件、接口快照、页面、表格、段落、页码和解析版本。</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支持来源定位、复查原文和更新追踪。</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知识片段</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按章节、段落、表格行列切分的可检索内容与摘要。</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提供与问题相关的最小文本证据集合。</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本体对象</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机会、客群、产品、活动、审批、批次、反馈和复盘等业务实体。</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统一对象身份与状态，支持跨模块关联。</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本体关系</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适用、包含、限制、审批、执行、产生反馈、归因等关系。</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解释推荐的业务路径，并限制无关对象拼接。</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任何对象或关系在进入正式语义层前都应保留来源、置信度、状态与审核信息。</w:t>
      </w:r>
    </w:p>
    <w:p>
      <w:pPr>
        <w:pStyle w:val="Heading3"/>
        <w:keepNext/>
        <w:spacing w:before="140" w:after="40" w:line="300" w:lineRule="auto"/>
        <w:ind w:firstLine="0"/>
        <w:jc w:val="left"/>
      </w:pPr>
      <w:r>
        <w:rPr>
          <w:rFonts w:ascii="Times New Roman" w:hAnsi="Times New Roman" w:eastAsia="楷体"/>
          <w:b/>
          <w:color w:val="000000"/>
          <w:sz w:val="24"/>
        </w:rPr>
        <w:t>3.2.33  六智能域的输入输出契约</w:t>
      </w:r>
    </w:p>
    <w:p>
      <w:pPr>
        <w:keepNext w:val="0"/>
        <w:spacing w:before="0" w:after="80" w:line="360" w:lineRule="auto"/>
        <w:ind w:firstLine="420"/>
        <w:jc w:val="both"/>
      </w:pPr>
      <w:r>
        <w:rPr>
          <w:rFonts w:ascii="Times New Roman" w:hAnsi="Times New Roman" w:eastAsia="宋体"/>
          <w:b w:val="0"/>
          <w:color w:val="000000"/>
          <w:sz w:val="24"/>
        </w:rPr>
        <w:t>六智能域共享统一运行框架，但对输入、输出、工具和人工门禁分别定义契约，以防止一个智能域越权替代另一个业务角色。</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智能域</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受控输入</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候选输出与人工门禁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机会洞察</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市场信号、经营观测、航线供给、时间窗和来源。</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机会候选、证据、风险；人工决定是否进入策划。</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客群洞察</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授权画像、历史行为、频控、保护名单和有效期。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聚合快照、规模、解释；人工确认口径与触达边界。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产品匹配</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产品包、资格、库存、价格、权益和适用条件。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推荐与不可用原因；人工确认对外承诺。</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活动编排与内容</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已确认机会、客群、产品、预算、渠道规格和规则。</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活动/内容候选；审批后才可进入批次。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效果分析</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批次、回执、交易、履约、成本、时间窗和归因口径。</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复盘与建议；人工确认结论与策略变化。</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六智能域的业务边界优先于模型能力边界，所有高影响动作都需要确定性规则与人工确认。</w:t>
      </w:r>
    </w:p>
    <w:p>
      <w:pPr>
        <w:pStyle w:val="Heading3"/>
        <w:keepNext/>
        <w:spacing w:before="140" w:after="40" w:line="300" w:lineRule="auto"/>
        <w:ind w:firstLine="0"/>
        <w:jc w:val="left"/>
      </w:pPr>
      <w:r>
        <w:rPr>
          <w:rFonts w:ascii="Times New Roman" w:hAnsi="Times New Roman" w:eastAsia="楷体"/>
          <w:b/>
          <w:color w:val="000000"/>
          <w:sz w:val="24"/>
        </w:rPr>
        <w:t>3.2.34  多租户与权限隔离设计</w:t>
      </w:r>
    </w:p>
    <w:p>
      <w:pPr>
        <w:keepNext w:val="0"/>
        <w:spacing w:before="0" w:after="80" w:line="360" w:lineRule="auto"/>
        <w:ind w:firstLine="420"/>
        <w:jc w:val="both"/>
      </w:pPr>
      <w:r>
        <w:rPr>
          <w:rFonts w:ascii="Times New Roman" w:hAnsi="Times New Roman" w:eastAsia="宋体"/>
          <w:b w:val="0"/>
          <w:color w:val="000000"/>
          <w:sz w:val="24"/>
        </w:rPr>
        <w:t>营销平台面向多租户工作区设计，模型提供商、知识、本体、活动、审批和审计均在当前租户上下文中读取与写入。权限边界应在 API 和工具层验证，而非只依赖前端隐藏按钮。</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隔离对象</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当前设计</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验证证据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身份与工作区</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登录后选择租户，系统在请求上下文中确定当前租户与角色。</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租户切换界面、API 依赖注入与会话信息。</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模型提供商</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提供商按租户保存，未知、未启用或跨租户提供商调用被拒绝。</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稳健性测试覆盖配置边界与租户隔离。</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业务数据</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活动、审批、批次、反馈与复盘写入租户标识并按上下文查询。</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生命周期接口只返回当前租户范围的数据。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写操作</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角色决定创建、审批和高影响动作的可用性。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无写权限请求被拒绝，审批节点受角色限制。</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生产化还需接入企业级身份、组织、权限审计与数据分级策略；当前原型用于验证最小隔离与治理路径。</w:t>
      </w:r>
    </w:p>
    <w:p>
      <w:pPr>
        <w:pStyle w:val="Heading3"/>
        <w:keepNext/>
        <w:spacing w:before="140" w:after="40" w:line="300" w:lineRule="auto"/>
        <w:ind w:firstLine="0"/>
        <w:jc w:val="left"/>
      </w:pPr>
      <w:r>
        <w:rPr>
          <w:rFonts w:ascii="Times New Roman" w:hAnsi="Times New Roman" w:eastAsia="楷体"/>
          <w:b/>
          <w:color w:val="000000"/>
          <w:sz w:val="24"/>
        </w:rPr>
        <w:t>3.2.35  API 边界与生命周期接口清单</w:t>
      </w:r>
    </w:p>
    <w:p>
      <w:pPr>
        <w:keepNext w:val="0"/>
        <w:spacing w:before="0" w:after="80" w:line="360" w:lineRule="auto"/>
        <w:ind w:firstLine="420"/>
        <w:jc w:val="both"/>
      </w:pPr>
      <w:r>
        <w:rPr>
          <w:rFonts w:ascii="Times New Roman" w:hAnsi="Times New Roman" w:eastAsia="宋体"/>
          <w:b w:val="0"/>
          <w:color w:val="000000"/>
          <w:sz w:val="24"/>
        </w:rPr>
        <w:t>API 是前端与持久化业务对象之间的合同。V1.6 为营销闭环补齐了从活动创建到复盘的最小端到端接口，并由服务端负责状态、权限和租户判断。</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业务动作</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原型接口</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返回或拒绝条件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创建活动</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POST /api/campaigns</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创建草稿；名称和写权限不满足时拒绝。</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提交审批</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POST /api/campaigns/{id}/submit</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冻结版本并创建三段审批；只有草稿或退回修改可提交。</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处理审批</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POST /api/approvals/{id}/decisions</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仅授权角色可通过或退回；推进或回退活动状态。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批次管理</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POST /api/execution-batches 与 /{id}/start</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只有已批准活动可建批次，待执行批次才能启动。</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反馈与复盘</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POST /api/feedback 与 /api/campaigns/{id}/reviews</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反馈绑定运行批次；无反馈时不得生成复盘。</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闭环查询</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GET /api/campaigns/{id}/lifecycle</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返回版本、审批、批次、反馈、复盘与审计时间线。</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接口清单用于说明已实现的本地闭环能力，不公开认证凭据、数据库连接参数或任何敏感配置。</w:t>
      </w:r>
    </w:p>
    <w:p>
      <w:pPr>
        <w:pStyle w:val="Heading3"/>
        <w:keepNext/>
        <w:spacing w:before="140" w:after="40" w:line="300" w:lineRule="auto"/>
        <w:ind w:firstLine="0"/>
        <w:jc w:val="left"/>
      </w:pPr>
      <w:r>
        <w:rPr>
          <w:rFonts w:ascii="Times New Roman" w:hAnsi="Times New Roman" w:eastAsia="楷体"/>
          <w:b/>
          <w:color w:val="000000"/>
          <w:sz w:val="24"/>
        </w:rPr>
        <w:t>3.2.36  闭环持久化对象与数据库迁移</w:t>
      </w:r>
    </w:p>
    <w:p>
      <w:pPr>
        <w:keepNext w:val="0"/>
        <w:spacing w:before="0" w:after="80" w:line="360" w:lineRule="auto"/>
        <w:ind w:firstLine="420"/>
        <w:jc w:val="both"/>
      </w:pPr>
      <w:r>
        <w:rPr>
          <w:rFonts w:ascii="Times New Roman" w:hAnsi="Times New Roman" w:eastAsia="宋体"/>
          <w:b w:val="0"/>
          <w:color w:val="000000"/>
          <w:sz w:val="24"/>
        </w:rPr>
        <w:t>营销闭环在数据库中采用独立持久化对象，而不是只在浏览器内保存模拟状态。对象设计使版本、审批、批次、反馈、复盘和操作审计可以单独查询并相互关联。</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持久化对象</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保存内容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对竞赛演示的意义</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campaign_versions</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提交时冻结的客群、产品、预算、ROI、渠道和说明。</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演示“审批内容可追溯”，避免审批后配置漂移。</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approval_tasks / decisions</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节点、顺序、分配角色、通过/退回决定与评论。</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演示三段人工门禁及状态推进。</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execution_batches</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渠道摘要、目标人数、待执行/运行状态和时间。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演示活动批准后才进入受控执行。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feedback_metrics / reviews</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漏斗原始数、收入、成本、结果汇总和建议。</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演示从反馈到复盘的结构化闭环。</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business_action_events</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操作者、动作、前后状态、上下文和发生时间。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演示可回放的责任和过程证据。</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为兼容已有 PostgreSQL 数据库，项目对活动表主键迁移做了兼容处理；该修复已随功能分支提交并经 API 测试验证。</w:t>
      </w:r>
    </w:p>
    <w:p>
      <w:pPr>
        <w:pStyle w:val="Heading3"/>
        <w:keepNext/>
        <w:spacing w:before="140" w:after="40" w:line="300" w:lineRule="auto"/>
        <w:ind w:firstLine="0"/>
        <w:jc w:val="left"/>
      </w:pPr>
      <w:r>
        <w:rPr>
          <w:rFonts w:ascii="Times New Roman" w:hAnsi="Times New Roman" w:eastAsia="楷体"/>
          <w:b/>
          <w:color w:val="000000"/>
          <w:sz w:val="24"/>
        </w:rPr>
        <w:t>3.2.37  本地部署拓扑与启动验收</w:t>
      </w:r>
    </w:p>
    <w:p>
      <w:pPr>
        <w:keepNext w:val="0"/>
        <w:spacing w:before="0" w:after="80" w:line="360" w:lineRule="auto"/>
        <w:ind w:firstLine="420"/>
        <w:jc w:val="both"/>
      </w:pPr>
      <w:r>
        <w:rPr>
          <w:rFonts w:ascii="Times New Roman" w:hAnsi="Times New Roman" w:eastAsia="宋体"/>
          <w:b w:val="0"/>
          <w:color w:val="000000"/>
          <w:sz w:val="24"/>
        </w:rPr>
        <w:t>项目使用 Docker Compose 组织 Web、API 和 PostgreSQL 服务，便于在同一台开发机上演示持久化数据、服务健康检查和前后端协作。</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服务</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职责</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启动后应检查的状态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Web</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提供生产版营销工作台与基本认证入口。</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健康检查通过，浏览器可访问本地服务地址。</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API</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提供身份、租户、活动、审批、模型、知识与数据处理接口。</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/health/ready 正常，生命周期接口可返回当前租户数据。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PostgreSQL</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保存平台主数据、营销闭环对象、审计和模型配置。</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健康检查通过，迁移兼容已有表结构。</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Compose 网络</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连接 Web、API、数据库与已存在前端网络。</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服务依赖顺序正确，不以本机数据库端口开放作为运行前提。</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本地部署成功证明原型可运行；真实生产部署仍需企业网络、密钥托管、监控、备份和变更管理流程。</w:t>
      </w:r>
    </w:p>
    <w:p>
      <w:pPr>
        <w:pStyle w:val="Heading3"/>
        <w:keepNext/>
        <w:spacing w:before="140" w:after="40" w:line="300" w:lineRule="auto"/>
        <w:ind w:firstLine="0"/>
        <w:jc w:val="left"/>
      </w:pPr>
      <w:r>
        <w:rPr>
          <w:rFonts w:ascii="Times New Roman" w:hAnsi="Times New Roman" w:eastAsia="楷体"/>
          <w:b/>
          <w:color w:val="000000"/>
          <w:sz w:val="24"/>
        </w:rPr>
        <w:t>3.2.38  运行健康检查与故障恢复</w:t>
      </w:r>
    </w:p>
    <w:p>
      <w:pPr>
        <w:keepNext w:val="0"/>
        <w:spacing w:before="0" w:after="80" w:line="360" w:lineRule="auto"/>
        <w:ind w:firstLine="420"/>
        <w:jc w:val="both"/>
      </w:pPr>
      <w:r>
        <w:rPr>
          <w:rFonts w:ascii="Times New Roman" w:hAnsi="Times New Roman" w:eastAsia="宋体"/>
          <w:b w:val="0"/>
          <w:color w:val="000000"/>
          <w:sz w:val="24"/>
        </w:rPr>
        <w:t>系统可用性由服务健康、数据库迁移、模型调用和业务状态共同决定。项目将瞬时外部错误与业务规则失败区分处理，避免“重试成功”掩盖真正的业务风险。</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故障类别</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当前处理策略</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需要留存的证据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服务未就绪</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Compose 通过依赖健康检查控制 Web/API 启动顺序。</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容器状态、健康检查结果和启动日志。</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瞬时模型错误</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 429、502、503、504 和连接类异常最多 3 次指数退避。</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重试次数、最终结果、耗时与脱敏错误。</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非瞬时请求错误</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4xx 参数、权限或配置错误立即失败，不进行无效重试。</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拒绝原因、角色/提供商状态和修复建议。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状态机不满足</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未审批活动、未启动批次、无反馈复盘等操作被服务端拒绝。</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当前状态、允许下一步和审计事件。</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当前稳健性验证覆盖关键客户端与治理边界；并发压测、灾备和供应商容量验证仍需要在受控环境下继续完成。</w:t>
      </w:r>
    </w:p>
    <w:p>
      <w:pPr>
        <w:pStyle w:val="Heading3"/>
        <w:keepNext/>
        <w:spacing w:before="140" w:after="40" w:line="300" w:lineRule="auto"/>
        <w:ind w:firstLine="0"/>
        <w:jc w:val="left"/>
      </w:pPr>
      <w:r>
        <w:rPr>
          <w:rFonts w:ascii="Times New Roman" w:hAnsi="Times New Roman" w:eastAsia="楷体"/>
          <w:b/>
          <w:color w:val="000000"/>
          <w:sz w:val="24"/>
        </w:rPr>
        <w:t>3.2.39  安全、隐私与凭据保护</w:t>
      </w:r>
    </w:p>
    <w:p>
      <w:pPr>
        <w:keepNext w:val="0"/>
        <w:spacing w:before="0" w:after="80" w:line="360" w:lineRule="auto"/>
        <w:ind w:firstLine="420"/>
        <w:jc w:val="both"/>
      </w:pPr>
      <w:r>
        <w:rPr>
          <w:rFonts w:ascii="Times New Roman" w:hAnsi="Times New Roman" w:eastAsia="宋体"/>
          <w:b w:val="0"/>
          <w:color w:val="000000"/>
          <w:sz w:val="24"/>
        </w:rPr>
        <w:t>航空营销 AI 的安全设计以数据最小化、服务端凭据保护、租户隔离和高影响操作审批为主。项目文档和界面不展示 API Key、密码、认证头或无关个人数据。</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控制方向</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原型实施方式</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生产化补强方向</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密钥保护</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 Key 仅服务端加密保存，异常与 API 响应不回显敏感头。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接入企业密钥管理、轮换、最小权限和密钥审计。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个人信息</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营销工作台以聚合客群、规模和规则解释为主。</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建立分级分类、脱敏、授权、保留与删除制度。</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高影响动作</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活动审批、执行、反馈和复盘通过状态机与角色控制。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对接正式 OA、预算、渠道和变更审批。</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输入安全</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拒绝空与超长输入，异常信息脱敏，工具按白名单调用。</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持续评测提示注入、数据外泄和越权诱导场景。</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本项目不在竞赛材料中复制任何运行密码、数据库地址、密钥或用户级业务数据。</w:t>
      </w:r>
    </w:p>
    <w:p>
      <w:pPr>
        <w:pStyle w:val="Heading3"/>
        <w:keepNext/>
        <w:spacing w:before="140" w:after="40" w:line="300" w:lineRule="auto"/>
        <w:ind w:firstLine="0"/>
        <w:jc w:val="left"/>
      </w:pPr>
      <w:r>
        <w:rPr>
          <w:rFonts w:ascii="Times New Roman" w:hAnsi="Times New Roman" w:eastAsia="楷体"/>
          <w:b/>
          <w:color w:val="000000"/>
          <w:sz w:val="24"/>
        </w:rPr>
        <w:t>3.2.40  稳健性测试覆盖矩阵</w:t>
      </w:r>
    </w:p>
    <w:p>
      <w:pPr>
        <w:keepNext w:val="0"/>
        <w:spacing w:before="0" w:after="80" w:line="360" w:lineRule="auto"/>
        <w:ind w:firstLine="420"/>
        <w:jc w:val="both"/>
      </w:pPr>
      <w:r>
        <w:rPr>
          <w:rFonts w:ascii="Times New Roman" w:hAnsi="Times New Roman" w:eastAsia="宋体"/>
          <w:b w:val="0"/>
          <w:color w:val="000000"/>
          <w:sz w:val="24"/>
        </w:rPr>
        <w:t>自动化稳健性测试用于检验模型服务接入、输入边界、租户隔离、异常处理和智能域治理是否能在预期风险下保持可诊断与可恢复。</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测试类别</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已覆盖的验证点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结论边界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网络与连接恢复</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429、502、503、504、SSL/连接提前关闭、读取错误与超时重试。</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证明客户端有受控恢复能力，不等同于供应商容量保证。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响应与输入边界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缺少 choices/message/content 的异常响应、空问题、超长问题。</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证明异常格式不会直接进入业务流程。</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配置与租户隔离</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未知提供商、未启用提供商、跨租户提供商访问拒绝。</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证明最小配置和租户边界得到验证。</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凭据保护</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响应与异常不包含 Key、Authorization 或 Bearer。</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证明测试覆盖的接口路径未暴露这些敏感内容。</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业务回归与治理</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数据流水线、知识与本体、六智能域、人工审核与运行事件。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证明关键原型链路可回归，不替代生产全量验收。</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现有报告记录 17 项自动化测试全部通过。测试使用 mock provider 并在用例后恢复状态，避免消耗真实模型额度或污染运行配置。</w:t>
      </w:r>
    </w:p>
    <w:p>
      <w:pPr>
        <w:pStyle w:val="Heading3"/>
        <w:keepNext/>
        <w:spacing w:before="140" w:after="40" w:line="300" w:lineRule="auto"/>
        <w:ind w:firstLine="0"/>
        <w:jc w:val="left"/>
      </w:pPr>
      <w:r>
        <w:rPr>
          <w:rFonts w:ascii="Times New Roman" w:hAnsi="Times New Roman" w:eastAsia="楷体"/>
          <w:b/>
          <w:color w:val="000000"/>
          <w:sz w:val="24"/>
        </w:rPr>
        <w:t>3.2.41  真实低流量端到端观察</w:t>
      </w:r>
    </w:p>
    <w:p>
      <w:pPr>
        <w:keepNext w:val="0"/>
        <w:spacing w:before="0" w:after="80" w:line="360" w:lineRule="auto"/>
        <w:ind w:firstLine="420"/>
        <w:jc w:val="both"/>
      </w:pPr>
      <w:r>
        <w:rPr>
          <w:rFonts w:ascii="Times New Roman" w:hAnsi="Times New Roman" w:eastAsia="宋体"/>
          <w:b w:val="0"/>
          <w:color w:val="000000"/>
          <w:sz w:val="24"/>
        </w:rPr>
        <w:t>除自动化测试外，项目曾对真实模型服务进行一次低流量端到端观察，以验证模型、Harness、工具编排和最终综合回答的连通性。</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观察项</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记录结果</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应如何解读</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请求主题</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上海—三亚航线营销机会分析及人工确认事项。</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代表一个典型分析任务，不代表所有营销任务。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接口与输出</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HTTP 200，回答约 950 字符，含去重来源对象。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证明链路可返回受控回答，不证明业务效果。</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运行轨迹</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完成上下文加载、5 次模型调用、4 次决策解析、4 次工具调用。</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说明多轮编排可运行，也反映复杂任务的时延成本。</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时延与门禁</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总耗时 44.32 秒，回答保留人工审核要求。</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需继续优化工具短路、缓存与并发能力。</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该观察为工程连通性证据，不可被表述为真实渠道投放、实际收入提升或模型在生产高并发下的性能结论。</w:t>
      </w:r>
    </w:p>
    <w:p>
      <w:pPr>
        <w:pStyle w:val="Heading3"/>
        <w:keepNext/>
        <w:spacing w:before="140" w:after="40" w:line="300" w:lineRule="auto"/>
        <w:ind w:firstLine="0"/>
        <w:jc w:val="left"/>
      </w:pPr>
      <w:r>
        <w:rPr>
          <w:rFonts w:ascii="Times New Roman" w:hAnsi="Times New Roman" w:eastAsia="楷体"/>
          <w:b/>
          <w:color w:val="000000"/>
          <w:sz w:val="24"/>
        </w:rPr>
        <w:t>3.2.42  项目演示路径与操作脚本</w:t>
      </w:r>
    </w:p>
    <w:p>
      <w:pPr>
        <w:keepNext w:val="0"/>
        <w:spacing w:before="0" w:after="80" w:line="360" w:lineRule="auto"/>
        <w:ind w:firstLine="420"/>
        <w:jc w:val="both"/>
      </w:pPr>
      <w:r>
        <w:rPr>
          <w:rFonts w:ascii="Times New Roman" w:hAnsi="Times New Roman" w:eastAsia="宋体"/>
          <w:b w:val="0"/>
          <w:color w:val="000000"/>
          <w:sz w:val="24"/>
        </w:rPr>
        <w:t>竞赛展示以“从工作台进入真实对象，再展示状态、证据和人工门禁”为原则。演示者应避免只停留在静态大屏或一次聊天回答。</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演示步骤</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页面或接口动作</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评委应看到的证据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1. 平台可运行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打开营销总览，展示当前租户、运行状态与活动生命周期卡片。</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本地服务正常、平台有真实 API 数据来源。</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2. 活动主数据</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进入营销活动中心，查看活动编号、节点、版本、负责人和状态。</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活动不是孤立文案，而是可管理主数据。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3. 闭环详情</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打开活动详情，展示版本、审批链路、批次、反馈/复盘和审计时间线。</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状态决定可执行按钮，操作不是自然语言假象。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4. 人工门禁</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展示草稿提交、审批推进或退回的条件与记录。</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高影响动作保留人工与规则控制。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5. 证据与边界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回到文档中的测试、指标口径和风险页。</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清楚区分原型演示、测试证据和生产化路径。</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演示中不应点击删除、上传敏感文件、输入密码或发起对外渠道动作；竞赛展示以可回放的受控流程为目标。</w:t>
      </w:r>
    </w:p>
    <w:p>
      <w:pPr>
        <w:pStyle w:val="Heading3"/>
        <w:keepNext/>
        <w:spacing w:before="140" w:after="40" w:line="300" w:lineRule="auto"/>
        <w:ind w:firstLine="0"/>
        <w:jc w:val="left"/>
      </w:pPr>
      <w:r>
        <w:rPr>
          <w:rFonts w:ascii="Times New Roman" w:hAnsi="Times New Roman" w:eastAsia="楷体"/>
          <w:b/>
          <w:color w:val="000000"/>
          <w:sz w:val="24"/>
        </w:rPr>
        <w:t>3.2.43  评审视角下的核心创新归纳</w:t>
      </w:r>
    </w:p>
    <w:p>
      <w:pPr>
        <w:keepNext w:val="0"/>
        <w:spacing w:before="0" w:after="80" w:line="360" w:lineRule="auto"/>
        <w:ind w:firstLine="420"/>
        <w:jc w:val="both"/>
      </w:pPr>
      <w:r>
        <w:rPr>
          <w:rFonts w:ascii="Times New Roman" w:hAnsi="Times New Roman" w:eastAsia="宋体"/>
          <w:b w:val="0"/>
          <w:color w:val="000000"/>
          <w:sz w:val="24"/>
        </w:rPr>
        <w:t>参考竞赛复盘中“技术深度是基础，呈现质量与可量化证据决定辨识度”的观点，项目将创新点压缩为可在系统、代码和评测中逐项核验的命题。</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创新命题</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区别于常见做法的地方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可展示或可检查证据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营销本体上下文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不只用标签或文档片段，而是显式建模对象、关系、证据、状态与有效期。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本体规范、对象关系存储、候选准入与来源记录。</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统一受控推理</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不让每个页面自行请求模型，而由 Harness 统一管理工具、事件、重试与门禁。</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AgentRun、工具轨迹、Token/耗时、结构校验与自动化测试。</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人机协同闭环</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将人工确认作为对象链的一部分，而不是聊天结果后的临时人工判断。</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审批任务、决定、版本冻结、审计时间线和状态机。</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任务级双模型演进</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以同一任务、上下文、工具与阈值对照云端与本地 Qwen。</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评测框架、路由维度、回退策略和后续验收表。</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创新表述避免使用“完全自动化”“已替代人工”“已取得生产经营增量”等无法由当前原型支撑的措辞。</w:t>
      </w:r>
    </w:p>
    <w:p>
      <w:pPr>
        <w:pStyle w:val="Heading3"/>
        <w:keepNext/>
        <w:spacing w:before="140" w:after="40" w:line="300" w:lineRule="auto"/>
        <w:ind w:firstLine="0"/>
        <w:jc w:val="left"/>
      </w:pPr>
      <w:r>
        <w:rPr>
          <w:rFonts w:ascii="Times New Roman" w:hAnsi="Times New Roman" w:eastAsia="楷体"/>
          <w:b/>
          <w:color w:val="000000"/>
          <w:sz w:val="24"/>
        </w:rPr>
        <w:t>3.2.44  竞赛项目视频的三分钟叙事建议</w:t>
      </w:r>
    </w:p>
    <w:p>
      <w:pPr>
        <w:keepNext w:val="0"/>
        <w:spacing w:before="0" w:after="80" w:line="360" w:lineRule="auto"/>
        <w:ind w:firstLine="420"/>
        <w:jc w:val="both"/>
      </w:pPr>
      <w:r>
        <w:rPr>
          <w:rFonts w:ascii="Times New Roman" w:hAnsi="Times New Roman" w:eastAsia="宋体"/>
          <w:b w:val="0"/>
          <w:color w:val="000000"/>
          <w:sz w:val="24"/>
        </w:rPr>
        <w:t>项目视频应与项目文档形成证据互补：开头先给出解决的问题和可运行成果，中段展示真实交互与闭环，结尾说明评测和边界，避免用静态 PPT 代替系统验证。</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时间段</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建议叙事</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应出现的画面或证据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0:00-0:25</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航空营销多源、强规则、强责任的痛点，以及平台的可信 AI 定位。</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问题图、总体架构或一句可验证的项目定位。</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0:25-1:25</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机会、客群、产品、活动、审批到执行反馈的对象链。</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营销总览与活动中心的真实页面录制。</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1:25-2:10</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展示活动详情中的版本、三段审批、批次、反馈、复盘与审计。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闭环工作台和状态驱动的操作按钮。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2:10-2:40</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说明本体、Harness、工具和测试如何使模型可控。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流程图、运行事件、稳健性测试和指标公式。</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2:40-3:00</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总结创新、真实边界与下一步生产化路径。</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证据分层图和明确的未来建设清单。</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视频中的演示数据必须标为原型或受控演练数据；字幕和讲解应主动说明高影响动作仍需人工确认。</w:t>
      </w:r>
    </w:p>
    <w:p>
      <w:pPr>
        <w:pStyle w:val="Heading3"/>
        <w:keepNext/>
        <w:spacing w:before="140" w:after="40" w:line="300" w:lineRule="auto"/>
        <w:ind w:firstLine="0"/>
        <w:jc w:val="left"/>
      </w:pPr>
      <w:r>
        <w:rPr>
          <w:rFonts w:ascii="Times New Roman" w:hAnsi="Times New Roman" w:eastAsia="楷体"/>
          <w:b/>
          <w:color w:val="000000"/>
          <w:sz w:val="24"/>
        </w:rPr>
        <w:t>3.2.45  可能评审问题与答辩口径</w:t>
      </w:r>
    </w:p>
    <w:p>
      <w:pPr>
        <w:keepNext w:val="0"/>
        <w:spacing w:before="0" w:after="80" w:line="360" w:lineRule="auto"/>
        <w:ind w:firstLine="420"/>
        <w:jc w:val="both"/>
      </w:pPr>
      <w:r>
        <w:rPr>
          <w:rFonts w:ascii="Times New Roman" w:hAnsi="Times New Roman" w:eastAsia="宋体"/>
          <w:b w:val="0"/>
          <w:color w:val="000000"/>
          <w:sz w:val="24"/>
        </w:rPr>
        <w:t>提前把常见质疑转化为可被代码、文档和测试支撑的答辩口径，可使团队在答辩中避免夸大边界或陷入只解释模型名称的被动局面。</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可能问题</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建议回答主线</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可调用的证据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为什么不是普通 RAG？</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RAG 负责证据检索，本项目还使用本体表达关系、状态与治理，并由 Harness 管理动作边界。</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本体对象链、关系端点校验、来源记录和工具契约。</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模型输出如何防幻觉？</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不承诺消除幻觉，而是通过来源、结构、规则、工具和人工门禁收敛风险。</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Prompt 契约、Schema、工具白名单、审批状态机。</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效果如何量化？</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先区分工程、知识、建议和营销结果四层指标；真实增量需回传和对照。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指标口径、反馈对象、复盘边界与后续归因设计。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本地 Qwen 的优势？</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采用任务级对照，不以部署位置替代质量；满足阈值后逐步扩展。</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双模型评测表、同条件约束与回退策略。</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是否可直接生产？</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原型已可运行并验证关键闭环；生产仍需正式数据、审批、渠道、监控与安全验收。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部署页、风险矩阵、已实现/待建设边界。</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答辩时应优先展示真实系统状态和可复核证据，再解释算法与工程细节。</w:t>
      </w:r>
    </w:p>
    <w:p>
      <w:pPr>
        <w:pStyle w:val="Heading3"/>
        <w:keepNext/>
        <w:spacing w:before="140" w:after="40" w:line="300" w:lineRule="auto"/>
        <w:ind w:firstLine="0"/>
        <w:jc w:val="left"/>
      </w:pPr>
      <w:r>
        <w:rPr>
          <w:rFonts w:ascii="Times New Roman" w:hAnsi="Times New Roman" w:eastAsia="楷体"/>
          <w:b/>
          <w:color w:val="000000"/>
          <w:sz w:val="24"/>
        </w:rPr>
        <w:t>3.2.46  阶段性成果与完成度对照</w:t>
      </w:r>
    </w:p>
    <w:p>
      <w:pPr>
        <w:keepNext w:val="0"/>
        <w:spacing w:before="0" w:after="80" w:line="360" w:lineRule="auto"/>
        <w:ind w:firstLine="420"/>
        <w:jc w:val="both"/>
      </w:pPr>
      <w:r>
        <w:rPr>
          <w:rFonts w:ascii="Times New Roman" w:hAnsi="Times New Roman" w:eastAsia="宋体"/>
          <w:b w:val="0"/>
          <w:color w:val="000000"/>
          <w:sz w:val="24"/>
        </w:rPr>
        <w:t>项目按“已实现原型、已验证工程、受控演练、待接入生产”四个层次组织完成度，便于评委准确理解当前成熟度与后续投入方向。</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成果层次</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当前内容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完成度表述方式</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已实现原型</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多租户、模型配置、文件接入、知识本体、Harness、活动闭环与页面工作台。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可本地运行、可查看对象与接口，不等同于企业生产部署。</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已验证工程</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25 项 API 测试通过；17 项稳健性测试通过；Docker 服务健康。</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说明覆盖的测试范围，不外推到所有生产压力与外部系统。</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受控场景演练</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上海—三亚早鸟对象链、示例活动、审批和受控反馈导入。</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演示业务流程和口径，不当作真实经营数据。</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待生产化验证</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正式数据源、OA、渠道回执、交易归因、并发容量、监控与灾备。</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列为路线图与验收条件，不包装为已完成能力。</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该对照可直接用于答辩结尾和评审问答，核心原则是让每项结论有对应的证据类型。</w:t>
      </w:r>
    </w:p>
    <w:p>
      <w:pPr>
        <w:pStyle w:val="Heading3"/>
        <w:keepNext/>
        <w:spacing w:before="140" w:after="40" w:line="300" w:lineRule="auto"/>
        <w:ind w:firstLine="0"/>
        <w:jc w:val="left"/>
      </w:pPr>
      <w:r>
        <w:rPr>
          <w:rFonts w:ascii="Times New Roman" w:hAnsi="Times New Roman" w:eastAsia="楷体"/>
          <w:b/>
          <w:color w:val="000000"/>
          <w:sz w:val="24"/>
        </w:rPr>
        <w:t>3.2.47  生产化路线与里程碑</w:t>
      </w:r>
    </w:p>
    <w:p>
      <w:pPr>
        <w:keepNext w:val="0"/>
        <w:spacing w:before="0" w:after="80" w:line="360" w:lineRule="auto"/>
        <w:ind w:firstLine="420"/>
        <w:jc w:val="both"/>
      </w:pPr>
      <w:r>
        <w:rPr>
          <w:rFonts w:ascii="Times New Roman" w:hAnsi="Times New Roman" w:eastAsia="宋体"/>
          <w:b w:val="0"/>
          <w:color w:val="000000"/>
          <w:sz w:val="24"/>
        </w:rPr>
        <w:t>原型走向业务可用需要以数据授权、流程衔接和运行治理为主线，而不是只增加更多模型能力。路线图按可验收里程碑给出后续建设重点。</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里程碑</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关键建设内容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验收信号</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M1 数据可信接入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接入首批授权客群、产品和经营数据，完成字段映射、质量规则和候选审核。</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来源、版本、有效期、冲突和人工确认可查询。</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M2 业务流程对接</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对接 OA、预算、产品资格与首个官方触点，建立幂等回调。</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审批、状态和渠道回执能按统一协议回写。</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M3 效果归因验证</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统一交易、履约、投诉与成本口径，设计对照或因果评估。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可报告可复核的增量收入与 ROI。</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M4 规模化运行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引入 Worker、队列、并发控制、熔断、监控、备份和安全审计。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在约定容量与故障演练下保持可用与可回退。</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M5 模型渐进优化</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以任务基准集、成本和人工反馈扩大本地 Qwen 路由范围。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每类任务满足质量、安全、时延与人工可用阈值。</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里程碑用于说明投入优先级，不承诺未获得业务授权、数据条件或组织协同支持的上线时间。</w:t>
      </w:r>
    </w:p>
    <w:p>
      <w:pPr>
        <w:pStyle w:val="Heading3"/>
        <w:keepNext/>
        <w:spacing w:before="140" w:after="40" w:line="300" w:lineRule="auto"/>
        <w:ind w:firstLine="0"/>
        <w:jc w:val="left"/>
      </w:pPr>
      <w:r>
        <w:rPr>
          <w:rFonts w:ascii="Times New Roman" w:hAnsi="Times New Roman" w:eastAsia="楷体"/>
          <w:b/>
          <w:color w:val="000000"/>
          <w:sz w:val="24"/>
        </w:rPr>
        <w:t>3.2.48  项目风险登记册</w:t>
      </w:r>
    </w:p>
    <w:p>
      <w:pPr>
        <w:keepNext w:val="0"/>
        <w:spacing w:before="0" w:after="80" w:line="360" w:lineRule="auto"/>
        <w:ind w:firstLine="420"/>
        <w:jc w:val="both"/>
      </w:pPr>
      <w:r>
        <w:rPr>
          <w:rFonts w:ascii="Times New Roman" w:hAnsi="Times New Roman" w:eastAsia="宋体"/>
          <w:b w:val="0"/>
          <w:color w:val="000000"/>
          <w:sz w:val="24"/>
        </w:rPr>
        <w:t>风险登记将技术不确定性、数据治理、业务协同和运营保障放到同一清单中管理。对竞赛项目而言，清楚说明风险与控制手段比回避风险更有说服力。</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风险</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可能影响</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控制与升级方式</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数据来源口径不一致</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机会、产品或归因解释失真。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来源优先级、时间窗、冲突状态与人工确认；必要时暂停写回。</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模型异常或时延过高</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分析任务失败、体验下降或成本失控。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重试、超时、短路、缓存、限流、回退与人工接管。</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规则或权益变化</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内容承诺与真实产品不一致。</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绑定产品版本和有效期；发布前重新校验并记录失效。</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渠道回传不完整</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漏斗和增量计算不可靠。</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在复盘中显示数据缺失；不输出伪精确 ROI。</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组织职责不清</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审批滞后、异常无人处理或高影响动作失控。</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角色矩阵、审批任务、审计事件和升级责任。</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风险登记册应在每次新增数据源、工具、模型或渠道前更新，并成为变更评审的一部分。</w:t>
      </w:r>
    </w:p>
    <w:p>
      <w:pPr>
        <w:pStyle w:val="Heading3"/>
        <w:keepNext/>
        <w:spacing w:before="140" w:after="40" w:line="300" w:lineRule="auto"/>
        <w:ind w:firstLine="0"/>
        <w:jc w:val="left"/>
      </w:pPr>
      <w:r>
        <w:rPr>
          <w:rFonts w:ascii="Times New Roman" w:hAnsi="Times New Roman" w:eastAsia="楷体"/>
          <w:b/>
          <w:color w:val="000000"/>
          <w:sz w:val="24"/>
        </w:rPr>
        <w:t>3.2.49  团队协作与版本管理机制</w:t>
      </w:r>
    </w:p>
    <w:p>
      <w:pPr>
        <w:keepNext w:val="0"/>
        <w:spacing w:before="0" w:after="80" w:line="360" w:lineRule="auto"/>
        <w:ind w:firstLine="420"/>
        <w:jc w:val="both"/>
      </w:pPr>
      <w:r>
        <w:rPr>
          <w:rFonts w:ascii="Times New Roman" w:hAnsi="Times New Roman" w:eastAsia="宋体"/>
          <w:b w:val="0"/>
          <w:color w:val="000000"/>
          <w:sz w:val="24"/>
        </w:rPr>
        <w:t>竞赛交付不仅是一次文档写作，也包括代码、数据规范、评测结果、演示材料和决策口径的协同管理。团队通过版本化资产降低“实现变了、文档没变、演示不可复现”的风险。</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资产类型</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协作方式</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交付检查</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代码与接口</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功能分支提交、测试、代码审查和运行记录。</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提交可定位、测试通过、服务可启动。</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本体与规则</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文档化对象关系、状态、证据和审核边界。</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对象定义与代码/页面口径一致。</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模型与评测</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记录提供商、Prompt、任务集、指标、运行与人工反馈。</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可复现对照条件，结果不脱离边界。</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项目文档与视频</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以可运行页面、图表和测试证据支撑叙述。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截图清晰、术语一致、无敏感配置与夸大结论。</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V1.6 在 V1.5 基础上新增活动闭环和竞赛证据包，V1.5 原文档仍保留用于版本对比。</w:t>
      </w:r>
    </w:p>
    <w:p>
      <w:pPr>
        <w:pStyle w:val="Heading3"/>
        <w:keepNext/>
        <w:spacing w:before="140" w:after="40" w:line="300" w:lineRule="auto"/>
        <w:ind w:firstLine="0"/>
        <w:jc w:val="left"/>
      </w:pPr>
      <w:r>
        <w:rPr>
          <w:rFonts w:ascii="Times New Roman" w:hAnsi="Times New Roman" w:eastAsia="楷体"/>
          <w:b/>
          <w:color w:val="000000"/>
          <w:sz w:val="24"/>
        </w:rPr>
        <w:t>3.2.50  竞赛材料自检清单</w:t>
      </w:r>
    </w:p>
    <w:p>
      <w:pPr>
        <w:keepNext w:val="0"/>
        <w:spacing w:before="0" w:after="80" w:line="360" w:lineRule="auto"/>
        <w:ind w:firstLine="420"/>
        <w:jc w:val="both"/>
      </w:pPr>
      <w:r>
        <w:rPr>
          <w:rFonts w:ascii="Times New Roman" w:hAnsi="Times New Roman" w:eastAsia="宋体"/>
          <w:b w:val="0"/>
          <w:color w:val="000000"/>
          <w:sz w:val="24"/>
        </w:rPr>
        <w:t>在提交前，团队应从评委可理解性、事实准确性、演示可复现性和合规边界四个维度自检。该清单也可作为答辩前最后一次走查依据。</w:t>
      </w:r>
    </w:p>
    <w:tbl>
      <w:tblPr>
        <w:tblStyle w:val="TableGrid"/>
        <w:tblW w:type="dxa" w:w="9000"/>
        <w:jc w:val="center"/>
        <w:tblLayout w:type="fixed"/>
        <w:tblLook w:firstColumn="1" w:firstRow="1" w:lastColumn="0" w:lastRow="0" w:noHBand="0" w:noVBand="1" w:val="04A0"/>
        <w:tblInd w:w="0" w:type="dxa"/>
      </w:tblPr>
      <w:tblGrid>
        <w:gridCol w:w="1750"/>
        <w:gridCol w:w="3950"/>
        <w:gridCol w:w="3300"/>
      </w:tblGrid>
      <w:tr>
        <w:trPr>
          <w:cantSplit/>
          <w:tblHeader w:val="true"/>
        </w:trPr>
        <w:tc>
          <w:tcPr>
            <w:tcW w:type="dxa" w:w="17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自检维度</w:t>
            </w:r>
          </w:p>
        </w:tc>
        <w:tc>
          <w:tcPr>
            <w:tcW w:type="dxa" w:w="395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必须确认的问题</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9"/>
              </w:rPr>
              <w:t>本版对应材料</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问题与价值</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是否用航空营销具体痛点解释项目必要性，而非只介绍模型？</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项目概况、端到端主线、角色矩阵。</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技术与创新</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是否能说清本体、Harness、工具、审批与模型路由的协同？</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架构图、对象链、智能域契约和创新归纳。</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证据与指标</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每个结论是否区分代码实现、测试、演练与真实结果？</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证据分层、测试矩阵、指标口径与完成度对照。</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系统演示</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是否能在本地从活动中心走到真实生命周期详情？</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演示脚本、页面截图、接口与持久化对象说明。</w:t>
            </w:r>
          </w:p>
        </w:tc>
      </w:tr>
      <w:tr>
        <w:trPr>
          <w:cantSplit/>
        </w:trPr>
        <w:tc>
          <w:tcPr>
            <w:tcW w:type="dxa" w:w="17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风险与边界</w:t>
            </w:r>
          </w:p>
        </w:tc>
        <w:tc>
          <w:tcPr>
            <w:tcW w:type="dxa" w:w="395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是否主动说明未接入的正式数据、OA、渠道和归因能力？</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9"/>
              </w:rPr>
              <w:t>风险登记、生产化路线、答辩口径。</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40" w:after="100" w:line="324" w:lineRule="auto"/>
        <w:ind w:firstLine="420"/>
        <w:jc w:val="both"/>
      </w:pPr>
      <w:r>
        <w:rPr>
          <w:rFonts w:ascii="Times New Roman" w:hAnsi="Times New Roman" w:eastAsia="宋体"/>
          <w:b w:val="0"/>
          <w:color w:val="000000"/>
          <w:sz w:val="21"/>
        </w:rPr>
        <w:t>竞赛材料应保持“亮点主动呈现、证据主动说明、边界主动声明”的一致表达。</w:t>
      </w:r>
    </w:p>
    <w:p>
      <w:pPr>
        <w:pStyle w:val="Heading3"/>
        <w:keepNext/>
        <w:spacing w:before="140" w:after="40" w:line="300" w:lineRule="auto"/>
        <w:ind w:firstLine="0"/>
        <w:jc w:val="left"/>
      </w:pPr>
      <w:r>
        <w:rPr>
          <w:rFonts w:ascii="Times New Roman" w:hAnsi="Times New Roman" w:eastAsia="楷体"/>
          <w:b/>
          <w:color w:val="000000"/>
          <w:sz w:val="24"/>
        </w:rPr>
        <w:t>3.2.51  营销总览中的活动生命周期可视化</w:t>
      </w:r>
    </w:p>
    <w:p>
      <w:pPr>
        <w:keepNext w:val="0"/>
        <w:spacing w:before="0" w:after="80" w:line="360" w:lineRule="auto"/>
        <w:ind w:firstLine="420"/>
        <w:jc w:val="both"/>
      </w:pPr>
      <w:r>
        <w:rPr>
          <w:rFonts w:ascii="Times New Roman" w:hAnsi="Times New Roman" w:eastAsia="宋体"/>
          <w:b w:val="0"/>
          <w:color w:val="000000"/>
          <w:sz w:val="24"/>
        </w:rPr>
        <w:t>营销总览已展示进行中活动、待处理机会、可经营客群、本月增量收入和营销 ROI 等原型看板项，并增加活动生命周期状态表帮助运营人员定位当前节点。</w:t>
      </w:r>
    </w:p>
    <w:p>
      <w:r>
        <w:drawing>
          <wp:inline xmlns:a="http://schemas.openxmlformats.org/drawingml/2006/main" xmlns:pic="http://schemas.openxmlformats.org/drawingml/2006/picture">
            <wp:extent cx="4140000" cy="2330182"/>
            <wp:docPr id="5" name="Picture 5" descr="本地运行的营销总览页面，展示活动生命周期状态和原型看板指标。" title="图 6  本地营销总览与活动生命周期状态"/>
            <wp:cNvGraphicFramePr>
              <a:graphicFrameLocks noChangeAspect="1"/>
            </wp:cNvGraphicFramePr>
            <a:graphic>
              <a:graphicData uri="http://schemas.openxmlformats.org/drawingml/2006/picture">
                <pic:pic>
                  <pic:nvPicPr>
                    <pic:cNvPr id="0" name="01-营销总览-活动生命周期.png"/>
                    <pic:cNvPicPr/>
                  </pic:nvPicPr>
                  <pic:blipFill>
                    <a:blip r:embed="rId15"/>
                    <a:stretch>
                      <a:fillRect/>
                    </a:stretch>
                  </pic:blipFill>
                  <pic:spPr>
                    <a:xfrm>
                      <a:off x="0" y="0"/>
                      <a:ext cx="4140000" cy="2330182"/>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6  本地营销总览与活动生命周期状态</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截图中的经营指标用于原型页面展示，不能视为东航真实经营统计；活动状态应以活动中心详情中的持久化数据为准。</w:t>
      </w:r>
    </w:p>
    <w:p>
      <w:pPr>
        <w:keepNext w:val="0"/>
        <w:spacing w:before="0" w:after="100" w:line="312" w:lineRule="auto"/>
        <w:ind w:firstLine="420"/>
        <w:jc w:val="both"/>
      </w:pPr>
      <w:r>
        <w:rPr>
          <w:rFonts w:ascii="Times New Roman" w:hAnsi="Times New Roman" w:eastAsia="宋体"/>
          <w:b w:val="0"/>
          <w:color w:val="000000"/>
          <w:sz w:val="20"/>
        </w:rPr>
        <w:t>总览页面的作用是帮助运营人员发现需要处理的机会和活动节点，而不是把原型指标包装成经营报表。评审应进一步进入活动详情查看版本、审批、批次、反馈和审计链，确认看板上的状态是否由持久化业务对象而非静态文案支撑。</w:t>
      </w:r>
    </w:p>
    <w:p>
      <w:pPr>
        <w:pStyle w:val="Heading3"/>
        <w:keepNext/>
        <w:spacing w:before="140" w:after="40" w:line="300" w:lineRule="auto"/>
        <w:ind w:firstLine="0"/>
        <w:jc w:val="left"/>
      </w:pPr>
      <w:r>
        <w:rPr>
          <w:rFonts w:ascii="Times New Roman" w:hAnsi="Times New Roman" w:eastAsia="楷体"/>
          <w:b/>
          <w:color w:val="000000"/>
          <w:sz w:val="24"/>
        </w:rPr>
        <w:t>3.2.52  营销活动中心与版本可追溯主数据</w:t>
      </w:r>
    </w:p>
    <w:p>
      <w:pPr>
        <w:keepNext w:val="0"/>
        <w:spacing w:before="0" w:after="80" w:line="360" w:lineRule="auto"/>
        <w:ind w:firstLine="420"/>
        <w:jc w:val="both"/>
      </w:pPr>
      <w:r>
        <w:rPr>
          <w:rFonts w:ascii="Times New Roman" w:hAnsi="Times New Roman" w:eastAsia="宋体"/>
          <w:b w:val="0"/>
          <w:color w:val="000000"/>
          <w:sz w:val="24"/>
        </w:rPr>
        <w:t>活动中心提供活动编号、名称、当前节点、版本、负责人、状态和查看入口。该页面承担从宏观看板进入可核验业务对象的导航作用。</w:t>
      </w:r>
    </w:p>
    <w:p>
      <w:r>
        <w:drawing>
          <wp:inline xmlns:a="http://schemas.openxmlformats.org/drawingml/2006/main" xmlns:pic="http://schemas.openxmlformats.org/drawingml/2006/picture">
            <wp:extent cx="4140000" cy="2328750"/>
            <wp:docPr id="6" name="Picture 6" descr="本地运行的营销活动中心，展示活动列表、版本和当前状态。" title="图 7  本地营销活动中心"/>
            <wp:cNvGraphicFramePr>
              <a:graphicFrameLocks noChangeAspect="1"/>
            </wp:cNvGraphicFramePr>
            <a:graphic>
              <a:graphicData uri="http://schemas.openxmlformats.org/drawingml/2006/picture">
                <pic:pic>
                  <pic:nvPicPr>
                    <pic:cNvPr id="0" name="02-营销活动中心.png"/>
                    <pic:cNvPicPr/>
                  </pic:nvPicPr>
                  <pic:blipFill>
                    <a:blip r:embed="rId16"/>
                    <a:stretch>
                      <a:fillRect/>
                    </a:stretch>
                  </pic:blipFill>
                  <pic:spPr>
                    <a:xfrm>
                      <a:off x="0" y="0"/>
                      <a:ext cx="4140000" cy="232875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7  本地营销活动中心</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页面中的示例活动用于比赛演示。V1.6 的重点是将“查看”按钮连接到真实生命周期查询，而不是显示固定的静态版本记录。</w:t>
      </w:r>
    </w:p>
    <w:p>
      <w:pPr>
        <w:keepNext w:val="0"/>
        <w:spacing w:before="0" w:after="100" w:line="312" w:lineRule="auto"/>
        <w:ind w:firstLine="420"/>
        <w:jc w:val="both"/>
      </w:pPr>
      <w:r>
        <w:rPr>
          <w:rFonts w:ascii="Times New Roman" w:hAnsi="Times New Roman" w:eastAsia="宋体"/>
          <w:b w:val="0"/>
          <w:color w:val="000000"/>
          <w:sz w:val="20"/>
        </w:rPr>
        <w:t>活动中心将分散的方案收敛为可管理主数据。每条记录的当前状态、版本与查看入口使团队能够从总览跳转到同一活动的完整生命周期；后续接入真实渠道时，也应保持活动标识与外部回执、预算和审批记录的一致关联。</w:t>
      </w:r>
    </w:p>
    <w:p>
      <w:pPr>
        <w:pStyle w:val="Heading3"/>
        <w:keepNext/>
        <w:spacing w:before="140" w:after="40" w:line="300" w:lineRule="auto"/>
        <w:ind w:firstLine="0"/>
        <w:jc w:val="left"/>
      </w:pPr>
      <w:r>
        <w:rPr>
          <w:rFonts w:ascii="Times New Roman" w:hAnsi="Times New Roman" w:eastAsia="楷体"/>
          <w:b/>
          <w:color w:val="000000"/>
          <w:sz w:val="24"/>
        </w:rPr>
        <w:t>3.2.53  活动详情中的真实闭环工作台</w:t>
      </w:r>
    </w:p>
    <w:p>
      <w:pPr>
        <w:keepNext w:val="0"/>
        <w:spacing w:before="0" w:after="80" w:line="360" w:lineRule="auto"/>
        <w:ind w:firstLine="420"/>
        <w:jc w:val="both"/>
      </w:pPr>
      <w:r>
        <w:rPr>
          <w:rFonts w:ascii="Times New Roman" w:hAnsi="Times New Roman" w:eastAsia="宋体"/>
          <w:b w:val="0"/>
          <w:color w:val="000000"/>
          <w:sz w:val="24"/>
        </w:rPr>
        <w:t>点击活动详情后，工作台查询完整生命周期并按当前状态展示版本记录、审批链路、执行批次、复盘结果与审计时间线。可操作按钮仅在状态机允许时显示。</w:t>
      </w:r>
    </w:p>
    <w:p>
      <w:r>
        <w:drawing>
          <wp:inline xmlns:a="http://schemas.openxmlformats.org/drawingml/2006/main" xmlns:pic="http://schemas.openxmlformats.org/drawingml/2006/picture">
            <wp:extent cx="4140000" cy="2328750"/>
            <wp:docPr id="7" name="Picture 7" descr="本地运行的活动详情弹窗，展示真实生命周期状态、版本、审批、批次和审计区域。" title="图 8  活动详情闭环工作台"/>
            <wp:cNvGraphicFramePr>
              <a:graphicFrameLocks noChangeAspect="1"/>
            </wp:cNvGraphicFramePr>
            <a:graphic>
              <a:graphicData uri="http://schemas.openxmlformats.org/drawingml/2006/picture">
                <pic:pic>
                  <pic:nvPicPr>
                    <pic:cNvPr id="0" name="03-活动详情-闭环工作台.png"/>
                    <pic:cNvPicPr/>
                  </pic:nvPicPr>
                  <pic:blipFill>
                    <a:blip r:embed="rId17"/>
                    <a:stretch>
                      <a:fillRect/>
                    </a:stretch>
                  </pic:blipFill>
                  <pic:spPr>
                    <a:xfrm>
                      <a:off x="0" y="0"/>
                      <a:ext cx="4140000" cy="232875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8  活动详情闭环工作台</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截图中“尚无审批任务/批次”代表所打开示例活动尚未走入该环节；新建并提交活动后，系统会生成持久化审批任务和后续状态。</w:t>
      </w:r>
    </w:p>
    <w:p>
      <w:pPr>
        <w:keepNext w:val="0"/>
        <w:spacing w:before="0" w:after="100" w:line="312" w:lineRule="auto"/>
        <w:ind w:firstLine="420"/>
        <w:jc w:val="both"/>
      </w:pPr>
      <w:r>
        <w:rPr>
          <w:rFonts w:ascii="Times New Roman" w:hAnsi="Times New Roman" w:eastAsia="宋体"/>
          <w:b w:val="0"/>
          <w:color w:val="000000"/>
          <w:sz w:val="20"/>
        </w:rPr>
        <w:t>详情工作台的价值在于按当前状态决定操作可见性，并在同一视图呈现版本、审批、批次、反馈和审计。它避免把“下一步该做什么”交给自然语言提示，实际允许的动作仍由服务端状态机和角色权限决定。</w:t>
      </w:r>
    </w:p>
    <w:p>
      <w:pPr>
        <w:pStyle w:val="Heading3"/>
        <w:keepNext/>
        <w:spacing w:before="140" w:after="40" w:line="300" w:lineRule="auto"/>
        <w:ind w:firstLine="0"/>
        <w:jc w:val="left"/>
      </w:pPr>
      <w:r>
        <w:rPr>
          <w:rFonts w:ascii="Times New Roman" w:hAnsi="Times New Roman" w:eastAsia="楷体"/>
          <w:b/>
          <w:color w:val="000000"/>
          <w:sz w:val="24"/>
        </w:rPr>
        <w:t>3.2.54  本体工作台与关系建模界面</w:t>
      </w:r>
    </w:p>
    <w:p>
      <w:pPr>
        <w:keepNext w:val="0"/>
        <w:spacing w:before="0" w:after="80" w:line="360" w:lineRule="auto"/>
        <w:ind w:firstLine="420"/>
        <w:jc w:val="both"/>
      </w:pPr>
      <w:r>
        <w:rPr>
          <w:rFonts w:ascii="Times New Roman" w:hAnsi="Times New Roman" w:eastAsia="宋体"/>
          <w:b w:val="0"/>
          <w:color w:val="000000"/>
          <w:sz w:val="24"/>
        </w:rPr>
        <w:t>本体工作台是平台将营销对象、关系、来源和状态从技术编码转换为可检查业务语义的重要界面。它为六智能域提供可查询、可解释的上下文。</w:t>
      </w:r>
    </w:p>
    <w:p>
      <w:r>
        <w:drawing>
          <wp:inline xmlns:a="http://schemas.openxmlformats.org/drawingml/2006/main" xmlns:pic="http://schemas.openxmlformats.org/drawingml/2006/picture">
            <wp:extent cx="4140000" cy="2760000"/>
            <wp:docPr id="8" name="Picture 8" descr="项目中的本体工作台截图，用于说明对象与关系的可视化管理。" title="图 9  营销本体工作台示意"/>
            <wp:cNvGraphicFramePr>
              <a:graphicFrameLocks noChangeAspect="1"/>
            </wp:cNvGraphicFramePr>
            <a:graphic>
              <a:graphicData uri="http://schemas.openxmlformats.org/drawingml/2006/picture">
                <pic:pic>
                  <pic:nvPicPr>
                    <pic:cNvPr id="0" name="ontology-workbench-v1.0.png"/>
                    <pic:cNvPicPr/>
                  </pic:nvPicPr>
                  <pic:blipFill>
                    <a:blip r:embed="rId18"/>
                    <a:stretch>
                      <a:fillRect/>
                    </a:stretch>
                  </pic:blipFill>
                  <pic:spPr>
                    <a:xfrm>
                      <a:off x="0" y="0"/>
                      <a:ext cx="4140000" cy="2760000"/>
                    </a:xfrm>
                    <a:prstGeom prst="rect"/>
                  </pic:spPr>
                </pic:pic>
              </a:graphicData>
            </a:graphic>
          </wp:inline>
        </w:drawing>
      </w:r>
    </w:p>
    <w:p>
      <w:pPr>
        <w:keepNext w:val="0"/>
        <w:spacing w:before="60" w:after="80" w:line="264" w:lineRule="auto"/>
        <w:ind w:firstLine="0"/>
        <w:jc w:val="center"/>
      </w:pPr>
      <w:r>
        <w:rPr>
          <w:rFonts w:ascii="Times New Roman" w:hAnsi="Times New Roman" w:eastAsia="宋体"/>
          <w:b w:val="0"/>
          <w:color w:val="666666"/>
          <w:sz w:val="19"/>
        </w:rPr>
        <w:t>图 9  营销本体工作台示意</w:t>
      </w:r>
    </w:p>
    <w:p>
      <w:pPr>
        <w:keepNext w:val="0"/>
        <w:spacing w:before="0" w:after="100" w:line="360" w:lineRule="auto"/>
        <w:ind w:firstLine="420"/>
        <w:jc w:val="both"/>
      </w:pPr>
      <w:r>
        <w:rPr>
          <w:rFonts w:ascii="Times New Roman" w:hAnsi="Times New Roman" w:eastAsia="黑体"/>
          <w:b/>
          <w:color w:val="000000"/>
          <w:sz w:val="24"/>
        </w:rPr>
        <w:t>评审说明：</w:t>
      </w:r>
      <w:r>
        <w:rPr>
          <w:rFonts w:ascii="Times New Roman" w:hAnsi="Times New Roman" w:eastAsia="宋体"/>
          <w:b w:val="0"/>
          <w:color w:val="000000"/>
          <w:sz w:val="24"/>
        </w:rPr>
        <w:t>本体图谱展示的是语义建模和候选/正式对象管理能力；是否成为正式业务事实仍取决于来源、规则和人工审核状态。</w:t>
      </w:r>
    </w:p>
    <w:p>
      <w:pPr>
        <w:keepNext w:val="0"/>
        <w:spacing w:before="0" w:after="100" w:line="312" w:lineRule="auto"/>
        <w:ind w:firstLine="420"/>
        <w:jc w:val="both"/>
      </w:pPr>
      <w:r>
        <w:rPr>
          <w:rFonts w:ascii="Times New Roman" w:hAnsi="Times New Roman" w:eastAsia="宋体"/>
          <w:b w:val="0"/>
          <w:color w:val="000000"/>
          <w:sz w:val="20"/>
        </w:rPr>
        <w:t>本体工作台不是将复杂关系可视化后就自动获得事实资格。图中对象和边关系仍带有来源、证据、置信度、状态与人工确认要求；可视化的目的在于让业务人员审查这些关系，并为智能域提供可解释的上下文。</w:t>
      </w:r>
    </w:p>
    <w:p>
      <w:r>
        <w:br w:type="page"/>
      </w:r>
    </w:p>
    <w:p>
      <w:pPr>
        <w:pStyle w:val="Heading3"/>
        <w:keepNext/>
        <w:spacing w:before="140" w:after="40" w:line="300" w:lineRule="auto"/>
        <w:ind w:firstLine="0"/>
        <w:jc w:val="left"/>
      </w:pPr>
      <w:r>
        <w:rPr>
          <w:rFonts w:ascii="Times New Roman" w:hAnsi="Times New Roman" w:eastAsia="楷体"/>
          <w:b/>
          <w:color w:val="000000"/>
          <w:sz w:val="24"/>
        </w:rPr>
        <w:t>3.2.55  项目摘要与竞赛价值主张</w:t>
      </w:r>
    </w:p>
    <w:p>
      <w:pPr>
        <w:keepNext w:val="0"/>
        <w:spacing w:before="0" w:after="140" w:line="360" w:lineRule="auto"/>
        <w:ind w:firstLine="420"/>
        <w:jc w:val="both"/>
      </w:pPr>
      <w:r>
        <w:rPr>
          <w:rFonts w:ascii="Times New Roman" w:hAnsi="Times New Roman" w:eastAsia="宋体"/>
          <w:b w:val="0"/>
          <w:color w:val="000000"/>
          <w:sz w:val="24"/>
        </w:rPr>
        <w:t>本项目面向航空营销中多源信息难统一、模型输出难受控、活动闭环难复盘三类问题，构建以营销本体、统一 Harness、业务规则和人工门禁为核心的可信 AI 营销平台原型。其价值不在于让模型直接替代运营人员，而在于把市场信号、客群快照、产品规则、活动版本、审批、执行反馈和复盘结果连接为可追溯对象链。</w:t>
      </w:r>
    </w:p>
    <w:p>
      <w:pPr>
        <w:keepNext w:val="0"/>
        <w:spacing w:before="0" w:after="140" w:line="360" w:lineRule="auto"/>
        <w:ind w:firstLine="420"/>
        <w:jc w:val="both"/>
      </w:pPr>
      <w:r>
        <w:rPr>
          <w:rFonts w:ascii="Times New Roman" w:hAnsi="Times New Roman" w:eastAsia="宋体"/>
          <w:b w:val="0"/>
          <w:color w:val="000000"/>
          <w:sz w:val="24"/>
        </w:rPr>
        <w:t>在竞赛场景下，团队以可运行的 Docker 平台、持久化活动闭环、17 项稳健性测试、25 项 API 测试和本地页面演示提供工程证据；以已实现、已验证、受控演练和待生产化验证分层组织结论。该方式既突出 AI 应用创新，也避免把原型指标包装为真实经营成效。</w:t>
      </w:r>
    </w:p>
    <w:p>
      <w:pPr>
        <w:keepNext w:val="0"/>
        <w:spacing w:before="0" w:after="0" w:line="360" w:lineRule="auto"/>
        <w:ind w:firstLine="420"/>
        <w:jc w:val="both"/>
      </w:pPr>
      <w:r>
        <w:rPr>
          <w:rFonts w:ascii="Times New Roman" w:hAnsi="Times New Roman" w:eastAsia="宋体"/>
          <w:b w:val="0"/>
          <w:color w:val="000000"/>
          <w:sz w:val="24"/>
        </w:rPr>
        <w:t>项目后续将以授权数据接入、正式审批与渠道对接、统一归因和任务级模型路由为优先方向，逐步从竞赛原型发展为可在企业治理边界内验证的业务能力。</w:t>
      </w:r>
    </w:p>
    <w:p>
      <w:pPr>
        <w:keepNext w:val="0"/>
        <w:spacing w:before="0" w:after="100" w:line="360" w:lineRule="auto"/>
        <w:ind w:firstLine="420"/>
        <w:jc w:val="both"/>
      </w:pPr>
      <w:r>
        <w:rPr>
          <w:rFonts w:ascii="Times New Roman" w:hAnsi="Times New Roman" w:eastAsia="宋体"/>
          <w:b w:val="0"/>
          <w:color w:val="000000"/>
          <w:sz w:val="24"/>
        </w:rPr>
        <w:t>这一价值主张可以进一步落实为四项可审查能力：多源材料在本体中形成可定位的营销上下文；模型调用在 Harness 中形成可回放的运行事件；人工审核在活动版本与审批对象中形成责任记录；反馈在批次和复盘对象中形成下一轮实验的依据。四项能力相互约束，避免项目只在任一层面形成孤立亮点。</w:t>
      </w:r>
    </w:p>
    <w:p>
      <w:pPr>
        <w:keepNext w:val="0"/>
        <w:spacing w:before="0" w:after="0" w:line="360" w:lineRule="auto"/>
        <w:ind w:firstLine="420"/>
        <w:jc w:val="both"/>
      </w:pPr>
      <w:r>
        <w:rPr>
          <w:rFonts w:ascii="Times New Roman" w:hAnsi="Times New Roman" w:eastAsia="宋体"/>
          <w:b w:val="0"/>
          <w:color w:val="000000"/>
          <w:sz w:val="24"/>
        </w:rPr>
        <w:t>因此，竞赛价值不以“自动完成一次营销活动”定义，而以“让一项营销建议能够说明其事实基础、规则边界、确认责任、执行前提和结果口径”定义。后续接入授权系统时，团队将以这条对象链检查每个新数据源、工具、模型和渠道是否真正补全了业务能力，而不是只增加页面或接口数量。</w:t>
      </w:r>
    </w:p>
    <w:p>
      <w:r>
        <w:br w:type="page"/>
      </w:r>
    </w:p>
    <w:p>
      <w:pPr>
        <w:pStyle w:val="Heading3"/>
        <w:keepNext/>
        <w:spacing w:before="140" w:after="40" w:line="300" w:lineRule="auto"/>
        <w:ind w:firstLine="0"/>
        <w:jc w:val="left"/>
      </w:pPr>
      <w:r>
        <w:rPr>
          <w:rFonts w:ascii="Times New Roman" w:hAnsi="Times New Roman" w:eastAsia="楷体"/>
          <w:b/>
          <w:color w:val="000000"/>
          <w:sz w:val="24"/>
        </w:rPr>
        <w:t>3.2.58  结论与团队承诺</w:t>
      </w:r>
    </w:p>
    <w:p>
      <w:pPr>
        <w:keepNext w:val="0"/>
        <w:spacing w:before="0" w:after="140" w:line="360" w:lineRule="auto"/>
        <w:ind w:firstLine="420"/>
        <w:jc w:val="both"/>
      </w:pPr>
      <w:r>
        <w:rPr>
          <w:rFonts w:ascii="Times New Roman" w:hAnsi="Times New Roman" w:eastAsia="宋体"/>
          <w:b w:val="0"/>
          <w:color w:val="000000"/>
          <w:sz w:val="24"/>
        </w:rPr>
        <w:t>东方航空智能营销平台已经形成可本地运行的原型基础，并在 V1.6 中补齐营销活动创建、版本冻结、三段审批、执行批次、反馈导入、效果复盘和审计时间线的持久化闭环。该功能将营销工作台从静态展示推进为可操作、可回放的业务纵向切片。</w:t>
      </w:r>
    </w:p>
    <w:p>
      <w:pPr>
        <w:keepNext w:val="0"/>
        <w:spacing w:before="0" w:after="140" w:line="360" w:lineRule="auto"/>
        <w:ind w:firstLine="420"/>
        <w:jc w:val="both"/>
      </w:pPr>
      <w:r>
        <w:rPr>
          <w:rFonts w:ascii="Times New Roman" w:hAnsi="Times New Roman" w:eastAsia="宋体"/>
          <w:b w:val="0"/>
          <w:color w:val="000000"/>
          <w:sz w:val="24"/>
        </w:rPr>
        <w:t>团队对竞赛材料坚持三项承诺：第一，不将演示数据或页面看板数字描述为真实经营业绩；第二，不将模型生成文本描述为已执行的营销动作；第三，不将尚未接入的生产系统、渠道和归因能力表述为已完成。所有关键结论均以代码、运行、测试、文档或明确的后续验收条件支撑。</w:t>
      </w:r>
    </w:p>
    <w:p>
      <w:pPr>
        <w:keepNext w:val="0"/>
        <w:spacing w:before="0" w:after="0" w:line="360" w:lineRule="auto"/>
        <w:ind w:firstLine="420"/>
        <w:jc w:val="both"/>
      </w:pPr>
      <w:r>
        <w:rPr>
          <w:rFonts w:ascii="Times New Roman" w:hAnsi="Times New Roman" w:eastAsia="宋体"/>
          <w:b w:val="0"/>
          <w:color w:val="000000"/>
          <w:sz w:val="24"/>
        </w:rPr>
        <w:t>下一阶段，团队将继续用授权数据和可审计流程验证系统，在业务价值、数据安全、模型质量、工程稳定性和组织协同之间建立可持续的平衡。</w:t>
      </w:r>
    </w:p>
    <w:p>
      <w:pPr>
        <w:keepNext w:val="0"/>
        <w:spacing w:before="0" w:after="100" w:line="360" w:lineRule="auto"/>
        <w:ind w:firstLine="420"/>
        <w:jc w:val="both"/>
      </w:pPr>
      <w:r>
        <w:rPr>
          <w:rFonts w:ascii="Times New Roman" w:hAnsi="Times New Roman" w:eastAsia="宋体"/>
          <w:b w:val="0"/>
          <w:color w:val="000000"/>
          <w:sz w:val="24"/>
        </w:rPr>
        <w:t>为保证后续迭代可管理，团队将把模型、Prompt、工具、数据源、本体版本、审批意见和反馈口径纳入同一版本管理与评测记录。任何能力扩展都需要说明影响哪些对象、增加哪些权限、如何回退、由谁验收以及是否改变对外结论范围。这样的变更机制能够降低“代码变了、演示变了、文档却没有同步”的协作风险。</w:t>
      </w:r>
    </w:p>
    <w:p>
      <w:pPr>
        <w:keepNext w:val="0"/>
        <w:spacing w:before="0" w:after="0" w:line="360" w:lineRule="auto"/>
        <w:ind w:firstLine="420"/>
        <w:jc w:val="both"/>
      </w:pPr>
      <w:r>
        <w:rPr>
          <w:rFonts w:ascii="Times New Roman" w:hAnsi="Times New Roman" w:eastAsia="宋体"/>
          <w:b w:val="0"/>
          <w:color w:val="000000"/>
          <w:sz w:val="24"/>
        </w:rPr>
        <w:t>团队也将持续把人工反馈转化为结构化的改进信号：事实错误、规则不通过、信息缺失、表达不合规、业务时机不适配和数据不完整应分别记录。只有区分这些原因，平台才能判断应更新知识、规则、工具、模型还是流程，并在不牺牲责任边界的前提下逐步提升建议的适配性。</w:t>
      </w:r>
    </w:p>
    <w:p>
      <w:r>
        <w:br w:type="page"/>
      </w:r>
    </w:p>
    <w:p>
      <w:pPr>
        <w:pStyle w:val="Heading1"/>
        <w:keepNext/>
        <w:spacing w:before="300" w:after="140" w:line="300" w:lineRule="auto"/>
        <w:ind w:firstLine="0"/>
        <w:jc w:val="left"/>
      </w:pPr>
      <w:r>
        <w:rPr>
          <w:rFonts w:ascii="Times New Roman" w:hAnsi="Times New Roman" w:eastAsia="黑体"/>
          <w:b/>
          <w:color w:val="000000"/>
          <w:sz w:val="32"/>
        </w:rPr>
        <w:t>4  参考资料</w:t>
      </w:r>
    </w:p>
    <w:p>
      <w:pPr>
        <w:keepNext w:val="0"/>
        <w:spacing w:before="0" w:after="80" w:line="300" w:lineRule="auto"/>
        <w:ind w:firstLine="0"/>
        <w:jc w:val="left"/>
      </w:pPr>
      <w:r>
        <w:rPr>
          <w:rFonts w:ascii="Times New Roman" w:hAnsi="Times New Roman" w:eastAsia="宋体"/>
          <w:b w:val="0"/>
          <w:color w:val="000000"/>
          <w:sz w:val="21"/>
        </w:rPr>
        <w:t>[1] 《第八届中国研究生人工智能创新大赛初赛作品提交规范》。</w:t>
      </w:r>
    </w:p>
    <w:p>
      <w:pPr>
        <w:keepNext w:val="0"/>
        <w:spacing w:before="0" w:after="80" w:line="300" w:lineRule="auto"/>
        <w:ind w:firstLine="0"/>
        <w:jc w:val="left"/>
      </w:pPr>
      <w:r>
        <w:rPr>
          <w:rFonts w:ascii="Times New Roman" w:hAnsi="Times New Roman" w:eastAsia="宋体"/>
          <w:b w:val="0"/>
          <w:color w:val="000000"/>
          <w:sz w:val="21"/>
        </w:rPr>
        <w:t>[2] 《第八届中国研究生人工智能创新大赛项目文档模板》。</w:t>
      </w:r>
    </w:p>
    <w:p>
      <w:pPr>
        <w:keepNext w:val="0"/>
        <w:spacing w:before="0" w:after="80" w:line="300" w:lineRule="auto"/>
        <w:ind w:firstLine="0"/>
        <w:jc w:val="left"/>
      </w:pPr>
      <w:r>
        <w:rPr>
          <w:rFonts w:ascii="Times New Roman" w:hAnsi="Times New Roman" w:eastAsia="宋体"/>
          <w:b w:val="0"/>
          <w:color w:val="000000"/>
          <w:sz w:val="21"/>
        </w:rPr>
        <w:t>[3] 《东方航空智能营销平台》项目 README 与工程说明，项目仓库，v2.7。</w:t>
      </w:r>
    </w:p>
    <w:p>
      <w:pPr>
        <w:keepNext w:val="0"/>
        <w:spacing w:before="0" w:after="80" w:line="300" w:lineRule="auto"/>
        <w:ind w:firstLine="0"/>
        <w:jc w:val="left"/>
      </w:pPr>
      <w:r>
        <w:rPr>
          <w:rFonts w:ascii="Times New Roman" w:hAnsi="Times New Roman" w:eastAsia="宋体"/>
          <w:b w:val="0"/>
          <w:color w:val="000000"/>
          <w:sz w:val="21"/>
        </w:rPr>
        <w:t>[4] 《东方航空智能营销平台数据处理与 AI 营销全流程说明 v1.0》。</w:t>
      </w:r>
    </w:p>
    <w:p>
      <w:pPr>
        <w:keepNext w:val="0"/>
        <w:spacing w:before="0" w:after="80" w:line="300" w:lineRule="auto"/>
        <w:ind w:firstLine="0"/>
        <w:jc w:val="left"/>
      </w:pPr>
      <w:r>
        <w:rPr>
          <w:rFonts w:ascii="Times New Roman" w:hAnsi="Times New Roman" w:eastAsia="宋体"/>
          <w:b w:val="0"/>
          <w:color w:val="000000"/>
          <w:sz w:val="21"/>
        </w:rPr>
        <w:t>[5] 《航司营销业务本体 v1.1》。</w:t>
      </w:r>
    </w:p>
    <w:p>
      <w:pPr>
        <w:keepNext w:val="0"/>
        <w:spacing w:before="0" w:after="80" w:line="300" w:lineRule="auto"/>
        <w:ind w:firstLine="0"/>
        <w:jc w:val="left"/>
      </w:pPr>
      <w:r>
        <w:rPr>
          <w:rFonts w:ascii="Times New Roman" w:hAnsi="Times New Roman" w:eastAsia="宋体"/>
          <w:b w:val="0"/>
          <w:color w:val="000000"/>
          <w:sz w:val="21"/>
        </w:rPr>
        <w:t>[6] 《市场热点智能体与本体处理方案 v1.0》。</w:t>
      </w:r>
    </w:p>
    <w:p>
      <w:pPr>
        <w:keepNext w:val="0"/>
        <w:spacing w:before="0" w:after="80" w:line="300" w:lineRule="auto"/>
        <w:ind w:firstLine="0"/>
        <w:jc w:val="left"/>
      </w:pPr>
      <w:r>
        <w:rPr>
          <w:rFonts w:ascii="Times New Roman" w:hAnsi="Times New Roman" w:eastAsia="宋体"/>
          <w:b w:val="0"/>
          <w:color w:val="000000"/>
          <w:sz w:val="21"/>
        </w:rPr>
        <w:t>[7] 《AI 智能体功能与鲁棒性测试报告 v1.0》。</w:t>
      </w:r>
    </w:p>
    <w:p>
      <w:pPr>
        <w:keepNext w:val="0"/>
        <w:spacing w:before="0" w:after="80" w:line="300" w:lineRule="auto"/>
        <w:ind w:firstLine="0"/>
        <w:jc w:val="left"/>
      </w:pPr>
      <w:r>
        <w:rPr>
          <w:rFonts w:ascii="Times New Roman" w:hAnsi="Times New Roman" w:eastAsia="宋体"/>
          <w:b w:val="0"/>
          <w:color w:val="000000"/>
          <w:sz w:val="21"/>
        </w:rPr>
        <w:t>[8] services/platform-api/app/ontology/semantic_model.py，航司营销本体语义模型实现。</w:t>
      </w:r>
    </w:p>
    <w:p>
      <w:pPr>
        <w:keepNext w:val="0"/>
        <w:spacing w:before="0" w:after="80" w:line="300" w:lineRule="auto"/>
        <w:ind w:firstLine="0"/>
        <w:jc w:val="left"/>
      </w:pPr>
      <w:r>
        <w:rPr>
          <w:rFonts w:ascii="Times New Roman" w:hAnsi="Times New Roman" w:eastAsia="宋体"/>
          <w:b w:val="0"/>
          <w:color w:val="000000"/>
          <w:sz w:val="21"/>
        </w:rPr>
        <w:t>[9] services/platform-api/app/agents/harness.py，统一智能体 Harness 实现。</w:t>
      </w:r>
    </w:p>
    <w:p>
      <w:pPr>
        <w:keepNext w:val="0"/>
        <w:spacing w:before="0" w:after="80" w:line="300" w:lineRule="auto"/>
        <w:ind w:firstLine="0"/>
        <w:jc w:val="left"/>
      </w:pPr>
      <w:r>
        <w:rPr>
          <w:rFonts w:ascii="Times New Roman" w:hAnsi="Times New Roman" w:eastAsia="宋体"/>
          <w:b w:val="0"/>
          <w:color w:val="000000"/>
          <w:sz w:val="21"/>
        </w:rPr>
        <w:t>[10] services/platform-api/app/llm.py 及 tests/test_llm_robustness.py，模型调用、重试和安全验证实现。</w:t>
      </w:r>
    </w:p>
    <w:p>
      <w:pPr>
        <w:keepNext w:val="0"/>
        <w:spacing w:before="0" w:after="80" w:line="300" w:lineRule="auto"/>
        <w:ind w:firstLine="0"/>
        <w:jc w:val="left"/>
      </w:pPr>
      <w:r>
        <w:rPr>
          <w:rFonts w:ascii="Times New Roman" w:hAnsi="Times New Roman" w:eastAsia="宋体"/>
          <w:b w:val="0"/>
          <w:color w:val="000000"/>
          <w:sz w:val="21"/>
        </w:rPr>
        <w:t>[11] GitHub：PLiO-LIN/CeairMarketing，项目主分支代码与提交记录。</w:t>
      </w:r>
    </w:p>
    <w:p>
      <w:pPr>
        <w:pStyle w:val="Heading1"/>
        <w:keepNext/>
        <w:spacing w:before="300" w:after="140" w:line="300" w:lineRule="auto"/>
        <w:ind w:firstLine="0"/>
        <w:jc w:val="left"/>
      </w:pPr>
      <w:r>
        <w:rPr>
          <w:rFonts w:ascii="Times New Roman" w:hAnsi="Times New Roman" w:eastAsia="黑体"/>
          <w:b/>
          <w:color w:val="000000"/>
          <w:sz w:val="32"/>
        </w:rPr>
        <w:t>附录 A  创新点深度论证</w:t>
      </w:r>
    </w:p>
    <w:p>
      <w:pPr>
        <w:keepNext w:val="0"/>
        <w:spacing w:before="0" w:after="120" w:line="360" w:lineRule="auto"/>
        <w:ind w:firstLine="420"/>
        <w:jc w:val="both"/>
      </w:pPr>
      <w:r>
        <w:rPr>
          <w:rFonts w:ascii="Times New Roman" w:hAnsi="Times New Roman" w:eastAsia="宋体"/>
          <w:b w:val="0"/>
          <w:color w:val="000000"/>
          <w:sz w:val="24"/>
        </w:rPr>
        <w:t>本附录把项目创新点从口号拆解为可被评审、代码、运行记录和后续验收逐项检查的机制。每一项均说明所解决的问题、实现路径、区别于常见方案之处，以及当前原型与生产验证之间的边界。</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A.1  创新一：把营销本体从标签目录升级为决策语义层</w:t>
      </w:r>
    </w:p>
    <w:p>
      <w:pPr>
        <w:keepNext w:val="0"/>
        <w:spacing w:before="0" w:after="40" w:line="317" w:lineRule="auto"/>
        <w:ind w:firstLine="420"/>
        <w:jc w:val="both"/>
      </w:pPr>
      <w:r>
        <w:rPr>
          <w:rFonts w:ascii="Times New Roman" w:hAnsi="Times New Roman" w:eastAsia="宋体"/>
          <w:b w:val="0"/>
          <w:color w:val="000000"/>
          <w:sz w:val="22"/>
        </w:rPr>
        <w:t>航空营销中的信息并非天然能够直接拼接。航线经营指标、节假日热点、客群标签、产品规则、渠道表现和审批意见分别来自不同来源，且具有不同的权威性、时间窗与更新节奏。若只把这些材料切分成文本片段交给模型，模型可以写出看似合理的建议，却难以回答“这个判断具体依赖哪条航线观测、适用于哪个产品规则、何时会失效、由谁确认”。因此，本项目把对象、关系、证据、状态与有效期作为同一语义层的最小单元。</w:t>
      </w:r>
    </w:p>
    <w:p>
      <w:pPr>
        <w:keepNext w:val="0"/>
        <w:spacing w:before="0" w:after="40" w:line="317" w:lineRule="auto"/>
        <w:ind w:firstLine="420"/>
        <w:jc w:val="both"/>
      </w:pPr>
      <w:r>
        <w:rPr>
          <w:rFonts w:ascii="Times New Roman" w:hAnsi="Times New Roman" w:eastAsia="宋体"/>
          <w:b w:val="0"/>
          <w:color w:val="000000"/>
          <w:sz w:val="22"/>
        </w:rPr>
        <w:t>平台本体以 Opportunity、AudienceSnapshot、ProductPackage、Campaign、Feedback、Review 等对象串联经营信号到活动复盘的主线，并以 Evidence、BusinessRule、HumanDecision 等对象记录事实依据和决策责任。对象关系不是为了绘制漂亮的知识图谱，而是为了约束智能域的输入输出：机会必须有市场或经营证据；客群必须有授权与有效期；产品必须能说明资格、库存、价格或权益边界；复盘必须能定位到活动版本和反馈批次。</w:t>
      </w:r>
    </w:p>
    <w:p>
      <w:pPr>
        <w:keepNext w:val="0"/>
        <w:spacing w:before="0" w:after="40" w:line="317" w:lineRule="auto"/>
        <w:ind w:firstLine="420"/>
        <w:jc w:val="both"/>
      </w:pPr>
      <w:r>
        <w:rPr>
          <w:rFonts w:ascii="Times New Roman" w:hAnsi="Times New Roman" w:eastAsia="宋体"/>
          <w:b w:val="0"/>
          <w:color w:val="000000"/>
          <w:sz w:val="22"/>
        </w:rPr>
        <w:t>与普通 RAG 相比，本体层的关键差异在于可以表达“关系是否成立”和“事实当前是否可用”。检索片段只说明某段文字可能相关；本体关系还要求端点类型合法、来源可定位、置信度和状态可检查。系统因此能够把过期、冲突、待确认或已拒绝的信息排除在可执行上下文之外，并把不能结构化的内容保留为参考知识，而不是强行写入正式业务事实。</w:t>
      </w:r>
    </w:p>
    <w:p>
      <w:pPr>
        <w:keepNext w:val="0"/>
        <w:spacing w:before="0" w:after="40" w:line="317" w:lineRule="auto"/>
        <w:ind w:firstLine="420"/>
        <w:jc w:val="both"/>
      </w:pPr>
      <w:r>
        <w:rPr>
          <w:rFonts w:ascii="Times New Roman" w:hAnsi="Times New Roman" w:eastAsia="宋体"/>
          <w:b w:val="0"/>
          <w:color w:val="000000"/>
          <w:sz w:val="22"/>
        </w:rPr>
        <w:t>工程上，语义模型、关系端点校验、知识片段、本体对象和候选审核均在项目后端实现。数据处理智能体先生成候选对象和关系，随后经过对象类型、稳定标识、证据定位、关系端点、置信度与人工确认门禁。这样的设计把“模型是否识别到一个词”转化为“该对象是否具有进入下一业务环节的资格”，使营销建议具备可审查的上下文基础。</w:t>
      </w:r>
    </w:p>
    <w:p>
      <w:pPr>
        <w:keepNext w:val="0"/>
        <w:spacing w:before="0" w:after="40" w:line="317" w:lineRule="auto"/>
        <w:ind w:firstLine="420"/>
        <w:jc w:val="both"/>
      </w:pPr>
      <w:r>
        <w:rPr>
          <w:rFonts w:ascii="Times New Roman" w:hAnsi="Times New Roman" w:eastAsia="宋体"/>
          <w:b w:val="0"/>
          <w:color w:val="000000"/>
          <w:sz w:val="22"/>
        </w:rPr>
        <w:t>本项创新的验证边界也需要清楚区分：当前原型已经具备本体契约、对象关系存储、候选准入和人工确认路径；尚未证明的是在所有真实东航主数据源下的全量覆盖率。正式生产阶段应由产品、航班、画像和渠道权威系统持续提供版本化数据，并通过来源优先级、冲突仲裁和撤销机制维护本体的长期可信度。</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检查维度</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本体机制</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区别于片段检索</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事实可定位</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对象和关系绑定来源、证据、时间窗与版本。</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不仅引用文本，还能追溯业务对象链。</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关系可校验</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关系端点和类型受语义模型约束。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不把共现词直接解释为业务关系。</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状态可治理</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候选、确认、过期、冲突和拒绝分别存储。</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过期或待审信息不会直接支撑动作。</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本体不是替代上游主数据的第二套主系统，而是把授权数据组织为可解释营销决策上下文的语义服务。</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A.2  创新二：证据、状态与版本共同组成可使用的业务事实</w:t>
      </w:r>
    </w:p>
    <w:p>
      <w:pPr>
        <w:keepNext w:val="0"/>
        <w:spacing w:before="0" w:after="40" w:line="317" w:lineRule="auto"/>
        <w:ind w:firstLine="420"/>
        <w:jc w:val="both"/>
      </w:pPr>
      <w:r>
        <w:rPr>
          <w:rFonts w:ascii="Times New Roman" w:hAnsi="Times New Roman" w:eastAsia="宋体"/>
          <w:b w:val="0"/>
          <w:color w:val="000000"/>
          <w:sz w:val="22"/>
        </w:rPr>
        <w:t>营销规则中最容易被忽略的不是缺少字段，而是事实的适用状态。例如一项价格、权益、库存或客群授权信息可能曾经正确，却已过期；一条热点信息可能真实存在，却与当前航线无稳定关系；一份活动草案可能已提交审批，却不代表其中所有内容均可对外承诺。若只在数据库中记录一个值，或只让模型阅读一段描述，就无法在后续推理中区分这些状态。</w:t>
      </w:r>
    </w:p>
    <w:p>
      <w:pPr>
        <w:keepNext w:val="0"/>
        <w:spacing w:before="0" w:after="40" w:line="317" w:lineRule="auto"/>
        <w:ind w:firstLine="420"/>
        <w:jc w:val="both"/>
      </w:pPr>
      <w:r>
        <w:rPr>
          <w:rFonts w:ascii="Times New Roman" w:hAnsi="Times New Roman" w:eastAsia="宋体"/>
          <w:b w:val="0"/>
          <w:color w:val="000000"/>
          <w:sz w:val="22"/>
        </w:rPr>
        <w:t>本项目把证据、状态与版本作为对象生命周期的一部分。进入知识库的原始资料保留来源和解析记录；进入本体的候选对象带有证据、置信度与候选状态；经人工确认后才成为正式对象；对象还可以具有生效、过期、冲突、撤销等状态。活动提交时，系统冻结客群规模、产品包、预算、渠道和目标等版本快照，使审批对象与后续执行对象保持可比。</w:t>
      </w:r>
    </w:p>
    <w:p>
      <w:pPr>
        <w:keepNext w:val="0"/>
        <w:spacing w:before="0" w:after="40" w:line="317" w:lineRule="auto"/>
        <w:ind w:firstLine="420"/>
        <w:jc w:val="both"/>
      </w:pPr>
      <w:r>
        <w:rPr>
          <w:rFonts w:ascii="Times New Roman" w:hAnsi="Times New Roman" w:eastAsia="宋体"/>
          <w:b w:val="0"/>
          <w:color w:val="000000"/>
          <w:sz w:val="22"/>
        </w:rPr>
        <w:t>这一机制在业务上解决了两类常见偏差。第一类是“时间漂移”：模型不能用旧版本的产品规则解释当前活动，也不能把不同时段的经营观测混为一个趋势。第二类是“责任漂移”：审批通过的是明确版本，而不是一个可在审批后任意改写的页面。系统通过版本化对象和 business_action_events 保存何人于何时基于何种信息作出决定，为复盘和争议处理提供可回放的上下文。</w:t>
      </w:r>
    </w:p>
    <w:p>
      <w:pPr>
        <w:keepNext w:val="0"/>
        <w:spacing w:before="0" w:after="40" w:line="317" w:lineRule="auto"/>
        <w:ind w:firstLine="420"/>
        <w:jc w:val="both"/>
      </w:pPr>
      <w:r>
        <w:rPr>
          <w:rFonts w:ascii="Times New Roman" w:hAnsi="Times New Roman" w:eastAsia="宋体"/>
          <w:b w:val="0"/>
          <w:color w:val="000000"/>
          <w:sz w:val="22"/>
        </w:rPr>
        <w:t>在推理运行中，Harness 应只加载当前租户、当前角色有权访问且处于可用状态的上下文。若发现来源冲突、有效期不足、库存未核验或权限不满足，模型输出必须表现为风险或待确认项，而非补写一个确定答案。这样，模型生成的语言表达被降级为候选解释，确定性状态仍由规则服务、版本对象和人工决定。</w:t>
      </w:r>
    </w:p>
    <w:p>
      <w:pPr>
        <w:keepNext w:val="0"/>
        <w:spacing w:before="0" w:after="40" w:line="317" w:lineRule="auto"/>
        <w:ind w:firstLine="420"/>
        <w:jc w:val="both"/>
      </w:pPr>
      <w:r>
        <w:rPr>
          <w:rFonts w:ascii="Times New Roman" w:hAnsi="Times New Roman" w:eastAsia="宋体"/>
          <w:b w:val="0"/>
          <w:color w:val="000000"/>
          <w:sz w:val="22"/>
        </w:rPr>
        <w:t>当前版本已实现活动版本冻结、三段审批、批次、反馈、复盘和审计对象；本体对象的完整冲突仲裁、批量回滚与跨系统版本协同仍需持续建设。竞赛材料中的原型状态旨在说明机制可运行，而不宣称已经完成东航所有权威系统的版本统一。</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把版本和状态前置后，系统可以解释“建议为什么现在不能执行”，这比只给出一段“请人工确认”的提示更可操作。</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A.3  创新三：统一 Harness 将模型调用变为可观测的运行对象</w:t>
      </w:r>
    </w:p>
    <w:p>
      <w:pPr>
        <w:keepNext w:val="0"/>
        <w:spacing w:before="0" w:after="40" w:line="317" w:lineRule="auto"/>
        <w:ind w:firstLine="420"/>
        <w:jc w:val="both"/>
      </w:pPr>
      <w:r>
        <w:rPr>
          <w:rFonts w:ascii="Times New Roman" w:hAnsi="Times New Roman" w:eastAsia="宋体"/>
          <w:b w:val="0"/>
          <w:color w:val="000000"/>
          <w:sz w:val="22"/>
        </w:rPr>
        <w:t>许多业务 AI 原型把模型调用直接嵌在页面事件中：用户输入问题，前端请求模型，页面展示一段回答。这样做实现很快，但无法统一处理权限、上下文、工具、失败、成本和审计；更严重的是，不同页面会逐渐形成各自的 Prompt、重试和错误逻辑，难以回答一次建议究竟由哪个模型、哪些数据、哪些工具和哪些约束共同形成。</w:t>
      </w:r>
    </w:p>
    <w:p>
      <w:pPr>
        <w:keepNext w:val="0"/>
        <w:spacing w:before="0" w:after="40" w:line="317" w:lineRule="auto"/>
        <w:ind w:firstLine="420"/>
        <w:jc w:val="both"/>
      </w:pPr>
      <w:r>
        <w:rPr>
          <w:rFonts w:ascii="Times New Roman" w:hAnsi="Times New Roman" w:eastAsia="宋体"/>
          <w:b w:val="0"/>
          <w:color w:val="000000"/>
          <w:sz w:val="22"/>
        </w:rPr>
        <w:t>本项目以统一 Harness 承担 AI Inference 的运行管理。它在一次运行开始时校验当前身份、租户、角色、输入边界和模型提供者；随后加载授权知识片段、本体对象、活动状态和工具白名单；在模型与工具交互过程中记录模型名称、Token、耗时、工具输入输出摘要和异常；最后对响应结构、事实边界、权限和人工门禁进行校验。每个阶段都能形成可查询的 AgentRun 和事件轨迹。</w:t>
      </w:r>
    </w:p>
    <w:p>
      <w:pPr>
        <w:keepNext w:val="0"/>
        <w:spacing w:before="0" w:after="40" w:line="317" w:lineRule="auto"/>
        <w:ind w:firstLine="420"/>
        <w:jc w:val="both"/>
      </w:pPr>
      <w:r>
        <w:rPr>
          <w:rFonts w:ascii="Times New Roman" w:hAnsi="Times New Roman" w:eastAsia="宋体"/>
          <w:b w:val="0"/>
          <w:color w:val="000000"/>
          <w:sz w:val="22"/>
        </w:rPr>
        <w:t>Harness 的价值不在于增加一层抽象，而在于明确模型与业务系统的责任边界。模型适合归纳、抽取、解释和提出候选方案；确定性工具适合资格、频控、库存、状态机和指标计算；规则服务适合拒绝不可执行的请求；人工决策适合批准预算、权益承诺、对外发布和归因结论。Harness 将这些能力编排在同一事件链中，避免模型文本绕过业务约束。</w:t>
      </w:r>
    </w:p>
    <w:p>
      <w:pPr>
        <w:keepNext w:val="0"/>
        <w:spacing w:before="0" w:after="40" w:line="317" w:lineRule="auto"/>
        <w:ind w:firstLine="420"/>
        <w:jc w:val="both"/>
      </w:pPr>
      <w:r>
        <w:rPr>
          <w:rFonts w:ascii="Times New Roman" w:hAnsi="Times New Roman" w:eastAsia="宋体"/>
          <w:b w:val="0"/>
          <w:color w:val="000000"/>
          <w:sz w:val="22"/>
        </w:rPr>
        <w:t>系统已对 OpenAI 兼容模型调用、流式响应、重试、Token 统计、工具调用、运行事件和异常脱敏建立实现基础。稳健性报告覆盖瞬时服务错误、异常响应、输入边界、未知或未启用提供者、跨租户访问和敏感信息泄露等情况。17 项自动化稳健性测试全部通过，说明关键客户端与治理路径存在回归验证，并不替代真实生产并发和容量验证。</w:t>
      </w:r>
    </w:p>
    <w:p>
      <w:pPr>
        <w:keepNext w:val="0"/>
        <w:spacing w:before="0" w:after="40" w:line="317" w:lineRule="auto"/>
        <w:ind w:firstLine="420"/>
        <w:jc w:val="both"/>
      </w:pPr>
      <w:r>
        <w:rPr>
          <w:rFonts w:ascii="Times New Roman" w:hAnsi="Times New Roman" w:eastAsia="宋体"/>
          <w:b w:val="0"/>
          <w:color w:val="000000"/>
          <w:sz w:val="22"/>
        </w:rPr>
        <w:t>在后续建设中，Harness 还应扩展持久化队列、异步 Worker、调用预算、熔断、统一观测和告警能力。其验收不应只看模型输出是否流畅，而要看故障是否可诊断、规则失败是否可解释、人工是否能接管，以及每次运行能否在不泄露无关数据的前提下被复核。</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运行阶段</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Harness 责任</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输出证据</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进入</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身份、租户、角色、输入和提供者校验。</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拒绝原因或运行标识。</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推理</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加载上下文、调用模型与白名单工具。</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版本、Token、耗时、工具轨迹。</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结束</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结构、事实、规则和人工门禁校验。</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最终状态、风险、降级或回退记录。</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统一 Harness 不是对所有智能域施加同一业务判断，而是让每个智能域在统一的安全、可观测和审计框架下运行。</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A.4  创新四：把人工确认设计为持久化决策数据而不是人工兜底</w:t>
      </w:r>
    </w:p>
    <w:p>
      <w:pPr>
        <w:keepNext w:val="0"/>
        <w:spacing w:before="0" w:after="40" w:line="317" w:lineRule="auto"/>
        <w:ind w:firstLine="420"/>
        <w:jc w:val="both"/>
      </w:pPr>
      <w:r>
        <w:rPr>
          <w:rFonts w:ascii="Times New Roman" w:hAnsi="Times New Roman" w:eastAsia="宋体"/>
          <w:b w:val="0"/>
          <w:color w:val="000000"/>
          <w:sz w:val="22"/>
        </w:rPr>
        <w:t>航空营销的关键风险并不来自“模型写错一句话”本身，而来自未经确认的建议被误解为正式承诺、被直接触达客户或被写回业务规则。常见的人工兜底方式是在页面末尾增加一个确认按钮，但按钮若没有版本、角色、理由、状态与后续影响的记录，就无法回答谁确认了什么、确认时看到了哪些事实、若规则变化应如何追溯。</w:t>
      </w:r>
    </w:p>
    <w:p>
      <w:pPr>
        <w:keepNext w:val="0"/>
        <w:spacing w:before="0" w:after="40" w:line="317" w:lineRule="auto"/>
        <w:ind w:firstLine="420"/>
        <w:jc w:val="both"/>
      </w:pPr>
      <w:r>
        <w:rPr>
          <w:rFonts w:ascii="Times New Roman" w:hAnsi="Times New Roman" w:eastAsia="宋体"/>
          <w:b w:val="0"/>
          <w:color w:val="000000"/>
          <w:sz w:val="22"/>
        </w:rPr>
        <w:t>项目将人工确认建模为 HumanDecision、ApprovalTask、ApprovalDecision 与 business_action_events 等对象。活动在提交时冻结配置，产品、营销、合规三个节点分别形成待处理任务；每次通过、退回或修改意见都与操作者、时间、活动版本和状态变化关联。只有满足全部审批条件的活动才能创建执行批次，且反馈和复盘又受批次状态与数据完整性的约束。</w:t>
      </w:r>
    </w:p>
    <w:p>
      <w:pPr>
        <w:keepNext w:val="0"/>
        <w:spacing w:before="0" w:after="40" w:line="317" w:lineRule="auto"/>
        <w:ind w:firstLine="420"/>
        <w:jc w:val="both"/>
      </w:pPr>
      <w:r>
        <w:rPr>
          <w:rFonts w:ascii="Times New Roman" w:hAnsi="Times New Roman" w:eastAsia="宋体"/>
          <w:b w:val="0"/>
          <w:color w:val="000000"/>
          <w:sz w:val="22"/>
        </w:rPr>
        <w:t>这使人机协同从一句“模型给建议、人来确认”落为业务对象链。模型可以提出机会、产品、内容和复盘候选；人工并非只在最后点击同意，而是在不同风险点承担不同的知识责任：产品人员确认权益与可售性，营销人员确认目标与策略，合规人员确认触达边界与高影响内容。系统因此能记录采纳、修改、驳回和原因，形成后续评测与策略学习的监督信号。</w:t>
      </w:r>
    </w:p>
    <w:p>
      <w:pPr>
        <w:keepNext w:val="0"/>
        <w:spacing w:before="0" w:after="40" w:line="317" w:lineRule="auto"/>
        <w:ind w:firstLine="420"/>
        <w:jc w:val="both"/>
      </w:pPr>
      <w:r>
        <w:rPr>
          <w:rFonts w:ascii="Times New Roman" w:hAnsi="Times New Roman" w:eastAsia="宋体"/>
          <w:b w:val="0"/>
          <w:color w:val="000000"/>
          <w:sz w:val="22"/>
        </w:rPr>
        <w:t>人工决策数据还改善了模型评测的可解释性。若一个输出被修改，系统可区分它是事实缺失、规则不通过、表达不合规、客群不适配还是业务时机不合适；这种分类比单一“满意/不满意”更能指导 Prompt、工具、规则和模型路由的改进。它也使平台可以识别哪些任务长期需要人工、哪些低风险任务可在更严格阈值下逐步自动化。</w:t>
      </w:r>
    </w:p>
    <w:p>
      <w:pPr>
        <w:keepNext w:val="0"/>
        <w:spacing w:before="0" w:after="40" w:line="317" w:lineRule="auto"/>
        <w:ind w:firstLine="420"/>
        <w:jc w:val="both"/>
      </w:pPr>
      <w:r>
        <w:rPr>
          <w:rFonts w:ascii="Times New Roman" w:hAnsi="Times New Roman" w:eastAsia="宋体"/>
          <w:b w:val="0"/>
          <w:color w:val="000000"/>
          <w:sz w:val="22"/>
        </w:rPr>
        <w:t>必须强调，当前原型的审批链用于比赛演示和本地闭环验证，不替代东航正式 OA、预算和组织授权体系。生产化时应将角色映射、委托、超时、异常升级、电子留痕和回调规则与企业流程协同，而不应把本地界面的审批按钮误表述为已经获得正式运营授权。</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人是系统中的责任主体，人工确认记录是可训练、可复盘、可审计的业务数据，而不是模型失败后的临时补丁。</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A.5  创新五：任务级双模型路由坚持同条件、可回退</w:t>
      </w:r>
    </w:p>
    <w:p>
      <w:pPr>
        <w:keepNext w:val="0"/>
        <w:spacing w:before="0" w:after="40" w:line="317" w:lineRule="auto"/>
        <w:ind w:firstLine="420"/>
        <w:jc w:val="both"/>
      </w:pPr>
      <w:r>
        <w:rPr>
          <w:rFonts w:ascii="Times New Roman" w:hAnsi="Times New Roman" w:eastAsia="宋体"/>
          <w:b w:val="0"/>
          <w:color w:val="000000"/>
          <w:sz w:val="22"/>
        </w:rPr>
        <w:t>在业务场景讨论云端与本地模型时，容易陷入“谁更先进”或“谁部署在本地”这样的抽象比较。对营销平台而言，真正的问题是某类任务能否在相同权限、相同上下文、相同工具、相同输出结构和相同人工门禁下稳定完成。如果这些条件不一致，模型比较就无法说明是模型能力差异，还是输入、工具或风险控制不同造成了结果差异。</w:t>
      </w:r>
    </w:p>
    <w:p>
      <w:pPr>
        <w:keepNext w:val="0"/>
        <w:spacing w:before="0" w:after="40" w:line="317" w:lineRule="auto"/>
        <w:ind w:firstLine="420"/>
        <w:jc w:val="both"/>
      </w:pPr>
      <w:r>
        <w:rPr>
          <w:rFonts w:ascii="Times New Roman" w:hAnsi="Times New Roman" w:eastAsia="宋体"/>
          <w:b w:val="0"/>
          <w:color w:val="000000"/>
          <w:sz w:val="22"/>
        </w:rPr>
        <w:t>平台当前可通过 OpenAI 兼容服务使用 qwen3.7-flash 完成端到端模型调用，并为团队基于 Qwen 的本地自研模型预留内置测试入口。V1.7 提出以任务为单位的路由机制：对象抽取、主题分类、结构化生成、机会解释、产品匹配、内容候选和复盘建议分别定义输入对象、工具白名单、输出 Schema、质量指标与人工审核规则；任何模型都不得因部署位置获得额外数据或执行权限。</w:t>
      </w:r>
    </w:p>
    <w:p>
      <w:pPr>
        <w:keepNext w:val="0"/>
        <w:spacing w:before="0" w:after="40" w:line="317" w:lineRule="auto"/>
        <w:ind w:firstLine="420"/>
        <w:jc w:val="both"/>
      </w:pPr>
      <w:r>
        <w:rPr>
          <w:rFonts w:ascii="Times New Roman" w:hAnsi="Times New Roman" w:eastAsia="宋体"/>
          <w:b w:val="0"/>
          <w:color w:val="000000"/>
          <w:sz w:val="22"/>
        </w:rPr>
        <w:t>路由评价同时覆盖结构与事实、效率与成本、人工可用性和安全治理。结构合法率、来源引用完整率、关系端点正确性和规则通过率决定输出能否进入人工审核；时延、Token、重试和失败率反映工程可用性；人工修改量、采纳率和审核耗时反映业务价值；越权、敏感信息、提示注入和回退成功率则决定能否扩大任务范围。每个维度都应在统一任务集和相同口径下记录。</w:t>
      </w:r>
    </w:p>
    <w:p>
      <w:pPr>
        <w:keepNext w:val="0"/>
        <w:spacing w:before="0" w:after="40" w:line="317" w:lineRule="auto"/>
        <w:ind w:firstLine="420"/>
        <w:jc w:val="both"/>
      </w:pPr>
      <w:r>
        <w:rPr>
          <w:rFonts w:ascii="Times New Roman" w:hAnsi="Times New Roman" w:eastAsia="宋体"/>
          <w:b w:val="0"/>
          <w:color w:val="000000"/>
          <w:sz w:val="22"/>
        </w:rPr>
        <w:t>这种渐进路径避免了两种极端：一是因为单次演示成功就宣布全面替代云端服务；二是因为某些复杂任务仍需云端能力，就放弃本地模型在结构化、可控任务上的价值。对于达到阈值的任务，可逐步提高内置模型承担比例；质量波动、工具失败、规则不通过或服务异常时，应记录原因并按策略回退到主用链路或人工处理。</w:t>
      </w:r>
    </w:p>
    <w:p>
      <w:pPr>
        <w:keepNext w:val="0"/>
        <w:spacing w:before="0" w:after="40" w:line="317" w:lineRule="auto"/>
        <w:ind w:firstLine="420"/>
        <w:jc w:val="both"/>
      </w:pPr>
      <w:r>
        <w:rPr>
          <w:rFonts w:ascii="Times New Roman" w:hAnsi="Times New Roman" w:eastAsia="宋体"/>
          <w:b w:val="0"/>
          <w:color w:val="000000"/>
          <w:sz w:val="22"/>
        </w:rPr>
        <w:t>本文不将 OpenAI 兼容模型服务等同于调用某个百炼 Agent 的私有工作流、知识库或工具。若未来需要调用智能体应用本身，应以官方 Agent API、明确的接口契约和独立适配器验证为依据。双模型策略的结论必须建立在可复现的任务记录上，而非产品名称或宣传措辞。</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比较维度</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任务级观测</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路由判断</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事实与结构</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Schema、引用、端点、业务规则通过情况。</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是否进入人工审核。</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效率</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时延、Token、重试、失败和资源占用。</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是否满足同类任务服务目标。</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人工可用性</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修改量、采纳率、驳回原因和审核耗时。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是否降低运营负担。</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安全</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越权、泄露、注入和回退成功情况。</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是否允许扩大承担范围。</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路由单元是任务而不是模型名称；模型可以替换，业务约束、审计记录与人工门禁不能被替换。</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A.6  创新六：把营销闭环建成状态可控、可回放的对象链</w:t>
      </w:r>
    </w:p>
    <w:p>
      <w:pPr>
        <w:keepNext w:val="0"/>
        <w:spacing w:before="0" w:after="40" w:line="317" w:lineRule="auto"/>
        <w:ind w:firstLine="420"/>
        <w:jc w:val="both"/>
      </w:pPr>
      <w:r>
        <w:rPr>
          <w:rFonts w:ascii="Times New Roman" w:hAnsi="Times New Roman" w:eastAsia="宋体"/>
          <w:b w:val="0"/>
          <w:color w:val="000000"/>
          <w:sz w:val="22"/>
        </w:rPr>
        <w:t>许多营销系统可以分别展示机会清单、客群标签、产品页、文案页和数据看板，却无法说明一次实际活动从何而来、由谁批准、投向何处、哪些结果属于该活动、下一轮应该改什么。项目将这些环节连接为活动对象链：机会提供证据与时间窗，客群快照提供可触达范围，产品包提供资格与事实，内容资产提供渠道表达，活动版本承接审批，执行批次承接投放边界，反馈和复盘承接结果与学习。</w:t>
      </w:r>
    </w:p>
    <w:p>
      <w:pPr>
        <w:keepNext w:val="0"/>
        <w:spacing w:before="0" w:after="40" w:line="317" w:lineRule="auto"/>
        <w:ind w:firstLine="420"/>
        <w:jc w:val="both"/>
      </w:pPr>
      <w:r>
        <w:rPr>
          <w:rFonts w:ascii="Times New Roman" w:hAnsi="Times New Roman" w:eastAsia="宋体"/>
          <w:b w:val="0"/>
          <w:color w:val="000000"/>
          <w:sz w:val="22"/>
        </w:rPr>
        <w:t>V1.6 已将这一主线实现为可持久化的纵向切片。活动由草稿进入提交审批，依次经过产品、营销和合规确认；批准后创建执行批次，批次只有在待执行状态才能启动；运行中或暂停的批次才能导入反馈；无反馈数据时不允许生成复盘。每个状态转换都写入 business_action_events，以避免页面上的自然语言描述被误认为已经发生的业务动作。</w:t>
      </w:r>
    </w:p>
    <w:p>
      <w:pPr>
        <w:keepNext w:val="0"/>
        <w:spacing w:before="0" w:after="40" w:line="317" w:lineRule="auto"/>
        <w:ind w:firstLine="420"/>
        <w:jc w:val="both"/>
      </w:pPr>
      <w:r>
        <w:rPr>
          <w:rFonts w:ascii="Times New Roman" w:hAnsi="Times New Roman" w:eastAsia="宋体"/>
          <w:b w:val="0"/>
          <w:color w:val="000000"/>
          <w:sz w:val="22"/>
        </w:rPr>
        <w:t>闭环的创新性不在于多增加几个页面，而在于使每个后续判断拥有可追溯的前置条件。例如，复盘不能只关联一个活动名称，而应关联当时冻结的客群规模、产品包、渠道、内容版本、批次和指标口径；当活动被退回时，系统应能定位退回的是哪个版本、原因是什么、哪些对象需要重新确认。这种关系为经营解释、故障诊断、问责和模型评测提供统一载体。</w:t>
      </w:r>
    </w:p>
    <w:p>
      <w:pPr>
        <w:keepNext w:val="0"/>
        <w:spacing w:before="0" w:after="40" w:line="317" w:lineRule="auto"/>
        <w:ind w:firstLine="420"/>
        <w:jc w:val="both"/>
      </w:pPr>
      <w:r>
        <w:rPr>
          <w:rFonts w:ascii="Times New Roman" w:hAnsi="Times New Roman" w:eastAsia="宋体"/>
          <w:b w:val="0"/>
          <w:color w:val="000000"/>
          <w:sz w:val="22"/>
        </w:rPr>
        <w:t>活动反馈中，送达、点击、出票、收入、基准收入和成本被分别保存。增量收入按实际收入减基准收入计算；ROI 按增量收入除以营销成本计算；成本缺失或为零时，系统必须返回待补充，而非制造表面精确的数值。这一规则说明平台不把“页面上有一个收入数”直接解释为活动产生的真实商业回报。</w:t>
      </w:r>
    </w:p>
    <w:p>
      <w:pPr>
        <w:keepNext w:val="0"/>
        <w:spacing w:before="0" w:after="40" w:line="317" w:lineRule="auto"/>
        <w:ind w:firstLine="420"/>
        <w:jc w:val="both"/>
      </w:pPr>
      <w:r>
        <w:rPr>
          <w:rFonts w:ascii="Times New Roman" w:hAnsi="Times New Roman" w:eastAsia="宋体"/>
          <w:b w:val="0"/>
          <w:color w:val="000000"/>
          <w:sz w:val="22"/>
        </w:rPr>
        <w:t>当前闭环使用受控模拟或授权导入反馈，尚未完成东航正式渠道、交易、辅营和财务系统的实时对接。它已经证明活动版本、审批、批次、反馈、复盘和审计可以作为统一对象链运行；但真实增量评估仍需要稳定的渠道回传、统一归因口径、对照设计和业务授权作为前提。</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闭环的验收不以“页面能跳转”为标准，而以每一步能否找到前置状态、责任对象、证据和后续可回放记录为标准。</w:t>
      </w:r>
    </w:p>
    <w:p>
      <w:r>
        <w:br w:type="page"/>
      </w:r>
    </w:p>
    <w:p>
      <w:pPr>
        <w:pStyle w:val="Heading1"/>
        <w:keepNext/>
        <w:spacing w:before="300" w:after="140" w:line="300" w:lineRule="auto"/>
        <w:ind w:firstLine="0"/>
        <w:jc w:val="left"/>
      </w:pPr>
      <w:r>
        <w:rPr>
          <w:rFonts w:ascii="Times New Roman" w:hAnsi="Times New Roman" w:eastAsia="黑体"/>
          <w:b/>
          <w:color w:val="000000"/>
          <w:sz w:val="32"/>
        </w:rPr>
        <w:t>附录 B  典型场景与评测实施</w:t>
      </w:r>
    </w:p>
    <w:p>
      <w:pPr>
        <w:keepNext w:val="0"/>
        <w:spacing w:before="0" w:after="100" w:line="360" w:lineRule="auto"/>
        <w:ind w:firstLine="420"/>
        <w:jc w:val="both"/>
      </w:pPr>
      <w:r>
        <w:rPr>
          <w:rFonts w:ascii="Times New Roman" w:hAnsi="Times New Roman" w:eastAsia="宋体"/>
          <w:b w:val="0"/>
          <w:color w:val="000000"/>
          <w:sz w:val="24"/>
        </w:rPr>
        <w:t>以下场景以“上海—三亚国庆早鸟”作为受控演练主线，用于说明对象链、规则门禁和复盘口径如何协同运行。场景中的活动、反馈和指标仅用于原型验证，不代表任何真实经营结论。</w:t>
      </w:r>
    </w:p>
    <w:p>
      <w:pPr>
        <w:keepNext w:val="0"/>
        <w:spacing w:before="0" w:after="80" w:line="317" w:lineRule="auto"/>
        <w:ind w:firstLine="420"/>
        <w:jc w:val="both"/>
      </w:pPr>
      <w:r>
        <w:rPr>
          <w:rFonts w:ascii="Times New Roman" w:hAnsi="Times New Roman" w:eastAsia="宋体"/>
          <w:b w:val="0"/>
          <w:color w:val="000000"/>
          <w:sz w:val="22"/>
        </w:rPr>
        <w:t>场景从可追溯的市场与经营信号出发，而不是先假设某个营销主题必然成立。机会、客群、产品、内容、活动、审批、执行和复盘在每一步都以对象、关系、状态和责任边界连接；若前置证据不足、规则冲突或授权不满足，流程应停在待确认状态，而不是由模型补写一个看似完整的答案。</w:t>
      </w:r>
    </w:p>
    <w:p>
      <w:pPr>
        <w:keepNext w:val="0"/>
        <w:spacing w:before="0" w:after="80" w:line="317" w:lineRule="auto"/>
        <w:ind w:firstLine="420"/>
        <w:jc w:val="both"/>
      </w:pPr>
      <w:r>
        <w:rPr>
          <w:rFonts w:ascii="Times New Roman" w:hAnsi="Times New Roman" w:eastAsia="宋体"/>
          <w:b w:val="0"/>
          <w:color w:val="000000"/>
          <w:sz w:val="22"/>
        </w:rPr>
        <w:t>演练的目的不是模拟真实收入，而是验证系统能否让同一份活动配置在提交、审批、执行和反馈之后仍保持可定位的版本与口径。评审可以据此检查模型输出如何进入业务链、人工何时承担确认责任、哪些结果可被回放，以及为什么原型反馈不能替代真实渠道与交易归因。</w:t>
      </w:r>
    </w:p>
    <w:p>
      <w:pPr>
        <w:keepNext w:val="0"/>
        <w:spacing w:before="0" w:after="0" w:line="317" w:lineRule="auto"/>
        <w:ind w:firstLine="420"/>
        <w:jc w:val="both"/>
      </w:pPr>
      <w:r>
        <w:rPr>
          <w:rFonts w:ascii="Times New Roman" w:hAnsi="Times New Roman" w:eastAsia="宋体"/>
          <w:b w:val="0"/>
          <w:color w:val="000000"/>
          <w:sz w:val="22"/>
        </w:rPr>
        <w:t>每个场景模块均给出关键输入、系统处理、不可绕过的门禁与结论边界。这样的组织使项目展示从“讲一个营销故事”转化为“验证一条受控业务链”，也为后续接入真实数据和渠道时的验收设计保留了稳定接口。</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B.1  场景一：上海—三亚早鸟机会的证据组织</w:t>
      </w:r>
    </w:p>
    <w:p>
      <w:pPr>
        <w:keepNext w:val="0"/>
        <w:spacing w:before="0" w:after="40" w:line="317" w:lineRule="auto"/>
        <w:ind w:firstLine="420"/>
        <w:jc w:val="both"/>
      </w:pPr>
      <w:r>
        <w:rPr>
          <w:rFonts w:ascii="Times New Roman" w:hAnsi="Times New Roman" w:eastAsia="宋体"/>
          <w:b w:val="0"/>
          <w:color w:val="000000"/>
          <w:sz w:val="22"/>
        </w:rPr>
        <w:t>本场景用于演示平台如何把一个看似简单的“国庆三亚促销”想法转化为可核验的机会候选。起点不是模型自行设定营销主题，而是市场热点、搜索或目的地热度、航线供给、客座率观测、预售窗口和可销售产品信息的组合。每一类输入都需要带有来源、观察时间、适用航线和状态，防止把不同周期或无关市场信号拼接为一个确定结论。</w:t>
      </w:r>
    </w:p>
    <w:p>
      <w:pPr>
        <w:keepNext w:val="0"/>
        <w:spacing w:before="0" w:after="40" w:line="317" w:lineRule="auto"/>
        <w:ind w:firstLine="420"/>
        <w:jc w:val="both"/>
      </w:pPr>
      <w:r>
        <w:rPr>
          <w:rFonts w:ascii="Times New Roman" w:hAnsi="Times New Roman" w:eastAsia="宋体"/>
          <w:b w:val="0"/>
          <w:color w:val="000000"/>
          <w:sz w:val="22"/>
        </w:rPr>
        <w:t>机会洞察智能域先检索已确认或处于可用状态的 MarketSignal、Route、Flight 和 MetricObservation，形成 Opportunity 候选。输出应分成已知事实、解释假设、推荐方向和待确认事项：例如可以说明在某一预售窗口内存在需要关注的供给与需求组合，但不能因“目的地热度上升”就直接断言活动一定会提升收入，也不能把未核验的库存、价格或航班状态写成已确认事实。</w:t>
      </w:r>
    </w:p>
    <w:p>
      <w:pPr>
        <w:keepNext w:val="0"/>
        <w:spacing w:before="0" w:after="40" w:line="317" w:lineRule="auto"/>
        <w:ind w:firstLine="420"/>
        <w:jc w:val="both"/>
      </w:pPr>
      <w:r>
        <w:rPr>
          <w:rFonts w:ascii="Times New Roman" w:hAnsi="Times New Roman" w:eastAsia="宋体"/>
          <w:b w:val="0"/>
          <w:color w:val="000000"/>
          <w:sz w:val="22"/>
        </w:rPr>
        <w:t>为了让建议可被业务人员判断，机会对象应包含市场范围、关联航线或航班、时间窗、证据来源、目标问题、潜在客群与产品方向。系统还应呈现数据缺口，例如航班运行数据是否滞后、热度来源是否可追溯、经营指标是否使用同一统计口径。模型在这里的作用是组织证据和提出候选解释，不是替代收益、产品或营销人员做最终经营判断。</w:t>
      </w:r>
    </w:p>
    <w:p>
      <w:pPr>
        <w:keepNext w:val="0"/>
        <w:spacing w:before="0" w:after="40" w:line="317" w:lineRule="auto"/>
        <w:ind w:firstLine="420"/>
        <w:jc w:val="both"/>
      </w:pPr>
      <w:r>
        <w:rPr>
          <w:rFonts w:ascii="Times New Roman" w:hAnsi="Times New Roman" w:eastAsia="宋体"/>
          <w:b w:val="0"/>
          <w:color w:val="000000"/>
          <w:sz w:val="22"/>
        </w:rPr>
        <w:t>若机会得到人工确认，后续客群、产品和活动对象将以该 Opportunity 为上游关联；若证据不足或来源冲突，则保留为知识参考或进入驳回状态。这样，页面上出现的“机会”并非一条无来源的模型文案，而是具有明确状态和后续责任的业务对象。该设计也使复盘时可以回看当初的信号与假设是否被后续反馈支持。</w:t>
      </w:r>
    </w:p>
    <w:p>
      <w:pPr>
        <w:keepNext w:val="0"/>
        <w:spacing w:before="0" w:after="40" w:line="317" w:lineRule="auto"/>
        <w:ind w:firstLine="420"/>
        <w:jc w:val="both"/>
      </w:pPr>
      <w:r>
        <w:rPr>
          <w:rFonts w:ascii="Times New Roman" w:hAnsi="Times New Roman" w:eastAsia="宋体"/>
          <w:b w:val="0"/>
          <w:color w:val="000000"/>
          <w:sz w:val="22"/>
        </w:rPr>
        <w:t>本场景的低流量端到端观察曾完成模型、Harness、工具和综合回答的连通性验证，记录到 HTTP 200、约 950 字符回答、5 次模型调用、4 次结构化决策解析和 4 次工具调用，总耗时 44.32 秒。该记录只能说明一次受控工程链路可运行，并暴露复杂编排存在时延优化空间；它不是航线投放、收入增长或高并发性能的证据。</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输入类型</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在机会判断中的作用</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必须核验的条件</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市场信号</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说明目的地或出行需求变化。</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来源、发布时间、相关性与有效期。</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经营观测</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说明航线在特定窗口的供给或表现。</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统计口径、时间窗、航线/航班关联。</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产品信息</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给出可评估的产品方向。</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库存、资格、价格和权益是否有效。</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示例中的数据和活动均为原型场景；竞赛材料不将其表述为真实东航经营结果。</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B.2  场景二：聚合客群快照如何防止目标漂移</w:t>
      </w:r>
    </w:p>
    <w:p>
      <w:pPr>
        <w:keepNext w:val="0"/>
        <w:spacing w:before="0" w:after="40" w:line="317" w:lineRule="auto"/>
        <w:ind w:firstLine="420"/>
        <w:jc w:val="both"/>
      </w:pPr>
      <w:r>
        <w:rPr>
          <w:rFonts w:ascii="Times New Roman" w:hAnsi="Times New Roman" w:eastAsia="宋体"/>
          <w:b w:val="0"/>
          <w:color w:val="000000"/>
          <w:sz w:val="22"/>
        </w:rPr>
        <w:t>当机会进入策划阶段，最容易发生的偏差是把“可能感兴趣的人”直接等同于“现在可以触达的具体人”。平台因此以 AudienceSnapshot 承接客群决策，而不是让模型输出一串个人化名单。快照表达的是筛选条件、聚合规模、授权范围、保护名单、频控、生成时间、有效期和确认状态，既保留营销语义，也限制营销工作台对不必要旅客明细的暴露。</w:t>
      </w:r>
    </w:p>
    <w:p>
      <w:pPr>
        <w:keepNext w:val="0"/>
        <w:spacing w:before="0" w:after="40" w:line="317" w:lineRule="auto"/>
        <w:ind w:firstLine="420"/>
        <w:jc w:val="both"/>
      </w:pPr>
      <w:r>
        <w:rPr>
          <w:rFonts w:ascii="Times New Roman" w:hAnsi="Times New Roman" w:eastAsia="宋体"/>
          <w:b w:val="0"/>
          <w:color w:val="000000"/>
          <w:sz w:val="22"/>
        </w:rPr>
        <w:t>在早鸟场景中，客群洞察智能域可以结合近期搜索但未出票、目的地偏好、会员阶段、家庭出行特征或价格敏感度等授权标签提出候选条件。系统随后应检查是否存在营销授权、是否位于保护名单、近期是否已被同类活动触达、快照规模是否处于可运营范围，以及规则和标签在活动周期内是否有效。模型应解释筛选为何与机会相关，但不应绕过这些确定性检查。</w:t>
      </w:r>
    </w:p>
    <w:p>
      <w:pPr>
        <w:keepNext w:val="0"/>
        <w:spacing w:before="0" w:after="40" w:line="317" w:lineRule="auto"/>
        <w:ind w:firstLine="420"/>
        <w:jc w:val="both"/>
      </w:pPr>
      <w:r>
        <w:rPr>
          <w:rFonts w:ascii="Times New Roman" w:hAnsi="Times New Roman" w:eastAsia="宋体"/>
          <w:b w:val="0"/>
          <w:color w:val="000000"/>
          <w:sz w:val="22"/>
        </w:rPr>
        <w:t>活动提交审批时，系统冻结该快照的规模、规则和版本，防止审批人员确认的是一个 10 万人的目标，执行时却变成另一个条件组合。若业务需要调整客群，就应形成新的活动版本并重新走相应审批，而非在原版本上静默修改。版本冻结让后续反馈、投诉、退订和复盘能够回到当时实际采用的客群口径。</w:t>
      </w:r>
    </w:p>
    <w:p>
      <w:pPr>
        <w:keepNext w:val="0"/>
        <w:spacing w:before="0" w:after="40" w:line="317" w:lineRule="auto"/>
        <w:ind w:firstLine="420"/>
        <w:jc w:val="both"/>
      </w:pPr>
      <w:r>
        <w:rPr>
          <w:rFonts w:ascii="Times New Roman" w:hAnsi="Times New Roman" w:eastAsia="宋体"/>
          <w:b w:val="0"/>
          <w:color w:val="000000"/>
          <w:sz w:val="22"/>
        </w:rPr>
        <w:t>从隐私与治理角度看，营销平台应优先接收聚合画像、标签解释和可触达范围，而不是把上游用户画像系统的全部个人字段复制进本地。即便将来需要细粒度执行，也应通过受控渠道和最小权限服务完成，而不在 AI 上下文中暴露超出当前任务所需的信息。跨租户和跨角色的数据访问必须由服务端校验，而不能仅依赖前端隐藏按钮。</w:t>
      </w:r>
    </w:p>
    <w:p>
      <w:pPr>
        <w:keepNext w:val="0"/>
        <w:spacing w:before="0" w:after="40" w:line="317" w:lineRule="auto"/>
        <w:ind w:firstLine="420"/>
        <w:jc w:val="both"/>
      </w:pPr>
      <w:r>
        <w:rPr>
          <w:rFonts w:ascii="Times New Roman" w:hAnsi="Times New Roman" w:eastAsia="宋体"/>
          <w:b w:val="0"/>
          <w:color w:val="000000"/>
          <w:sz w:val="22"/>
        </w:rPr>
        <w:t>本场景的成果边界是明确的：项目已实现租户隔离、活动版本和闭环对象，并对输入、提供者和跨租户访问设置测试；真实画像接口、组织授权和保护名单规则仍需在东航授权环境中对接。评审时应关注平台是否能解释客群形成、冻结和排除机制，而不是要求在比赛演示中展示旅客级数据。</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快照的价值是让客群同时具备营销语义、权限边界和可复盘版本，避免把模型的“相似推荐”误当成已批准的投放范围。</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B.3  场景三：产品包匹配从文案灵感变成规则校验</w:t>
      </w:r>
    </w:p>
    <w:p>
      <w:pPr>
        <w:keepNext w:val="0"/>
        <w:spacing w:before="0" w:after="40" w:line="317" w:lineRule="auto"/>
        <w:ind w:firstLine="420"/>
        <w:jc w:val="both"/>
      </w:pPr>
      <w:r>
        <w:rPr>
          <w:rFonts w:ascii="Times New Roman" w:hAnsi="Times New Roman" w:eastAsia="宋体"/>
          <w:b w:val="0"/>
          <w:color w:val="000000"/>
          <w:sz w:val="22"/>
        </w:rPr>
        <w:t>航空营销的产品不是一个抽象名称。早鸟机票、行李、优选座位、贵宾室、卡券、保险或空铁联运服务都可能具有适用航线、航班、日期、舱位、会员资格、库存、价格、权益与退改限制。若模型只根据“家庭出行”生成一个吸引人的产品组合，却没有核验这些条件，就可能在后续内容中形成无法履行的承诺。</w:t>
      </w:r>
    </w:p>
    <w:p>
      <w:pPr>
        <w:keepNext w:val="0"/>
        <w:spacing w:before="0" w:after="40" w:line="317" w:lineRule="auto"/>
        <w:ind w:firstLine="420"/>
        <w:jc w:val="both"/>
      </w:pPr>
      <w:r>
        <w:rPr>
          <w:rFonts w:ascii="Times New Roman" w:hAnsi="Times New Roman" w:eastAsia="宋体"/>
          <w:b w:val="0"/>
          <w:color w:val="000000"/>
          <w:sz w:val="22"/>
        </w:rPr>
        <w:t>项目把 Product、ProductPackage、Fare、AncillaryProduct、BusinessRule 与 ValueProposition 组织为可检查对象。产品匹配智能域先读取当前可用的航班、舱位、运价、产品标签与规则，再根据 Opportunity 和 AudienceSnapshot 提出主推方案、替代方案及不可用原因。输出的重点不只是“推荐什么”，还包括“适用于谁、为何可用、何时失效、若不可用应如何降级”。</w:t>
      </w:r>
    </w:p>
    <w:p>
      <w:pPr>
        <w:keepNext w:val="0"/>
        <w:spacing w:before="0" w:after="40" w:line="317" w:lineRule="auto"/>
        <w:ind w:firstLine="420"/>
        <w:jc w:val="both"/>
      </w:pPr>
      <w:r>
        <w:rPr>
          <w:rFonts w:ascii="Times New Roman" w:hAnsi="Times New Roman" w:eastAsia="宋体"/>
          <w:b w:val="0"/>
          <w:color w:val="000000"/>
          <w:sz w:val="22"/>
        </w:rPr>
        <w:t>以三亚早鸟为例，系统可以把早鸟客票、预付费行李、优选座位和目的地权益作为候选方向，但每项对外承诺都必须回到权威产品事实。若库存未确认、价格快照滞后、权益仅对特定会员有效或航段不满足条件，模型只能说明存在待核验事项，不能使用营销语言把候选写成已生效产品。内容生成智能域也只能引用已经审核通过的产品事实。</w:t>
      </w:r>
    </w:p>
    <w:p>
      <w:pPr>
        <w:keepNext w:val="0"/>
        <w:spacing w:before="0" w:after="40" w:line="317" w:lineRule="auto"/>
        <w:ind w:firstLine="420"/>
        <w:jc w:val="both"/>
      </w:pPr>
      <w:r>
        <w:rPr>
          <w:rFonts w:ascii="Times New Roman" w:hAnsi="Times New Roman" w:eastAsia="宋体"/>
          <w:b w:val="0"/>
          <w:color w:val="000000"/>
          <w:sz w:val="22"/>
        </w:rPr>
        <w:t>数据管道方面，平台为航班、航段、舱位、运价、产品标签、产品组、产品和辅营产品设计了标准化对象与关系。参考采集快照可用于验证数据结构和演示，但生产环境应优先采用授权的产品、航班、收益和库存接口。网页采集数据即使可用，也应保留批次、来源、有效时间和人工审核，不应长期替代权威主数据。</w:t>
      </w:r>
    </w:p>
    <w:p>
      <w:pPr>
        <w:keepNext w:val="0"/>
        <w:spacing w:before="0" w:after="40" w:line="317" w:lineRule="auto"/>
        <w:ind w:firstLine="420"/>
        <w:jc w:val="both"/>
      </w:pPr>
      <w:r>
        <w:rPr>
          <w:rFonts w:ascii="Times New Roman" w:hAnsi="Times New Roman" w:eastAsia="宋体"/>
          <w:b w:val="0"/>
          <w:color w:val="000000"/>
          <w:sz w:val="22"/>
        </w:rPr>
        <w:t>该场景说明系统的创新点不在于让模型“想出更多组合”，而在于让组合可以在业务规则、权威事实和人工审核下被解释、被否决或被替代。未来验收应重点检查产品同步时效、规则冲突、库存变化、失败回退和内容再校验，而非仅验证页面是否展示了推荐卡片。</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校验维度</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系统对象与工具</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错误防范</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适用性</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航线、航班、舱位、会员与日期规则。</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把局部权益泛化给所有客群。</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可售性</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库存、价格、有效期与渠道状态。</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用过期快照承诺当前价格。</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替代性</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主推不可用时返回规则允许的备选。</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把备选方案伪装为原始承诺。</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当前原型可表达产品与规则关系；真实价格、库存和权益仍以东航权威系统为准。</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B.4  场景四：内容生成的事实、渠道与审批三重约束</w:t>
      </w:r>
    </w:p>
    <w:p>
      <w:pPr>
        <w:keepNext w:val="0"/>
        <w:spacing w:before="0" w:after="40" w:line="317" w:lineRule="auto"/>
        <w:ind w:firstLine="420"/>
        <w:jc w:val="both"/>
      </w:pPr>
      <w:r>
        <w:rPr>
          <w:rFonts w:ascii="Times New Roman" w:hAnsi="Times New Roman" w:eastAsia="宋体"/>
          <w:b w:val="0"/>
          <w:color w:val="000000"/>
          <w:sz w:val="22"/>
        </w:rPr>
        <w:t>内容生成在营销工作流中常被误解为最后一步的文案润色。实际上，一条短信、App 卡片或微信内容同时包含产品事实、客群称呼、时效、渠道长度、触达时段、频控、品牌表达和合规风险。若内容页面与机会、客群、产品和审批对象脱节，即使文案流畅，也无法证明它是否基于真实可售产品、是否适合当前受众、是否已经取得发布许可。</w:t>
      </w:r>
    </w:p>
    <w:p>
      <w:pPr>
        <w:keepNext w:val="0"/>
        <w:spacing w:before="0" w:after="40" w:line="317" w:lineRule="auto"/>
        <w:ind w:firstLine="420"/>
        <w:jc w:val="both"/>
      </w:pPr>
      <w:r>
        <w:rPr>
          <w:rFonts w:ascii="Times New Roman" w:hAnsi="Times New Roman" w:eastAsia="宋体"/>
          <w:b w:val="0"/>
          <w:color w:val="000000"/>
          <w:sz w:val="22"/>
        </w:rPr>
        <w:t>本项目要求 ContentAsset 与活动版本、产品事实、渠道规格和审核状态关联。内容生成智能域读取已确认的价值主张、产品包、客群快照和渠道规则，输出不同渠道的候选版本与风险提示。它必须区分事实、营销表达和待确认项：可以基于已审核权益调整语气和长度，但不能自行补充价格、库存、服务保障或会员资格等未被证据支持的细节。</w:t>
      </w:r>
    </w:p>
    <w:p>
      <w:pPr>
        <w:keepNext w:val="0"/>
        <w:spacing w:before="0" w:after="40" w:line="317" w:lineRule="auto"/>
        <w:ind w:firstLine="420"/>
        <w:jc w:val="both"/>
      </w:pPr>
      <w:r>
        <w:rPr>
          <w:rFonts w:ascii="Times New Roman" w:hAnsi="Times New Roman" w:eastAsia="宋体"/>
          <w:b w:val="0"/>
          <w:color w:val="000000"/>
          <w:sz w:val="22"/>
        </w:rPr>
        <w:t>渠道适配由规则工具而非语言直觉承担。短信可检查长度与敏感词，App 可检查结构与链接位，触点计划可检查发送窗口与频控，产品事实校验可检查权益表述。工具无法确认的事项，例如品牌调性、重大舆情环境或特定监管要求，应显式进入人工审核。模型标记风险只是帮助审核，不构成合规通过或已完成发布。</w:t>
      </w:r>
    </w:p>
    <w:p>
      <w:pPr>
        <w:keepNext w:val="0"/>
        <w:spacing w:before="0" w:after="40" w:line="317" w:lineRule="auto"/>
        <w:ind w:firstLine="420"/>
        <w:jc w:val="both"/>
      </w:pPr>
      <w:r>
        <w:rPr>
          <w:rFonts w:ascii="Times New Roman" w:hAnsi="Times New Roman" w:eastAsia="宋体"/>
          <w:b w:val="0"/>
          <w:color w:val="000000"/>
          <w:sz w:val="22"/>
        </w:rPr>
        <w:t>当活动提交审批后，内容版本与活动版本的关联避免了“审批的是 A，发送的是 B”。若营销人员修改关键权益、客群、渠道或目标，就应重新形成版本和审批任务；执行批次只引用通过门禁的版本。这样既可以在复盘时比较不同内容版本，也可以在投诉或规则变更时追溯具体表达的来源与批准状态。</w:t>
      </w:r>
    </w:p>
    <w:p>
      <w:pPr>
        <w:keepNext w:val="0"/>
        <w:spacing w:before="0" w:after="40" w:line="317" w:lineRule="auto"/>
        <w:ind w:firstLine="420"/>
        <w:jc w:val="both"/>
      </w:pPr>
      <w:r>
        <w:rPr>
          <w:rFonts w:ascii="Times New Roman" w:hAnsi="Times New Roman" w:eastAsia="宋体"/>
          <w:b w:val="0"/>
          <w:color w:val="000000"/>
          <w:sz w:val="22"/>
        </w:rPr>
        <w:t>当前平台支持候选内容、事实约束、审批链和活动闭环的原型演示；真实外部触达、短信签名、模板报备、渠道审核和发布回滚需要在授权环境中接入。竞赛展示应呈现内容为何可生成、何时不可发布、谁负责确认，而非把一个生成结果包装为已向真实客户发送。</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内容智能域的成功标准是降低事实核对和多渠道改写的负担，同时始终把发布决定留在规则和人工审批链中。</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B.5  场景五：版本冻结、三段审批与执行批次的协同</w:t>
      </w:r>
    </w:p>
    <w:p>
      <w:pPr>
        <w:keepNext w:val="0"/>
        <w:spacing w:before="0" w:after="40" w:line="317" w:lineRule="auto"/>
        <w:ind w:firstLine="420"/>
        <w:jc w:val="both"/>
      </w:pPr>
      <w:r>
        <w:rPr>
          <w:rFonts w:ascii="Times New Roman" w:hAnsi="Times New Roman" w:eastAsia="宋体"/>
          <w:b w:val="0"/>
          <w:color w:val="000000"/>
          <w:sz w:val="22"/>
        </w:rPr>
        <w:t>活动从草稿到执行不是一个“点击发布”的单步动作。业务人员需要确认客群口径、产品权益、预算目标、渠道计划、频控、内容事实与合规边界，并且这些确认通常由不同岗位完成。若系统只保存当前页面状态，就难以避免配置被审批后修改、责任边界模糊或错误操作无法回放。V1.6 的活动闭环以版本和状态机解决这一纵向协同问题。</w:t>
      </w:r>
    </w:p>
    <w:p>
      <w:pPr>
        <w:keepNext w:val="0"/>
        <w:spacing w:before="0" w:after="40" w:line="317" w:lineRule="auto"/>
        <w:ind w:firstLine="420"/>
        <w:jc w:val="both"/>
      </w:pPr>
      <w:r>
        <w:rPr>
          <w:rFonts w:ascii="Times New Roman" w:hAnsi="Times New Roman" w:eastAsia="宋体"/>
          <w:b w:val="0"/>
          <w:color w:val="000000"/>
          <w:sz w:val="22"/>
        </w:rPr>
        <w:t>创建活动时，平台保存名称、负责人、目标、产品、预算与其他主数据；提交审批时，系统生成 campaign_versions 快照，并创建产品、营销、合规三个 ApprovalTask。产品节点关注权益、库存和资格，营销节点关注目标、策略和资源，合规节点关注触达边界与高影响内容。任何节点退回，活动回到修改状态；全部通过后才可进入待执行状态。</w:t>
      </w:r>
    </w:p>
    <w:p>
      <w:pPr>
        <w:keepNext w:val="0"/>
        <w:spacing w:before="0" w:after="40" w:line="317" w:lineRule="auto"/>
        <w:ind w:firstLine="420"/>
        <w:jc w:val="both"/>
      </w:pPr>
      <w:r>
        <w:rPr>
          <w:rFonts w:ascii="Times New Roman" w:hAnsi="Times New Roman" w:eastAsia="宋体"/>
          <w:b w:val="0"/>
          <w:color w:val="000000"/>
          <w:sz w:val="22"/>
        </w:rPr>
        <w:t>执行阶段由 ExecutionBatch 承接而非由模型文本触发。批次保存渠道摘要、目标规模、状态、启动与完成时间；只有满足前置状态的批次可启动，只有运行中或暂停的批次可导入反馈。服务端状态机拒绝非法转换，使前端即使出现错误按钮或重复请求，也不能绕过业务顺序。每次操作同时写入审计事件，便于按活动查看完整时间线。</w:t>
      </w:r>
    </w:p>
    <w:p>
      <w:pPr>
        <w:keepNext w:val="0"/>
        <w:spacing w:before="0" w:after="40" w:line="317" w:lineRule="auto"/>
        <w:ind w:firstLine="420"/>
        <w:jc w:val="both"/>
      </w:pPr>
      <w:r>
        <w:rPr>
          <w:rFonts w:ascii="Times New Roman" w:hAnsi="Times New Roman" w:eastAsia="宋体"/>
          <w:b w:val="0"/>
          <w:color w:val="000000"/>
          <w:sz w:val="22"/>
        </w:rPr>
        <w:t>这样的流程可以为后续真实接口对接提供稳定的中间契约。OA 审批可映射到 ApprovalTask 与 Decision，渠道回调可映射到 ExecutionBatch 与 Feedback，预算或产品系统可提供门禁结果。它并不要求平台替代上游系统，而是要求外部系统返回的结果能够以版本、状态、责任和幂等标识挂接到同一营销活动对象上。</w:t>
      </w:r>
    </w:p>
    <w:p>
      <w:pPr>
        <w:keepNext w:val="0"/>
        <w:spacing w:before="0" w:after="40" w:line="317" w:lineRule="auto"/>
        <w:ind w:firstLine="420"/>
        <w:jc w:val="both"/>
      </w:pPr>
      <w:r>
        <w:rPr>
          <w:rFonts w:ascii="Times New Roman" w:hAnsi="Times New Roman" w:eastAsia="宋体"/>
          <w:b w:val="0"/>
          <w:color w:val="000000"/>
          <w:sz w:val="22"/>
        </w:rPr>
        <w:t>当前三段审批是原型中可运行的控制流程，不能被表述为已经接入正式 OA 或自动控制真实营销预算。生产化验收需要覆盖组织岗位映射、代理审批、超时升级、撤销、并发修改、回调幂等、审计留存和异常处置。竞赛演示的价值在于展示这些边界如何被模型和页面之外的服务端规则真正约束。</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动作</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持久化对象</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状态控制</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提交审批</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CampaignVersion、ApprovalTask。</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冻结配置并进入待产品确认。</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审批决定</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ApprovalDecision、审计事件。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依次推进或退回修改。</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启动投放</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ExecutionBatch。</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仅批准活动且批次待执行时允许。</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导入反馈</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FeedbackMetric、Review。</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运行中/暂停批次且有数据后才能复盘。</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版本、审批、批次和反馈被分开存储，保证活动的计划、决定、执行和结果不会在一个模糊状态中混淆。</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B.6  场景六：反馈、归因与复盘的边界化表达</w:t>
      </w:r>
    </w:p>
    <w:p>
      <w:pPr>
        <w:keepNext w:val="0"/>
        <w:spacing w:before="0" w:after="40" w:line="317" w:lineRule="auto"/>
        <w:ind w:firstLine="420"/>
        <w:jc w:val="both"/>
      </w:pPr>
      <w:r>
        <w:rPr>
          <w:rFonts w:ascii="Times New Roman" w:hAnsi="Times New Roman" w:eastAsia="宋体"/>
          <w:b w:val="0"/>
          <w:color w:val="000000"/>
          <w:sz w:val="22"/>
        </w:rPr>
        <w:t>营销复盘最容易出现的误导是把某活动期间产生的总收入、点击或出票简单归功于模型建议。真实效果至少需要明确目标人群、触达范围、渠道回执、交易匹配、时间窗、成本、基准或对照口径，并处理退订、履约、优惠券核销、辅营购买和投诉等后续事件。缺少这些条件时，系统可以展示过程数据，却不能声称已经获得可归因的经营增量。</w:t>
      </w:r>
    </w:p>
    <w:p>
      <w:pPr>
        <w:keepNext w:val="0"/>
        <w:spacing w:before="0" w:after="40" w:line="317" w:lineRule="auto"/>
        <w:ind w:firstLine="420"/>
        <w:jc w:val="both"/>
      </w:pPr>
      <w:r>
        <w:rPr>
          <w:rFonts w:ascii="Times New Roman" w:hAnsi="Times New Roman" w:eastAsia="宋体"/>
          <w:b w:val="0"/>
          <w:color w:val="000000"/>
          <w:sz w:val="22"/>
        </w:rPr>
        <w:t>平台在 FeedbackMetric 中分别保存送达、点击、出票、收入、基准收入和成本，并由 CampaignReview 汇总结果与下一轮建议。点击率按点击数除以送达数，出票转化率按出票数除以送达数，增量收入按实际收入减基准收入，ROI 按增量收入除以营销成本。成本为零或未导入时，ROI 必须返回空值与“待补充成本”状态，禁止用收入成本比替代增量 ROI。</w:t>
      </w:r>
    </w:p>
    <w:p>
      <w:pPr>
        <w:keepNext w:val="0"/>
        <w:spacing w:before="0" w:after="40" w:line="317" w:lineRule="auto"/>
        <w:ind w:firstLine="420"/>
        <w:jc w:val="both"/>
      </w:pPr>
      <w:r>
        <w:rPr>
          <w:rFonts w:ascii="Times New Roman" w:hAnsi="Times New Roman" w:eastAsia="宋体"/>
          <w:b w:val="0"/>
          <w:color w:val="000000"/>
          <w:sz w:val="22"/>
        </w:rPr>
        <w:t>归因对象的作用是把结果关联回活动版本、客群、产品包、内容和渠道，而不是宣称模型输出天然造成购买。对照组、历史基准、因果模型或业务确认的基准口径都可以成为后续增量评估方案，但其选择需要在活动开始前明确并记录。系统还应保存数据完整性、延迟回传和口径变更信息，避免复盘人员把尚未齐全的渠道数据解读为真实漏斗。</w:t>
      </w:r>
    </w:p>
    <w:p>
      <w:pPr>
        <w:keepNext w:val="0"/>
        <w:spacing w:before="0" w:after="40" w:line="317" w:lineRule="auto"/>
        <w:ind w:firstLine="420"/>
        <w:jc w:val="both"/>
      </w:pPr>
      <w:r>
        <w:rPr>
          <w:rFonts w:ascii="Times New Roman" w:hAnsi="Times New Roman" w:eastAsia="宋体"/>
          <w:b w:val="0"/>
          <w:color w:val="000000"/>
          <w:sz w:val="22"/>
        </w:rPr>
        <w:t>效果分析智能域在此处可以协助发现异常、组织漏斗、解释可能影响因素和提出下一轮实验建议。例如它可以提示某渠道送达低、某客群点击高但出票低、某产品组合存在资格失败等，但这些都是需业务人员验证的分析线索。模型不应在没有稳定反馈或因果证据的情况下生成“提高了多少收入”这样的确定结论。</w:t>
      </w:r>
    </w:p>
    <w:p>
      <w:pPr>
        <w:keepNext w:val="0"/>
        <w:spacing w:before="0" w:after="40" w:line="317" w:lineRule="auto"/>
        <w:ind w:firstLine="420"/>
        <w:jc w:val="both"/>
      </w:pPr>
      <w:r>
        <w:rPr>
          <w:rFonts w:ascii="Times New Roman" w:hAnsi="Times New Roman" w:eastAsia="宋体"/>
          <w:b w:val="0"/>
          <w:color w:val="000000"/>
          <w:sz w:val="22"/>
        </w:rPr>
        <w:t>当前版本证明了反馈对象、指标公式、复盘生成条件和审计路径可以在本地闭环中运行。未来需要与官方渠道、交易、产品、履约和财务数据建立统一协议，并引入可复核对照设计后，才可以形成真实活动 ROI、增量收入和长期客户价值的正式报告。</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指标公式是审查起点而不是结论本身。只有分子、分母、时间窗、基准和数据完整性均明确，复盘才具备经营解释力。</w:t>
      </w:r>
    </w:p>
    <w:p>
      <w:r>
        <w:br w:type="page"/>
      </w:r>
    </w:p>
    <w:p>
      <w:pPr>
        <w:pStyle w:val="Heading1"/>
        <w:keepNext/>
        <w:spacing w:before="300" w:after="140" w:line="300" w:lineRule="auto"/>
        <w:ind w:firstLine="0"/>
        <w:jc w:val="left"/>
      </w:pPr>
      <w:r>
        <w:rPr>
          <w:rFonts w:ascii="Times New Roman" w:hAnsi="Times New Roman" w:eastAsia="黑体"/>
          <w:b/>
          <w:color w:val="000000"/>
          <w:sz w:val="32"/>
        </w:rPr>
        <w:t>附录 C  评测、治理与生产化材料</w:t>
      </w:r>
    </w:p>
    <w:p>
      <w:pPr>
        <w:keepNext w:val="0"/>
        <w:spacing w:before="0" w:after="100" w:line="360" w:lineRule="auto"/>
        <w:ind w:firstLine="420"/>
        <w:jc w:val="both"/>
      </w:pPr>
      <w:r>
        <w:rPr>
          <w:rFonts w:ascii="Times New Roman" w:hAnsi="Times New Roman" w:eastAsia="宋体"/>
          <w:b w:val="0"/>
          <w:color w:val="000000"/>
          <w:sz w:val="24"/>
        </w:rPr>
        <w:t>本附录给出项目成果的分层评价方式、安全边界、生产化里程碑与答辩组织逻辑，保证技术结论、业务结论和后续计划具有一致的证据口径。</w:t>
      </w:r>
    </w:p>
    <w:p>
      <w:pPr>
        <w:keepNext w:val="0"/>
        <w:spacing w:before="0" w:after="80" w:line="317" w:lineRule="auto"/>
        <w:ind w:firstLine="420"/>
        <w:jc w:val="both"/>
      </w:pPr>
      <w:r>
        <w:rPr>
          <w:rFonts w:ascii="Times New Roman" w:hAnsi="Times New Roman" w:eastAsia="宋体"/>
          <w:b w:val="0"/>
          <w:color w:val="000000"/>
          <w:sz w:val="22"/>
        </w:rPr>
        <w:t>评测并非为了给模型生成一个单一分数，而是为了分别判断工程是否可控、知识是否可信、建议是否适合人工审核、经营结果是否具备归因条件。不同层级的数据来源、评价指标和责任主体不同，文档因此避免用一次成功调用、一个演示看板或一句人工好评替代完整的业务验证。</w:t>
      </w:r>
    </w:p>
    <w:p>
      <w:pPr>
        <w:keepNext w:val="0"/>
        <w:spacing w:before="0" w:after="80" w:line="317" w:lineRule="auto"/>
        <w:ind w:firstLine="420"/>
        <w:jc w:val="both"/>
      </w:pPr>
      <w:r>
        <w:rPr>
          <w:rFonts w:ascii="Times New Roman" w:hAnsi="Times New Roman" w:eastAsia="宋体"/>
          <w:b w:val="0"/>
          <w:color w:val="000000"/>
          <w:sz w:val="22"/>
        </w:rPr>
        <w:t>治理材料同时说明平台当前不会做什么：不会展示或泄露无关个人数据，不会让模型越过工具权限或活动状态机，不会把未获得授权的系统接入写成既成事实，也不会将受控反馈数字包装为真实收入提升。明确这些边界是为了让创新能力在未来扩展时仍可被组织、数据安全和业务制度接住。</w:t>
      </w:r>
    </w:p>
    <w:p>
      <w:pPr>
        <w:keepNext w:val="0"/>
        <w:spacing w:before="0" w:after="0" w:line="317" w:lineRule="auto"/>
        <w:ind w:firstLine="420"/>
        <w:jc w:val="both"/>
      </w:pPr>
      <w:r>
        <w:rPr>
          <w:rFonts w:ascii="Times New Roman" w:hAnsi="Times New Roman" w:eastAsia="宋体"/>
          <w:b w:val="0"/>
          <w:color w:val="000000"/>
          <w:sz w:val="22"/>
        </w:rPr>
        <w:t>生产化路线以数据可信、流程协同、效果归因和规模运行作为连续里程碑。每个里程碑都有明确的输入、对象、接口和验收信号，使项目后续开发可以遵循可测试的工程路径，而不是以“增加更多功能”或“更换模型”作为笼统目标。</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C.1  验证设计：把工程可用、知识可信、建议可用与经营有效分层</w:t>
      </w:r>
    </w:p>
    <w:p>
      <w:pPr>
        <w:keepNext w:val="0"/>
        <w:spacing w:before="0" w:after="40" w:line="317" w:lineRule="auto"/>
        <w:ind w:firstLine="420"/>
        <w:jc w:val="both"/>
      </w:pPr>
      <w:r>
        <w:rPr>
          <w:rFonts w:ascii="Times New Roman" w:hAnsi="Times New Roman" w:eastAsia="宋体"/>
          <w:b w:val="0"/>
          <w:color w:val="000000"/>
          <w:sz w:val="22"/>
        </w:rPr>
        <w:t>人工智能竞赛项目的验证容易只展示一个漂亮界面或一次成功回答，但这两者都不足以证明系统可用。平台将评价分为四层：推理工程质量、知识与本体质量、业务建议质量和营销结果质量。每层使用不同证据和不同结论边界，避免把自动化测试、场景演练或原型指标混为真实经营效果。</w:t>
      </w:r>
    </w:p>
    <w:p>
      <w:pPr>
        <w:keepNext w:val="0"/>
        <w:spacing w:before="0" w:after="40" w:line="317" w:lineRule="auto"/>
        <w:ind w:firstLine="420"/>
        <w:jc w:val="both"/>
      </w:pPr>
      <w:r>
        <w:rPr>
          <w:rFonts w:ascii="Times New Roman" w:hAnsi="Times New Roman" w:eastAsia="宋体"/>
          <w:b w:val="0"/>
          <w:color w:val="000000"/>
          <w:sz w:val="22"/>
        </w:rPr>
        <w:t>工程质量关注请求是否可受控执行，包括模型提供者配置、输入边界、结构合法、重试、错误、Token、时延和工具轨迹。现有报告记录 17 项稳健性测试全部通过，覆盖 429、502、503、504、连接和读取异常恢复，异常响应校验，空与超长输入，租户隔离、未启用提供者拒绝、密钥脱敏及智能域治理门禁。该证据说明关键工程路径有测试，并不替代供应商容量或全链路压测。</w:t>
      </w:r>
    </w:p>
    <w:p>
      <w:pPr>
        <w:keepNext w:val="0"/>
        <w:spacing w:before="0" w:after="40" w:line="317" w:lineRule="auto"/>
        <w:ind w:firstLine="420"/>
        <w:jc w:val="both"/>
      </w:pPr>
      <w:r>
        <w:rPr>
          <w:rFonts w:ascii="Times New Roman" w:hAnsi="Times New Roman" w:eastAsia="宋体"/>
          <w:b w:val="0"/>
          <w:color w:val="000000"/>
          <w:sz w:val="22"/>
        </w:rPr>
        <w:t>知识质量关注对象、关系、来源、置信度、端点、状态和有效期。应通过人工审核样本、冲突记录、过期处理和候选准入结果判断，而非只以模型抽取数量衡量。建议质量关注机会解释、客群合理性、产品资格、内容事实、审批结果和人工修改量；它要求业务人员判断输出是否可被使用，而非只以文字相似度评分。</w:t>
      </w:r>
    </w:p>
    <w:p>
      <w:pPr>
        <w:keepNext w:val="0"/>
        <w:spacing w:before="0" w:after="40" w:line="317" w:lineRule="auto"/>
        <w:ind w:firstLine="420"/>
        <w:jc w:val="both"/>
      </w:pPr>
      <w:r>
        <w:rPr>
          <w:rFonts w:ascii="Times New Roman" w:hAnsi="Times New Roman" w:eastAsia="宋体"/>
          <w:b w:val="0"/>
          <w:color w:val="000000"/>
          <w:sz w:val="22"/>
        </w:rPr>
        <w:t>营销结果质量则需依赖真实授权渠道、交易、履约、成本与统一归因口径。送达、互动、购票、核销、辅营、投诉、增量和 ROI 等指标只有在数据完整且有适当基准或对照时才能对外报告。项目中的活动卡片、反馈示例和场景数字均属于原型演示或受控导入，不以此代替东航经营统计。</w:t>
      </w:r>
    </w:p>
    <w:p>
      <w:pPr>
        <w:keepNext w:val="0"/>
        <w:spacing w:before="0" w:after="40" w:line="317" w:lineRule="auto"/>
        <w:ind w:firstLine="420"/>
        <w:jc w:val="both"/>
      </w:pPr>
      <w:r>
        <w:rPr>
          <w:rFonts w:ascii="Times New Roman" w:hAnsi="Times New Roman" w:eastAsia="宋体"/>
          <w:b w:val="0"/>
          <w:color w:val="000000"/>
          <w:sz w:val="22"/>
        </w:rPr>
        <w:t>分层评价使评审可以准确看到项目的完成度：哪些能力已有代码和测试支持，哪些已经在本地运行，哪些只完成了受控场景演练，哪些需要生产授权后继续验证。对比赛而言，诚实地陈述边界并不会削弱创新，反而让每个结论都有相应的证据强度。</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评价层</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主要指标</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结论边界</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工程</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结构、重试、错误、Token、时延、工具轨迹。</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说明运行可控，不等同于营销增量。</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知识</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证据、端点、冲突、状态、有效期。</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说明上下文可信，不等同于内容可发布。</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建议</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规则通过、人工修改、采纳和审核耗时。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说明业务可用，仍需人工批准。</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经营</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送达、交易、成本、增量、ROI 与投诉。</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需真实回传和统一归因后报告。</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四层指标不可相互替代；单次端到端调用成功不能推导出真实营销 ROI。</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C.2  安全与隐私：以最小必要数据和服务端控制为前提</w:t>
      </w:r>
    </w:p>
    <w:p>
      <w:pPr>
        <w:keepNext w:val="0"/>
        <w:spacing w:before="0" w:after="40" w:line="317" w:lineRule="auto"/>
        <w:ind w:firstLine="420"/>
        <w:jc w:val="both"/>
      </w:pPr>
      <w:r>
        <w:rPr>
          <w:rFonts w:ascii="Times New Roman" w:hAnsi="Times New Roman" w:eastAsia="宋体"/>
          <w:b w:val="0"/>
          <w:color w:val="000000"/>
          <w:sz w:val="22"/>
        </w:rPr>
        <w:t>航空营销涉及旅客、会员、企业客户、航班、产品、预算和渠道等多类数据。项目的安全思路不是让模型“更谨慎地回答”，而是在模型调用之前限定其可读取的对象，在工具执行之前校验权限，在高影响动作之前执行状态与人工门禁，并在运行之后保留可审计记录。AI 输出只能在这些服务端约束内形成候选，不能获得超出当前租户和角色范围的数据或动作能力。</w:t>
      </w:r>
    </w:p>
    <w:p>
      <w:pPr>
        <w:keepNext w:val="0"/>
        <w:spacing w:before="0" w:after="40" w:line="317" w:lineRule="auto"/>
        <w:ind w:firstLine="420"/>
        <w:jc w:val="both"/>
      </w:pPr>
      <w:r>
        <w:rPr>
          <w:rFonts w:ascii="Times New Roman" w:hAnsi="Times New Roman" w:eastAsia="宋体"/>
          <w:b w:val="0"/>
          <w:color w:val="000000"/>
          <w:sz w:val="22"/>
        </w:rPr>
        <w:t>当前平台以多租户、角色、服务端模型配置、密钥加密保存和异常脱敏为基础。营销页面优先展示聚合客群、规模和规则解释，不展示无关的个人旅客明细；模型 API Key、数据库密码、认证头和 .env 内容不出现在竞赛文档、前端响应或运行异常中。相关测试覆盖未知/未启用提供者、跨租户配置访问和敏感信息泄露风险。</w:t>
      </w:r>
    </w:p>
    <w:p>
      <w:pPr>
        <w:keepNext w:val="0"/>
        <w:spacing w:before="0" w:after="40" w:line="317" w:lineRule="auto"/>
        <w:ind w:firstLine="420"/>
        <w:jc w:val="both"/>
      </w:pPr>
      <w:r>
        <w:rPr>
          <w:rFonts w:ascii="Times New Roman" w:hAnsi="Times New Roman" w:eastAsia="宋体"/>
          <w:b w:val="0"/>
          <w:color w:val="000000"/>
          <w:sz w:val="22"/>
        </w:rPr>
        <w:t>输入安全同样需要工程化。系统拒绝空问题和超过 12000 字符的输入，区分连接、读取、写入与连接池超时，并对异常响应执行结构校验。长资料应先经过受控的文件解析、知识切分、候选审核和分步检索，而不是直接塞入会话上下文。工具调用受白名单和角色限制，模型不能直接执行任意 SQL、读取所有文件或改变正式业务状态。</w:t>
      </w:r>
    </w:p>
    <w:p>
      <w:pPr>
        <w:keepNext w:val="0"/>
        <w:spacing w:before="0" w:after="40" w:line="317" w:lineRule="auto"/>
        <w:ind w:firstLine="420"/>
        <w:jc w:val="both"/>
      </w:pPr>
      <w:r>
        <w:rPr>
          <w:rFonts w:ascii="Times New Roman" w:hAnsi="Times New Roman" w:eastAsia="宋体"/>
          <w:b w:val="0"/>
          <w:color w:val="000000"/>
          <w:sz w:val="22"/>
        </w:rPr>
        <w:t>生产化阶段仍需补齐数据分级分类、脱敏、保留与删除、密钥轮换、集中审计、提示注入评测、DLP、组织权限映射和安全事件响应。尤其是当平台连接真实画像、渠道或交易系统时，应以最小权限服务账号、字段白名单、访问目的和保留周期约束每一次数据流，而不是因为模型需要“更多上下文”而扩大读取范围。</w:t>
      </w:r>
    </w:p>
    <w:p>
      <w:pPr>
        <w:keepNext w:val="0"/>
        <w:spacing w:before="0" w:after="40" w:line="317" w:lineRule="auto"/>
        <w:ind w:firstLine="420"/>
        <w:jc w:val="both"/>
      </w:pPr>
      <w:r>
        <w:rPr>
          <w:rFonts w:ascii="Times New Roman" w:hAnsi="Times New Roman" w:eastAsia="宋体"/>
          <w:b w:val="0"/>
          <w:color w:val="000000"/>
          <w:sz w:val="22"/>
        </w:rPr>
        <w:t>本项目不在文档中给出 API Key、密码、数据库连接参数或个人数据，也不通过比赛演示执行对外触达。安全与隐私的目标不是阻止智能化，而是确保智能化能力在经授权的数据范围和可审计的责任边界内发挥作用。</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最小必要数据、租户隔离、服务端凭据保护、工具白名单与高影响审批共同构成平台的安全底线。</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C.3  生产化路线：从本地闭环验证到授权系统协同</w:t>
      </w:r>
    </w:p>
    <w:p>
      <w:pPr>
        <w:keepNext w:val="0"/>
        <w:spacing w:before="0" w:after="40" w:line="317" w:lineRule="auto"/>
        <w:ind w:firstLine="420"/>
        <w:jc w:val="both"/>
      </w:pPr>
      <w:r>
        <w:rPr>
          <w:rFonts w:ascii="Times New Roman" w:hAnsi="Times New Roman" w:eastAsia="宋体"/>
          <w:b w:val="0"/>
          <w:color w:val="000000"/>
          <w:sz w:val="22"/>
        </w:rPr>
        <w:t>项目当前的完成度应被理解为可运行的营销智能化原型，而不是已经接管东航生产流程。Web、API 和 PostgreSQL 可通过 Docker Compose 在本地协同运行；平台提供模型配置、知识与本体、活动、审批、执行、反馈与复盘相关能力；营销助手可通过 OpenAI 兼容服务完成受控对话。但真实上游主数据、OA、官方渠道、交易对账、财务成本、监控与灾备均需要按企业规范接入和验收。</w:t>
      </w:r>
    </w:p>
    <w:p>
      <w:pPr>
        <w:keepNext w:val="0"/>
        <w:spacing w:before="0" w:after="40" w:line="317" w:lineRule="auto"/>
        <w:ind w:firstLine="420"/>
        <w:jc w:val="both"/>
      </w:pPr>
      <w:r>
        <w:rPr>
          <w:rFonts w:ascii="Times New Roman" w:hAnsi="Times New Roman" w:eastAsia="宋体"/>
          <w:b w:val="0"/>
          <w:color w:val="000000"/>
          <w:sz w:val="22"/>
        </w:rPr>
        <w:t>第一阶段的生产化重点是数据可信接入。应对接首批授权的客群、产品和经营数据，明确字段映射、来源权威性、增量标识、有效期、质量规则和候选审核；对于航班与产品的采集快照，保持原始批次、哈希、解析版本和人工确认，逐步以权威接口替代临时来源。此阶段的验收信号是任意用于推理的事实均可说明来源、版本、状态和使用范围。</w:t>
      </w:r>
    </w:p>
    <w:p>
      <w:pPr>
        <w:keepNext w:val="0"/>
        <w:spacing w:before="0" w:after="40" w:line="317" w:lineRule="auto"/>
        <w:ind w:firstLine="420"/>
        <w:jc w:val="both"/>
      </w:pPr>
      <w:r>
        <w:rPr>
          <w:rFonts w:ascii="Times New Roman" w:hAnsi="Times New Roman" w:eastAsia="宋体"/>
          <w:b w:val="0"/>
          <w:color w:val="000000"/>
          <w:sz w:val="22"/>
        </w:rPr>
        <w:t>第二阶段是业务流程对接。应将组织岗位和 OA 流程映射到审批任务，将预算、产品资格、库存、授权、频控和渠道合规接入服务端门禁，将首次官方触点的投放回调映射到执行批次和反馈对象。重点不是一次性连接所有渠道，而是先建立可幂等、可回退、可审计的统一接口契约，验证活动版本与外部回执能够稳定关联。</w:t>
      </w:r>
    </w:p>
    <w:p>
      <w:pPr>
        <w:keepNext w:val="0"/>
        <w:spacing w:before="0" w:after="40" w:line="317" w:lineRule="auto"/>
        <w:ind w:firstLine="420"/>
        <w:jc w:val="both"/>
      </w:pPr>
      <w:r>
        <w:rPr>
          <w:rFonts w:ascii="Times New Roman" w:hAnsi="Times New Roman" w:eastAsia="宋体"/>
          <w:b w:val="0"/>
          <w:color w:val="000000"/>
          <w:sz w:val="22"/>
        </w:rPr>
        <w:t>第三阶段是效果归因与规模化运行。平台需要统一交易、卡券、辅营、履约、退订、投诉和成本口径，采用对照或因果评估方法形成可复核的增量结论；同时引入持久化 Worker、队列、限流、熔断、监控、备份、变更管理和故障演练。模型路由也应以任务基准集、成本、时延和人工反馈逐步迭代，而不是在生产压力下临时决定。</w:t>
      </w:r>
    </w:p>
    <w:p>
      <w:pPr>
        <w:keepNext w:val="0"/>
        <w:spacing w:before="0" w:after="40" w:line="317" w:lineRule="auto"/>
        <w:ind w:firstLine="420"/>
        <w:jc w:val="both"/>
      </w:pPr>
      <w:r>
        <w:rPr>
          <w:rFonts w:ascii="Times New Roman" w:hAnsi="Times New Roman" w:eastAsia="宋体"/>
          <w:b w:val="0"/>
          <w:color w:val="000000"/>
          <w:sz w:val="22"/>
        </w:rPr>
        <w:t>该路线以业务授权和可验收里程碑为前提，不承诺脱离组织协同和数据条件的上线日期。竞赛项目的价值在于已经明确了从数据、推理、审批到复盘的系统契约，后续每一步都可以通过接口、状态、指标和责任对象验证，而不是依赖抽象的“接入更多 AI”表述。</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里程碑</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建设重点</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验收信号</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M1 数据可信</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授权接口、质量规则、来源版本与候选审核。</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上下文来源和状态可查询。</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M2 流程协同</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OA、预算、资格、首个渠道与幂等回调。</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审批与执行能稳定关联。</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M3 效果归因</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交易、履约、投诉、成本与对照设计。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可复核的增量与 ROI。</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M4 规模运行</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队列、监控、备份、演练与安全审计。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约定容量下可用且可回退。</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生产化不是功能清单的累加，而是让数据、流程、动作和结果在授权边界内形成可验收的闭环。</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C.4  答辩主线：用证据链回答“为什么可信、何以创新、如何落地”</w:t>
      </w:r>
    </w:p>
    <w:p>
      <w:pPr>
        <w:keepNext w:val="0"/>
        <w:spacing w:before="0" w:after="40" w:line="317" w:lineRule="auto"/>
        <w:ind w:firstLine="420"/>
        <w:jc w:val="both"/>
      </w:pPr>
      <w:r>
        <w:rPr>
          <w:rFonts w:ascii="Times New Roman" w:hAnsi="Times New Roman" w:eastAsia="宋体"/>
          <w:b w:val="0"/>
          <w:color w:val="000000"/>
          <w:sz w:val="22"/>
        </w:rPr>
        <w:t>答辩应从航空营销的多源、强规则、强责任问题开始，而不是从模型名称或聊天界面开始。评委需要理解的是：机会、客群、产品、内容、审批、执行和复盘为什么不能被孤立处理；模型为什么不能直接成为发布系统；项目为什么同时建设本体、Harness、状态机、人工决策和评测框架。清晰的问题定义能使后续技术设计不沦为堆砌名词。</w:t>
      </w:r>
    </w:p>
    <w:p>
      <w:pPr>
        <w:keepNext w:val="0"/>
        <w:spacing w:before="0" w:after="40" w:line="317" w:lineRule="auto"/>
        <w:ind w:firstLine="420"/>
        <w:jc w:val="both"/>
      </w:pPr>
      <w:r>
        <w:rPr>
          <w:rFonts w:ascii="Times New Roman" w:hAnsi="Times New Roman" w:eastAsia="宋体"/>
          <w:b w:val="0"/>
          <w:color w:val="000000"/>
          <w:sz w:val="22"/>
        </w:rPr>
        <w:t>第二部分建议展示真实可运行的对象链。进入营销总览后查看活动中心和活动详情，说明活动由版本、审批、批次、反馈、复盘和审计事件组成；随后展示本体工作台或架构图，说明机会、客群、产品和证据如何进入统一语义层；最后展示 Harness 的运行事件、稳健性测试和指标口径。重点是让评委看到系统如何约束模型，而不是只看模型如何回答。</w:t>
      </w:r>
    </w:p>
    <w:p>
      <w:pPr>
        <w:keepNext w:val="0"/>
        <w:spacing w:before="0" w:after="40" w:line="317" w:lineRule="auto"/>
        <w:ind w:firstLine="420"/>
        <w:jc w:val="both"/>
      </w:pPr>
      <w:r>
        <w:rPr>
          <w:rFonts w:ascii="Times New Roman" w:hAnsi="Times New Roman" w:eastAsia="宋体"/>
          <w:b w:val="0"/>
          <w:color w:val="000000"/>
          <w:sz w:val="22"/>
        </w:rPr>
        <w:t>面对“这是不是普通 RAG”的问题，应说明 RAG 是证据检索能力，而本项目还以本体表达对象关系、状态和有效期，以 Harness 管理工具、权限和事件，以活动状态机和 HumanDecision 管理高影响动作。面对“如何防幻觉”的问题，应避免承诺消除幻觉，而应说明来源、Schema、工具、规则、人工确认和审计如何将风险转化为可检查、可拒绝、可回退的问题。</w:t>
      </w:r>
    </w:p>
    <w:p>
      <w:pPr>
        <w:keepNext w:val="0"/>
        <w:spacing w:before="0" w:after="40" w:line="317" w:lineRule="auto"/>
        <w:ind w:firstLine="420"/>
        <w:jc w:val="both"/>
      </w:pPr>
      <w:r>
        <w:rPr>
          <w:rFonts w:ascii="Times New Roman" w:hAnsi="Times New Roman" w:eastAsia="宋体"/>
          <w:b w:val="0"/>
          <w:color w:val="000000"/>
          <w:sz w:val="22"/>
        </w:rPr>
        <w:t>面对“效果如何量化”的问题，应主动区分工程、知识、建议和营销结果四层证据，说明原型数字和受控反馈不是东航经营结果，真实增量需要授权回传与对照。面对“本地模型有什么价值”的问题，应强调任务级同条件评测与回退机制。面对“是否可以直接生产”的问题，应说明已实现原型、已验证工程和待对接企业系统的边界，并展示生产化里程碑。</w:t>
      </w:r>
    </w:p>
    <w:p>
      <w:pPr>
        <w:keepNext w:val="0"/>
        <w:spacing w:before="0" w:after="40" w:line="317" w:lineRule="auto"/>
        <w:ind w:firstLine="420"/>
        <w:jc w:val="both"/>
      </w:pPr>
      <w:r>
        <w:rPr>
          <w:rFonts w:ascii="Times New Roman" w:hAnsi="Times New Roman" w:eastAsia="宋体"/>
          <w:b w:val="0"/>
          <w:color w:val="000000"/>
          <w:sz w:val="22"/>
        </w:rPr>
        <w:t>这条答辩主线的核心不是回避未完成项，而是把每个结论放在正确证据层上。评委可以通过代码、运行、测试、场景和路线图分别检查项目的真实性、创新性和可扩展性；团队也因此能避免用未验证的经营效果或外部系统能力替代当前已经完成的工程成果。</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最有说服力的展示顺序是：问题与责任边界，真实对象链，受控推理机制，证据与指标，生产化路线。</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C.5  运行韧性：把失败类型映射为可恢复、可升级的处理策略</w:t>
      </w:r>
    </w:p>
    <w:p>
      <w:pPr>
        <w:keepNext w:val="0"/>
        <w:spacing w:before="0" w:after="40" w:line="317" w:lineRule="auto"/>
        <w:ind w:firstLine="420"/>
        <w:jc w:val="both"/>
      </w:pPr>
      <w:r>
        <w:rPr>
          <w:rFonts w:ascii="Times New Roman" w:hAnsi="Times New Roman" w:eastAsia="宋体"/>
          <w:b w:val="0"/>
          <w:color w:val="000000"/>
          <w:sz w:val="22"/>
        </w:rPr>
        <w:t>营销智能体的实际运行不会始终处于理想网络和完整数据条件下。模型服务可能返回 429、502、503 或 504，连接可能提前关闭，响应可能缺少预期字段，产品规则可能已失效，活动状态也可能不允许当前动作。若系统把所有错误都交给前端显示一条“生成失败”，业务人员既无法判断是否应重试，也无法识别这是暂时性服务问题、永久性配置问题还是必须人工处理的业务风险。</w:t>
      </w:r>
    </w:p>
    <w:p>
      <w:pPr>
        <w:keepNext w:val="0"/>
        <w:spacing w:before="0" w:after="40" w:line="317" w:lineRule="auto"/>
        <w:ind w:firstLine="420"/>
        <w:jc w:val="both"/>
      </w:pPr>
      <w:r>
        <w:rPr>
          <w:rFonts w:ascii="Times New Roman" w:hAnsi="Times New Roman" w:eastAsia="宋体"/>
          <w:b w:val="0"/>
          <w:color w:val="000000"/>
          <w:sz w:val="22"/>
        </w:rPr>
        <w:t>项目将失败按可恢复性和业务含义拆分处理。对于 429、502、503、504 及部分连接、读取异常，客户端采用最多 3 次指数退避重试并记录次数、耗时和最终结果；对于 4xx 参数、权限、模型提供者未启用或跨租户访问等问题，系统应立即拒绝，不进行无效重试；对于响应结构异常，模型结果不能进入下游对象链；对于活动状态不满足，服务端拒绝转换并返回当前状态和允许的下一步。</w:t>
      </w:r>
    </w:p>
    <w:p>
      <w:pPr>
        <w:keepNext w:val="0"/>
        <w:spacing w:before="0" w:after="40" w:line="317" w:lineRule="auto"/>
        <w:ind w:firstLine="420"/>
        <w:jc w:val="both"/>
      </w:pPr>
      <w:r>
        <w:rPr>
          <w:rFonts w:ascii="Times New Roman" w:hAnsi="Times New Roman" w:eastAsia="宋体"/>
          <w:b w:val="0"/>
          <w:color w:val="000000"/>
          <w:sz w:val="22"/>
        </w:rPr>
        <w:t>这一策略的关键是将“技术恢复”与“业务继续”区分开。服务端重试成功只说明一次连接恢复，不能说明库存、价格、授权或审批仍然有效；业务规则不通过则应保留失败原因并要求回到对应的确认节点。工具调用也应返回缺失、过期、冲突或无权限等明确语义，避免模型忽略失败后自行补写一个看似完整的结论。</w:t>
      </w:r>
    </w:p>
    <w:p>
      <w:pPr>
        <w:keepNext w:val="0"/>
        <w:spacing w:before="0" w:after="40" w:line="317" w:lineRule="auto"/>
        <w:ind w:firstLine="420"/>
        <w:jc w:val="both"/>
      </w:pPr>
      <w:r>
        <w:rPr>
          <w:rFonts w:ascii="Times New Roman" w:hAnsi="Times New Roman" w:eastAsia="宋体"/>
          <w:b w:val="0"/>
          <w:color w:val="000000"/>
          <w:sz w:val="22"/>
        </w:rPr>
        <w:t>现有稳健性测试报告为该机制提供了基础证据：17 项自动化测试覆盖瞬时错误重试、异常响应、输入边界、提供者状态、租户隔离、密钥脱敏和智能域治理路径。测试中的 mock provider 和状态恢复用于避免消耗真实额度或污染运行配置。它证明的是预设风险下的代码行为，而不是对任何供应商、任何请求规模或任何业务异常的完整保证。</w:t>
      </w:r>
    </w:p>
    <w:p>
      <w:pPr>
        <w:keepNext w:val="0"/>
        <w:spacing w:before="0" w:after="40" w:line="317" w:lineRule="auto"/>
        <w:ind w:firstLine="420"/>
        <w:jc w:val="both"/>
      </w:pPr>
      <w:r>
        <w:rPr>
          <w:rFonts w:ascii="Times New Roman" w:hAnsi="Times New Roman" w:eastAsia="宋体"/>
          <w:b w:val="0"/>
          <w:color w:val="000000"/>
          <w:sz w:val="22"/>
        </w:rPr>
        <w:t>后续应将失败分类、重试预算、熔断阈值、人工接管、告警对象和复盘责任纳入统一运行治理。对于高影响活动，失败后的默认策略不应是自动继续，而应是冻结当前状态、保留上下文、通知责任人并在人工确认后恢复。这样，韧性不是单纯追求“永不失败”，而是在失败时仍能保证数据、责任和业务动作不失控。</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失败类别</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系统处置</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业务含义</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瞬时服务错误</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指数退避重试并记录运行事件。</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可恢复，不等于业务校验仍有效。</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参数或权限错误</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立即拒绝并返回可定位原因。</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不能靠重试绕过边界。</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结构或规则错误</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阻止进入对象链或状态转换。</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需要修正输入、规则或人工确认。</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高影响中断</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冻结状态、留存上下文、人工接管。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防止错误自动扩散到渠道。</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可恢复的技术错误与不可绕过的业务边界必须分开处理，运行日志也应能让业务人员理解这一差别。</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C.6  数据管道：从原始快照到可被智能域使用的受控上下文</w:t>
      </w:r>
    </w:p>
    <w:p>
      <w:pPr>
        <w:keepNext w:val="0"/>
        <w:spacing w:before="0" w:after="40" w:line="317" w:lineRule="auto"/>
        <w:ind w:firstLine="420"/>
        <w:jc w:val="both"/>
      </w:pPr>
      <w:r>
        <w:rPr>
          <w:rFonts w:ascii="Times New Roman" w:hAnsi="Times New Roman" w:eastAsia="宋体"/>
          <w:b w:val="0"/>
          <w:color w:val="000000"/>
          <w:sz w:val="22"/>
        </w:rPr>
        <w:t>平台需要处理的并不只有文本知识。航班、航段、舱位、运价、产品、辅营服务、市场热点、经营指标和渠道回执具有不同结构，且同一业务对象可能在不同批次中反复出现。若直接把来源 JSON、网页内容或表格字段送入模型，模型既难以区分稳定编码与临时描述，也无法识别版本变化、孤立关系或不完整航段。数据处理管道因此是营销智能化的前置工程，而不是模型调用之后的补充步骤。</w:t>
      </w:r>
    </w:p>
    <w:p>
      <w:pPr>
        <w:keepNext w:val="0"/>
        <w:spacing w:before="0" w:after="40" w:line="317" w:lineRule="auto"/>
        <w:ind w:firstLine="420"/>
        <w:jc w:val="both"/>
      </w:pPr>
      <w:r>
        <w:rPr>
          <w:rFonts w:ascii="Times New Roman" w:hAnsi="Times New Roman" w:eastAsia="宋体"/>
          <w:b w:val="0"/>
          <w:color w:val="000000"/>
          <w:sz w:val="22"/>
        </w:rPr>
        <w:t>项目的航班及产品管道以原始批次留存、字段拆解、标准化适配、质量与本体关系校验、智能体补充分析、人工确认和本体更新为主线。Airport、Route、Flight、FlightSegment、Cabin、Fare、ProductLabel、ProductGroup、Product 与 AncillaryProduct 等对象由确定性适配器先建立基础关系；数据处理智能体则检查必填字段、编码格式、重复快照、异常价格、孤立运价和不完整引用，并输出候选和质量问题。</w:t>
      </w:r>
    </w:p>
    <w:p>
      <w:pPr>
        <w:keepNext w:val="0"/>
        <w:spacing w:before="0" w:after="40" w:line="317" w:lineRule="auto"/>
        <w:ind w:firstLine="420"/>
        <w:jc w:val="both"/>
      </w:pPr>
      <w:r>
        <w:rPr>
          <w:rFonts w:ascii="Times New Roman" w:hAnsi="Times New Roman" w:eastAsia="宋体"/>
          <w:b w:val="0"/>
          <w:color w:val="000000"/>
          <w:sz w:val="22"/>
        </w:rPr>
        <w:t>对任何进入推理上下文的数据源，都应建立最小数据契约：来源权威性、更新频率、时间窗、读取字段、脱敏规则、定位方法、有效期和失效条件。经营指标需要说明统计口径与观察窗口，产品规则需要说明适用航班、资格、库存、价格和权益，热点需要说明发布时间与相关性，客群需要说明聚合口径与授权范围。这样，模型读取到的是带业务语义和边界的数据，而不是一堆没有时间和责任属性的字段。</w:t>
      </w:r>
    </w:p>
    <w:p>
      <w:pPr>
        <w:keepNext w:val="0"/>
        <w:spacing w:before="0" w:after="40" w:line="317" w:lineRule="auto"/>
        <w:ind w:firstLine="420"/>
        <w:jc w:val="both"/>
      </w:pPr>
      <w:r>
        <w:rPr>
          <w:rFonts w:ascii="Times New Roman" w:hAnsi="Times New Roman" w:eastAsia="宋体"/>
          <w:b w:val="0"/>
          <w:color w:val="000000"/>
          <w:sz w:val="22"/>
        </w:rPr>
        <w:t>来源中无法稳定映射到业务对象的内容可以保留在知识层，供检索和人工参考；存在明确对象、关系与证据的内容才形成待确认本体；低质量、冲突或不适合沉淀的数据必须被标记而不是悄悄删除。对于网页采集或非权威快照，默认应提高人工确认要求；对于可信主数据接口，可在明确条件下配置自动准入，但仍需要版本、审计和撤销能力。</w:t>
      </w:r>
    </w:p>
    <w:p>
      <w:pPr>
        <w:keepNext w:val="0"/>
        <w:spacing w:before="0" w:after="40" w:line="317" w:lineRule="auto"/>
        <w:ind w:firstLine="420"/>
        <w:jc w:val="both"/>
      </w:pPr>
      <w:r>
        <w:rPr>
          <w:rFonts w:ascii="Times New Roman" w:hAnsi="Times New Roman" w:eastAsia="宋体"/>
          <w:b w:val="0"/>
          <w:color w:val="000000"/>
          <w:sz w:val="22"/>
        </w:rPr>
        <w:t>当前工程已具备文件接入、基础解析、知识片段、本体对象关系和航班产品专用管道的实现基础。生产化还应完善对象存储、病毒扫描、哈希去重、数据源管理、只读连接器、增量同步、字段变更告警和批量审核。数据管道的验收标准不是导入了多少条记录，而是每个被智能域使用的对象是否能够解释其来源、有效状态和业务适用范围。</w:t>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受控数据管道使 AI 能够使用多源信息，同时避免把一次性快照、无来源文本或未审核关系误当成正式营销事实。</w:t>
      </w:r>
    </w:p>
    <w:p>
      <w:r>
        <w:br w:type="page"/>
      </w:r>
    </w:p>
    <w:p>
      <w:pPr>
        <w:pStyle w:val="Heading2"/>
        <w:keepNext/>
        <w:spacing w:before="200" w:after="80" w:line="300" w:lineRule="auto"/>
        <w:ind w:firstLine="0"/>
        <w:jc w:val="left"/>
      </w:pPr>
      <w:r>
        <w:rPr>
          <w:rFonts w:ascii="Times New Roman" w:hAnsi="Times New Roman" w:eastAsia="黑体"/>
          <w:b/>
          <w:color w:val="000000"/>
          <w:sz w:val="26"/>
        </w:rPr>
        <w:t>附录 C.7  持续学习：把复盘建议转化为可治理的下一轮实验</w:t>
      </w:r>
    </w:p>
    <w:p>
      <w:pPr>
        <w:keepNext w:val="0"/>
        <w:spacing w:before="0" w:after="40" w:line="317" w:lineRule="auto"/>
        <w:ind w:firstLine="420"/>
        <w:jc w:val="both"/>
      </w:pPr>
      <w:r>
        <w:rPr>
          <w:rFonts w:ascii="Times New Roman" w:hAnsi="Times New Roman" w:eastAsia="宋体"/>
          <w:b w:val="0"/>
          <w:color w:val="000000"/>
          <w:sz w:val="22"/>
        </w:rPr>
        <w:t>营销平台的闭环不应在生成复盘报告时结束。真正的持续学习需要回答：哪个机会判断被后续数据支持，哪个客群规则需要修改，哪个产品组合或内容版本值得保留，哪些异常来自渠道、数据缺失或业务规则而非策略本身。若复盘建议只是模型在页面上写的一段结论，团队既无法复现其依据，也无法决定哪些建议可以进入下一轮实验。</w:t>
      </w:r>
    </w:p>
    <w:p>
      <w:pPr>
        <w:keepNext w:val="0"/>
        <w:spacing w:before="0" w:after="40" w:line="317" w:lineRule="auto"/>
        <w:ind w:firstLine="420"/>
        <w:jc w:val="both"/>
      </w:pPr>
      <w:r>
        <w:rPr>
          <w:rFonts w:ascii="Times New Roman" w:hAnsi="Times New Roman" w:eastAsia="宋体"/>
          <w:b w:val="0"/>
          <w:color w:val="000000"/>
          <w:sz w:val="22"/>
        </w:rPr>
        <w:t>项目把 Review、AttributionResult、Recommendation 与 HumanDecision 作为可关联对象。效果分析智能域可根据活动版本、执行批次、反馈和指标口径提出异常解释与下一轮建议；建议必须指向具体的机会、客群、产品、内容、渠道或规则，并说明证据、假设、风险与待确认项。营销人员确认后，建议可以生成新的策略草案、规则变更候选或评测任务，而不是直接修改正式业务规则。</w:t>
      </w:r>
    </w:p>
    <w:p>
      <w:pPr>
        <w:keepNext w:val="0"/>
        <w:spacing w:before="0" w:after="40" w:line="317" w:lineRule="auto"/>
        <w:ind w:firstLine="420"/>
        <w:jc w:val="both"/>
      </w:pPr>
      <w:r>
        <w:rPr>
          <w:rFonts w:ascii="Times New Roman" w:hAnsi="Times New Roman" w:eastAsia="宋体"/>
          <w:b w:val="0"/>
          <w:color w:val="000000"/>
          <w:sz w:val="22"/>
        </w:rPr>
        <w:t>人工采纳、修改或驳回建议的记录为模型评测提供了高质量反馈，但不能被简单当作训练标签。审核者可能因为数据不完整、时机不合适、预算限制或组织策略而驳回一个在语言层面合理的建议；因此系统应将驳回原因结构化分类，并在评测中区分事实错误、规则失败、业务偏好和外部约束。这样才能定位应改进的是数据、Prompt、工具、模型还是业务流程。</w:t>
      </w:r>
    </w:p>
    <w:p>
      <w:pPr>
        <w:keepNext w:val="0"/>
        <w:spacing w:before="0" w:after="40" w:line="317" w:lineRule="auto"/>
        <w:ind w:firstLine="420"/>
        <w:jc w:val="both"/>
      </w:pPr>
      <w:r>
        <w:rPr>
          <w:rFonts w:ascii="Times New Roman" w:hAnsi="Times New Roman" w:eastAsia="宋体"/>
          <w:b w:val="0"/>
          <w:color w:val="000000"/>
          <w:sz w:val="22"/>
        </w:rPr>
        <w:t>下一轮活动应尽可能被设计为可比较的实验。对于要验证的客群、产品、内容或渠道变量，需要明确目标、时间窗、排除条件、基准或对照、成本口径和停止条件；若数据尚不具备因果解释能力，复盘应保持为观察性分析而非归因结论。模型可以协助生成实验方案和检查数据缺口，但实验批准、触达和规则生效仍由人工和业务制度控制。</w:t>
      </w:r>
    </w:p>
    <w:p>
      <w:pPr>
        <w:keepNext w:val="0"/>
        <w:spacing w:before="0" w:after="40" w:line="317" w:lineRule="auto"/>
        <w:ind w:firstLine="420"/>
        <w:jc w:val="both"/>
      </w:pPr>
      <w:r>
        <w:rPr>
          <w:rFonts w:ascii="Times New Roman" w:hAnsi="Times New Roman" w:eastAsia="宋体"/>
          <w:b w:val="0"/>
          <w:color w:val="000000"/>
          <w:sz w:val="22"/>
        </w:rPr>
        <w:t>这种持续学习机制的创新点在于把“模型越用越好”拆解为可审查的对象、决策和实验循环。当前原型已能保存活动反馈与复盘对象，后续需要在真实授权数据下建立长期评测集、人工反馈分类、实验管理和规则版本治理。只有这样，平台才能在不牺牲责任边界的前提下逐步提升营销建议的适配性。</w:t>
      </w:r>
    </w:p>
    <w:tbl>
      <w:tblPr>
        <w:tblStyle w:val="TableGrid"/>
        <w:tblW w:type="dxa" w:w="9000"/>
        <w:jc w:val="center"/>
        <w:tblLayout w:type="fixed"/>
        <w:tblLook w:firstColumn="1" w:firstRow="1" w:lastColumn="0" w:lastRow="0" w:noHBand="0" w:noVBand="1" w:val="04A0"/>
        <w:tblInd w:w="0" w:type="dxa"/>
      </w:tblPr>
      <w:tblGrid>
        <w:gridCol w:w="1800"/>
        <w:gridCol w:w="3900"/>
        <w:gridCol w:w="3300"/>
      </w:tblGrid>
      <w:tr>
        <w:trPr>
          <w:cantSplit/>
          <w:tblHeader w:val="true"/>
        </w:trPr>
        <w:tc>
          <w:tcPr>
            <w:tcW w:type="dxa" w:w="18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学习环节</w:t>
            </w:r>
          </w:p>
        </w:tc>
        <w:tc>
          <w:tcPr>
            <w:tcW w:type="dxa" w:w="39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形成对象</w:t>
            </w:r>
          </w:p>
        </w:tc>
        <w:tc>
          <w:tcPr>
            <w:tcW w:type="dxa" w:w="3300"/>
            <w:tcMar>
              <w:top w:w="80" w:type="dxa"/>
              <w:start w:w="90" w:type="dxa"/>
              <w:bottom w:w="80" w:type="dxa"/>
              <w:end w:w="90" w:type="dxa"/>
            </w:tcMar>
            <w:vAlign w:val="center"/>
            <w:shd w:fill="F2F2F2"/>
          </w:tcPr>
          <w:p>
            <w:pPr>
              <w:keepNext w:val="0"/>
              <w:spacing w:before="0" w:after="0" w:line="283" w:lineRule="auto"/>
              <w:ind w:firstLine="0"/>
              <w:jc w:val="center"/>
            </w:pPr>
            <w:r/>
            <w:r>
              <w:rPr>
                <w:rFonts w:ascii="Times New Roman" w:hAnsi="Times New Roman" w:eastAsia="宋体"/>
                <w:b/>
                <w:color w:val="000000"/>
                <w:sz w:val="18"/>
              </w:rPr>
              <w:t>治理要求</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观察</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Feedback、指标完整性与异常线索。</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先确认口径与数据缺口。</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解释</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AttributionResult、Recommendation 候选。</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区分事实、假设和待确认项。</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决策</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HumanDecision、策略或规则变更候选。</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记录采纳、修改、驳回与原因。</w:t>
            </w:r>
          </w:p>
        </w:tc>
      </w:tr>
      <w:tr>
        <w:trPr>
          <w:cantSplit/>
        </w:trPr>
        <w:tc>
          <w:tcPr>
            <w:tcW w:type="dxa" w:w="18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验证</w:t>
            </w:r>
          </w:p>
        </w:tc>
        <w:tc>
          <w:tcPr>
            <w:tcW w:type="dxa" w:w="39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新活动版本与对照/基准设计。</w:t>
            </w:r>
          </w:p>
        </w:tc>
        <w:tc>
          <w:tcPr>
            <w:tcW w:type="dxa" w:w="3300"/>
            <w:tcMar>
              <w:top w:w="80" w:type="dxa"/>
              <w:start w:w="90" w:type="dxa"/>
              <w:bottom w:w="80" w:type="dxa"/>
              <w:end w:w="90" w:type="dxa"/>
            </w:tcMar>
            <w:vAlign w:val="center"/>
          </w:tcPr>
          <w:p>
            <w:pPr>
              <w:keepNext w:val="0"/>
              <w:spacing w:before="0" w:after="0" w:line="283" w:lineRule="auto"/>
              <w:ind w:firstLine="0"/>
              <w:jc w:val="left"/>
            </w:pPr>
            <w:r/>
            <w:r>
              <w:rPr>
                <w:rFonts w:ascii="Times New Roman" w:hAnsi="Times New Roman" w:eastAsia="宋体"/>
                <w:b w:val="0"/>
                <w:color w:val="000000"/>
                <w:sz w:val="18"/>
              </w:rPr>
              <w:t>不以观察性相关直接宣称因果。</w:t>
            </w:r>
          </w:p>
        </w:tc>
      </w:tr>
    </w:tbl>
    <w:p>
      <w:pPr>
        <w:keepNext w:val="0"/>
        <w:spacing w:before="20" w:after="20" w:line="240" w:lineRule="auto"/>
        <w:ind w:firstLine="0"/>
        <w:jc w:val="both"/>
      </w:pPr>
      <w:r>
        <w:rPr>
          <w:rFonts w:ascii="Times New Roman" w:hAnsi="Times New Roman" w:eastAsia="宋体"/>
          <w:b w:val="0"/>
          <w:color w:val="000000"/>
          <w:sz w:val="8"/>
        </w:rPr>
      </w:r>
    </w:p>
    <w:p>
      <w:pPr>
        <w:keepNext w:val="0"/>
        <w:spacing w:before="0" w:after="0" w:line="307" w:lineRule="auto"/>
        <w:ind w:firstLine="420"/>
        <w:jc w:val="both"/>
      </w:pPr>
      <w:r>
        <w:rPr>
          <w:rFonts w:ascii="Times New Roman" w:hAnsi="Times New Roman" w:eastAsia="黑体"/>
          <w:b/>
          <w:color w:val="000000"/>
          <w:sz w:val="24"/>
        </w:rPr>
        <w:t>审查结论：</w:t>
      </w:r>
      <w:r>
        <w:rPr>
          <w:rFonts w:ascii="Times New Roman" w:hAnsi="Times New Roman" w:eastAsia="宋体"/>
          <w:b w:val="0"/>
          <w:color w:val="000000"/>
          <w:sz w:val="24"/>
        </w:rPr>
        <w:t>持续学习的输出是经过治理的下一轮实验，不是让模型自动改写客群、产品或对外营销规则。</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ind w:firstLine="0"/>
      <w:jc w:val="center"/>
    </w:pPr>
    <w:r>
      <w:rPr>
        <w:rFonts w:ascii="Times New Roman" w:hAnsi="Times New Roman" w:eastAsia="宋体"/>
        <w:b w:val="0"/>
        <w:color w:val="666666"/>
        <w:sz w:val="18"/>
      </w:rPr>
      <w:t xml:space="preserve">第 </w:t>
    </w:r>
    <w:fldSimple w:instr="PAGE"/>
    <w:r>
      <w:rPr>
        <w:rFonts w:ascii="Times New Roman" w:hAnsi="Times New Roman" w:eastAsia="宋体"/>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ind w:firstLine="0"/>
      <w:jc w:val="center"/>
      <w:pBdr>
        <w:bottom w:val="single" w:sz="4" w:space="5" w:color="000000"/>
      </w:pBdr>
    </w:pPr>
    <w:r>
      <w:rPr>
        <w:rFonts w:ascii="Times New Roman" w:hAnsi="Times New Roman" w:eastAsia="宋体"/>
        <w:b w:val="0"/>
        <w:color w:val="000000"/>
        <w:sz w:val="18"/>
      </w:rPr>
      <w:t>东方航空智能营销平台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楷体" w:hAnsi="楷体" w:eastAsia="楷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东方航空智能营销平台项目文档 V1.8</dc:title>
  <dc:subject>第八届中国研究生人工智能创新大赛</dc:subject>
  <dc:creator>丽娃谷风</dc:creator>
  <cp:keywords/>
  <dc:description>V1.8：正文创新摘要与附录深度论证分层</dc:description>
  <cp:lastModifiedBy/>
  <cp:revision>1</cp:revision>
  <dcterms:created xsi:type="dcterms:W3CDTF">2013-12-23T23:15:00Z</dcterms:created>
  <dcterms:modified xsi:type="dcterms:W3CDTF">2013-12-23T23:15:00Z</dcterms:modified>
  <cp:category/>
</cp:coreProperties>
</file>