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1DF" w:rsidRPr="008D4B8C" w:rsidRDefault="007E73E3" w:rsidP="007E73E3">
      <w:pPr>
        <w:pStyle w:val="NoSpacing"/>
        <w:rPr>
          <w:b/>
        </w:rPr>
      </w:pPr>
      <w:r w:rsidRPr="008D4B8C">
        <w:rPr>
          <w:b/>
        </w:rPr>
        <w:t>Objectives</w:t>
      </w:r>
    </w:p>
    <w:p w:rsidR="007E73E3" w:rsidRDefault="007E73E3" w:rsidP="007E73E3">
      <w:pPr>
        <w:pStyle w:val="NoSpacing"/>
      </w:pPr>
    </w:p>
    <w:p w:rsidR="007E73E3" w:rsidRDefault="008D4B8C" w:rsidP="007E73E3">
      <w:pPr>
        <w:pStyle w:val="NoSpacing"/>
      </w:pPr>
      <w:r>
        <w:t xml:space="preserve">The firm of </w:t>
      </w:r>
      <w:r w:rsidRPr="008D4B8C">
        <w:rPr>
          <w:i/>
        </w:rPr>
        <w:t>Beat the Market Brokerage</w:t>
      </w:r>
      <w:r>
        <w:t xml:space="preserve"> has commissioned </w:t>
      </w:r>
      <w:r w:rsidRPr="008D4B8C">
        <w:rPr>
          <w:i/>
        </w:rPr>
        <w:t>624 Group C Associates</w:t>
      </w:r>
      <w:r>
        <w:t xml:space="preserve"> to </w:t>
      </w:r>
      <w:r w:rsidR="008B5478">
        <w:t>analyze, model and forecast the future direction of several data sets</w:t>
      </w:r>
      <w:r>
        <w:t xml:space="preserve">.  To ensure </w:t>
      </w:r>
      <w:r w:rsidR="004A5C58">
        <w:t xml:space="preserve">strictest confidentiality in this work, </w:t>
      </w:r>
      <w:r w:rsidR="00935080">
        <w:t xml:space="preserve">our client has </w:t>
      </w:r>
      <w:r>
        <w:t>masked the data</w:t>
      </w:r>
      <w:r w:rsidR="00E96D9D">
        <w:t xml:space="preserve"> names and </w:t>
      </w:r>
      <w:r w:rsidR="002179C5">
        <w:t>definitions</w:t>
      </w:r>
      <w:r>
        <w:t xml:space="preserve">.  </w:t>
      </w:r>
      <w:r w:rsidR="007E73E3">
        <w:t>In this report, we will describe our findings related to the</w:t>
      </w:r>
      <w:r w:rsidR="008B5478">
        <w:t>se</w:t>
      </w:r>
      <w:r w:rsidR="007E73E3">
        <w:t xml:space="preserve"> data set</w:t>
      </w:r>
      <w:r w:rsidR="008B5478">
        <w:t>s</w:t>
      </w:r>
      <w:r w:rsidR="007E73E3">
        <w:t>.  In particular, we will describe the data and its key charac</w:t>
      </w:r>
      <w:r w:rsidR="001C7742">
        <w:t>teristics, and then build</w:t>
      </w:r>
      <w:r>
        <w:t xml:space="preserve"> model</w:t>
      </w:r>
      <w:r w:rsidR="001C7742">
        <w:t>s</w:t>
      </w:r>
      <w:r>
        <w:t xml:space="preserve"> which we will use to forecast data for future time periods.</w:t>
      </w:r>
    </w:p>
    <w:p w:rsidR="008D4B8C" w:rsidRDefault="008D4B8C" w:rsidP="007E73E3">
      <w:pPr>
        <w:pStyle w:val="NoSpacing"/>
      </w:pPr>
    </w:p>
    <w:p w:rsidR="008D4B8C" w:rsidRPr="008D4B8C" w:rsidRDefault="008D4B8C" w:rsidP="007E73E3">
      <w:pPr>
        <w:pStyle w:val="NoSpacing"/>
        <w:rPr>
          <w:b/>
        </w:rPr>
      </w:pPr>
      <w:r w:rsidRPr="008D4B8C">
        <w:rPr>
          <w:b/>
        </w:rPr>
        <w:t>Data Characteristics</w:t>
      </w:r>
      <w:r w:rsidR="006A5057">
        <w:rPr>
          <w:b/>
        </w:rPr>
        <w:t xml:space="preserve"> </w:t>
      </w:r>
    </w:p>
    <w:p w:rsidR="008D4B8C" w:rsidRDefault="008D4B8C" w:rsidP="007E73E3">
      <w:pPr>
        <w:pStyle w:val="NoSpacing"/>
      </w:pPr>
    </w:p>
    <w:p w:rsidR="009A36AB" w:rsidRDefault="009A36AB" w:rsidP="007E73E3">
      <w:pPr>
        <w:pStyle w:val="NoSpacing"/>
      </w:pPr>
      <w:r>
        <w:t xml:space="preserve">We first explored the data to </w:t>
      </w:r>
      <w:r w:rsidR="00CF3885">
        <w:t>get some basic details about the data types, frequencies, and quality.</w:t>
      </w:r>
      <w:r w:rsidR="00FF080C">
        <w:t xml:space="preserve">  In particular, we wanted to identify any unusual characteristics or patterns</w:t>
      </w:r>
      <w:r w:rsidR="00632322">
        <w:t xml:space="preserve"> that might influence how we prepared and cleaned the data and thereafter selected the model.</w:t>
      </w:r>
    </w:p>
    <w:p w:rsidR="009A36AB" w:rsidRDefault="009A36AB" w:rsidP="0072048D">
      <w:pPr>
        <w:pStyle w:val="NoSpacing"/>
      </w:pPr>
    </w:p>
    <w:p w:rsidR="008D4B8C" w:rsidRDefault="008B5478" w:rsidP="008E61E7">
      <w:pPr>
        <w:pStyle w:val="NoSpacing"/>
      </w:pPr>
      <w:r>
        <w:t xml:space="preserve">The </w:t>
      </w:r>
      <w:r w:rsidR="00825545">
        <w:t xml:space="preserve">full </w:t>
      </w:r>
      <w:r>
        <w:t xml:space="preserve">data </w:t>
      </w:r>
      <w:r w:rsidR="00825545">
        <w:t xml:space="preserve">set </w:t>
      </w:r>
      <w:r w:rsidR="00601BA1">
        <w:t>includes several series of data points (</w:t>
      </w:r>
      <w:proofErr w:type="spellStart"/>
      <w:r w:rsidR="00601BA1">
        <w:t>Var</w:t>
      </w:r>
      <w:proofErr w:type="spellEnd"/>
      <w:r w:rsidR="00601BA1">
        <w:t xml:space="preserve"> 1, 2, 3, 5, 7) organized into six groups (S01-06) each covering</w:t>
      </w:r>
      <w:r>
        <w:t xml:space="preserve"> a period of </w:t>
      </w:r>
      <w:r w:rsidR="00930ED9">
        <w:t xml:space="preserve">1622 </w:t>
      </w:r>
      <w:r w:rsidR="006347A5">
        <w:t>date</w:t>
      </w:r>
      <w:r w:rsidR="008E61E7">
        <w:t xml:space="preserve">s. </w:t>
      </w:r>
      <w:r w:rsidR="002372B8" w:rsidRPr="004F4AD8">
        <w:rPr>
          <w:i/>
        </w:rPr>
        <w:t>Beat the Market</w:t>
      </w:r>
      <w:r w:rsidR="002372B8">
        <w:t xml:space="preserve"> has asked us to forecast 12 data sets in all – two </w:t>
      </w:r>
      <w:r w:rsidR="00C40CB6">
        <w:t xml:space="preserve">separate </w:t>
      </w:r>
      <w:r w:rsidR="002372B8">
        <w:t>data set</w:t>
      </w:r>
      <w:r w:rsidR="005E5FC8">
        <w:t xml:space="preserve">s within </w:t>
      </w:r>
      <w:r w:rsidR="00C40CB6">
        <w:t xml:space="preserve">each </w:t>
      </w:r>
      <w:r w:rsidR="005E5FC8">
        <w:t>groups</w:t>
      </w:r>
      <w:r w:rsidR="00DF3543">
        <w:t xml:space="preserve"> – over 140 time periods</w:t>
      </w:r>
      <w:r w:rsidR="002372B8">
        <w:t>.</w:t>
      </w:r>
      <w:r w:rsidR="008E61E7">
        <w:t xml:space="preserve"> </w:t>
      </w:r>
      <w:r w:rsidR="005E5FC8">
        <w:t>By observing trends according to</w:t>
      </w:r>
      <w:r w:rsidR="00F63829">
        <w:t xml:space="preserve"> the time series index, we observ</w:t>
      </w:r>
      <w:r w:rsidR="005E5FC8">
        <w:t>ed that t</w:t>
      </w:r>
      <w:r w:rsidR="008D4B8C">
        <w:t xml:space="preserve">he data </w:t>
      </w:r>
      <w:r w:rsidR="00795EDC">
        <w:t xml:space="preserve">typically comes in sets of </w:t>
      </w:r>
      <w:r w:rsidR="008D4B8C">
        <w:t xml:space="preserve">five </w:t>
      </w:r>
      <w:r w:rsidR="00930ED9">
        <w:t>followed by gaps of two</w:t>
      </w:r>
      <w:r w:rsidR="008E61E7">
        <w:t>-</w:t>
      </w:r>
      <w:r w:rsidR="00B05BB4">
        <w:t>three</w:t>
      </w:r>
      <w:r w:rsidR="008D4B8C">
        <w:t xml:space="preserve">.  </w:t>
      </w:r>
      <w:r w:rsidR="00B05BB4">
        <w:t xml:space="preserve">We have concluded that </w:t>
      </w:r>
      <w:r w:rsidR="008D4B8C">
        <w:t xml:space="preserve">the data reflects a five day </w:t>
      </w:r>
      <w:r w:rsidR="006458EA">
        <w:t xml:space="preserve">business </w:t>
      </w:r>
      <w:r w:rsidR="008D4B8C">
        <w:t xml:space="preserve">week </w:t>
      </w:r>
      <w:r w:rsidR="009C3507">
        <w:t xml:space="preserve">followed </w:t>
      </w:r>
      <w:r w:rsidR="00C21376">
        <w:t xml:space="preserve">by </w:t>
      </w:r>
      <w:r w:rsidR="008D4B8C">
        <w:t>weekend</w:t>
      </w:r>
      <w:r w:rsidR="00C21376">
        <w:t>s</w:t>
      </w:r>
      <w:r w:rsidR="008D4B8C">
        <w:t xml:space="preserve"> </w:t>
      </w:r>
      <w:r w:rsidR="006031CC">
        <w:t xml:space="preserve">(regular </w:t>
      </w:r>
      <w:r w:rsidR="00C21376">
        <w:t xml:space="preserve">or </w:t>
      </w:r>
      <w:r w:rsidR="008E61E7">
        <w:t xml:space="preserve">holiday.) </w:t>
      </w:r>
      <w:r w:rsidR="006031CC">
        <w:t xml:space="preserve">Therefore, </w:t>
      </w:r>
      <w:r w:rsidR="001655F9">
        <w:t>1622 time periods covers approx. 6.5 years of data</w:t>
      </w:r>
      <w:r w:rsidR="00EB35C2">
        <w:t>, and o</w:t>
      </w:r>
      <w:r w:rsidR="006A5057">
        <w:t xml:space="preserve">ur forecasts will cover 140 </w:t>
      </w:r>
      <w:r w:rsidR="00F23608">
        <w:t>business days</w:t>
      </w:r>
      <w:r w:rsidR="00EB35C2">
        <w:t xml:space="preserve">, </w:t>
      </w:r>
      <w:r w:rsidR="006A5057">
        <w:t>approx. 6.5 months of data.</w:t>
      </w:r>
      <w:r w:rsidR="008E61E7">
        <w:t xml:space="preserve"> On average, there were 252 days of data per year.</w:t>
      </w:r>
    </w:p>
    <w:p w:rsidR="00B875EA" w:rsidRDefault="00B875EA" w:rsidP="007E73E3">
      <w:pPr>
        <w:pStyle w:val="NoSpacing"/>
      </w:pPr>
    </w:p>
    <w:p w:rsidR="00645DAC" w:rsidRDefault="00107AE2" w:rsidP="007C20D9">
      <w:pPr>
        <w:pStyle w:val="NoSpacing"/>
      </w:pPr>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516799</wp:posOffset>
            </wp:positionV>
            <wp:extent cx="2752725" cy="23774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Plot.png"/>
                    <pic:cNvPicPr/>
                  </pic:nvPicPr>
                  <pic:blipFill rotWithShape="1">
                    <a:blip r:embed="rId7">
                      <a:extLst>
                        <a:ext uri="{28A0092B-C50C-407E-A947-70E740481C1C}">
                          <a14:useLocalDpi xmlns:a14="http://schemas.microsoft.com/office/drawing/2010/main" val="0"/>
                        </a:ext>
                      </a:extLst>
                    </a:blip>
                    <a:srcRect l="9965" t="11742" r="-9965" b="11943"/>
                    <a:stretch/>
                  </pic:blipFill>
                  <pic:spPr bwMode="auto">
                    <a:xfrm>
                      <a:off x="0" y="0"/>
                      <a:ext cx="2752725" cy="2377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75EA">
        <w:t xml:space="preserve">We also noticed that within each group that nearly all the data sets </w:t>
      </w:r>
      <w:r w:rsidR="00DF4D83">
        <w:t xml:space="preserve">– </w:t>
      </w:r>
      <w:proofErr w:type="spellStart"/>
      <w:r w:rsidR="00DF4D83">
        <w:t>Var</w:t>
      </w:r>
      <w:proofErr w:type="spellEnd"/>
      <w:r w:rsidR="00DF4D83">
        <w:t xml:space="preserve"> 1, 3, 5 and 7 (i</w:t>
      </w:r>
      <w:r w:rsidR="000B046F">
        <w:t>.</w:t>
      </w:r>
      <w:r w:rsidR="00DF4D83">
        <w:t>e</w:t>
      </w:r>
      <w:r w:rsidR="000B046F">
        <w:t>.</w:t>
      </w:r>
      <w:r w:rsidR="00DF4D83">
        <w:t xml:space="preserve"> all except </w:t>
      </w:r>
      <w:proofErr w:type="spellStart"/>
      <w:r w:rsidR="00DF4D83">
        <w:t>Var</w:t>
      </w:r>
      <w:proofErr w:type="spellEnd"/>
      <w:r w:rsidR="00DF4D83">
        <w:t xml:space="preserve"> 2) </w:t>
      </w:r>
      <w:r w:rsidR="00B875EA">
        <w:t>were strongly correlated</w:t>
      </w:r>
      <w:r w:rsidR="007C20D9">
        <w:t>.</w:t>
      </w:r>
      <w:r w:rsidR="00B875EA">
        <w:t xml:space="preserve">  </w:t>
      </w:r>
      <w:r w:rsidR="00645DAC">
        <w:t xml:space="preserve">Figure 1 shows that correlation – the darker blue circles signifying very strong correlation. </w:t>
      </w:r>
      <w:r w:rsidR="00B875EA">
        <w:t xml:space="preserve">While this will not affect our modeling process, </w:t>
      </w:r>
      <w:r w:rsidR="004D2371">
        <w:t xml:space="preserve">since we model each </w:t>
      </w:r>
      <w:r w:rsidR="00842271">
        <w:t>data point separately</w:t>
      </w:r>
      <w:r w:rsidR="004D2371">
        <w:t xml:space="preserve">, </w:t>
      </w:r>
      <w:r w:rsidR="00B875EA">
        <w:t>it raises the question of whether the data are related in some way – either variations of the same data set, or some strong relationship between the two.</w:t>
      </w:r>
      <w:r w:rsidR="006503B1">
        <w:t xml:space="preserve">  </w:t>
      </w:r>
      <w:proofErr w:type="spellStart"/>
      <w:r w:rsidR="006503B1">
        <w:t>Var</w:t>
      </w:r>
      <w:proofErr w:type="spellEnd"/>
      <w:r w:rsidR="006503B1">
        <w:t xml:space="preserve"> 2 was negatively related to the other data elements.</w:t>
      </w:r>
    </w:p>
    <w:p w:rsidR="007C20D9" w:rsidRDefault="007C20D9" w:rsidP="007C20D9">
      <w:pPr>
        <w:pStyle w:val="NoSpacing"/>
      </w:pPr>
    </w:p>
    <w:p w:rsidR="00C555E3" w:rsidRDefault="00D543D5" w:rsidP="007E73E3">
      <w:pPr>
        <w:pStyle w:val="NoSpacing"/>
      </w:pPr>
      <w:r>
        <w:rPr>
          <w:noProof/>
        </w:rPr>
        <mc:AlternateContent>
          <mc:Choice Requires="wps">
            <w:drawing>
              <wp:anchor distT="0" distB="0" distL="114300" distR="114300" simplePos="0" relativeHeight="251660288" behindDoc="0" locked="0" layoutInCell="1" allowOverlap="1" wp14:anchorId="0848D7F6" wp14:editId="6D91AB51">
                <wp:simplePos x="0" y="0"/>
                <wp:positionH relativeFrom="column">
                  <wp:posOffset>19050</wp:posOffset>
                </wp:positionH>
                <wp:positionV relativeFrom="paragraph">
                  <wp:posOffset>1259840</wp:posOffset>
                </wp:positionV>
                <wp:extent cx="2752725" cy="635"/>
                <wp:effectExtent l="0" t="0" r="9525" b="0"/>
                <wp:wrapSquare wrapText="bothSides"/>
                <wp:docPr id="3" name="Text Box 3"/>
                <wp:cNvGraphicFramePr/>
                <a:graphic xmlns:a="http://schemas.openxmlformats.org/drawingml/2006/main">
                  <a:graphicData uri="http://schemas.microsoft.com/office/word/2010/wordprocessingShape">
                    <wps:wsp>
                      <wps:cNvSpPr txBox="1"/>
                      <wps:spPr>
                        <a:xfrm>
                          <a:off x="0" y="0"/>
                          <a:ext cx="2752725" cy="635"/>
                        </a:xfrm>
                        <a:prstGeom prst="rect">
                          <a:avLst/>
                        </a:prstGeom>
                        <a:solidFill>
                          <a:prstClr val="white"/>
                        </a:solidFill>
                        <a:ln>
                          <a:noFill/>
                        </a:ln>
                      </wps:spPr>
                      <wps:txbx>
                        <w:txbxContent>
                          <w:p w:rsidR="00645DAC" w:rsidRPr="00E677B3" w:rsidRDefault="00645DAC" w:rsidP="00645DAC">
                            <w:pPr>
                              <w:pStyle w:val="Caption"/>
                              <w:rPr>
                                <w:noProof/>
                              </w:rPr>
                            </w:pPr>
                            <w:r>
                              <w:t xml:space="preserve">Figure </w:t>
                            </w:r>
                            <w:r w:rsidR="00136744">
                              <w:rPr>
                                <w:noProof/>
                              </w:rPr>
                              <w:fldChar w:fldCharType="begin"/>
                            </w:r>
                            <w:r w:rsidR="00136744">
                              <w:rPr>
                                <w:noProof/>
                              </w:rPr>
                              <w:instrText xml:space="preserve"> SEQ Figure \* ARABIC </w:instrText>
                            </w:r>
                            <w:r w:rsidR="00136744">
                              <w:rPr>
                                <w:noProof/>
                              </w:rPr>
                              <w:fldChar w:fldCharType="separate"/>
                            </w:r>
                            <w:r w:rsidR="003C5221">
                              <w:rPr>
                                <w:noProof/>
                              </w:rPr>
                              <w:t>1</w:t>
                            </w:r>
                            <w:r w:rsidR="00136744">
                              <w:rPr>
                                <w:noProof/>
                              </w:rPr>
                              <w:fldChar w:fldCharType="end"/>
                            </w:r>
                            <w:r>
                              <w:t xml:space="preserve">: </w:t>
                            </w:r>
                            <w:proofErr w:type="spellStart"/>
                            <w:r>
                              <w:t>Corr</w:t>
                            </w:r>
                            <w:r w:rsidR="007C20D9">
                              <w:t>elogram</w:t>
                            </w:r>
                            <w:proofErr w:type="spellEnd"/>
                            <w:r w:rsidR="007C20D9">
                              <w:t xml:space="preserve"> Displaying Correlation b</w:t>
                            </w:r>
                            <w:r>
                              <w:t>etween Each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48D7F6" id="_x0000_t202" coordsize="21600,21600" o:spt="202" path="m,l,21600r21600,l21600,xe">
                <v:stroke joinstyle="miter"/>
                <v:path gradientshapeok="t" o:connecttype="rect"/>
              </v:shapetype>
              <v:shape id="Text Box 3" o:spid="_x0000_s1026" type="#_x0000_t202" style="position:absolute;margin-left:1.5pt;margin-top:99.2pt;width:21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" stroked="f">
                <v:textbox style="mso-fit-shape-to-text:t" inset="0,0,0,0">
                  <w:txbxContent>
                    <w:p w:rsidR="00645DAC" w:rsidRPr="00E677B3" w:rsidRDefault="00645DAC" w:rsidP="00645DAC">
                      <w:pPr>
                        <w:pStyle w:val="Caption"/>
                        <w:rPr>
                          <w:noProof/>
                        </w:rPr>
                      </w:pPr>
                      <w:r>
                        <w:t xml:space="preserve">Figure </w:t>
                      </w:r>
                      <w:r w:rsidR="00136744">
                        <w:rPr>
                          <w:noProof/>
                        </w:rPr>
                        <w:fldChar w:fldCharType="begin"/>
                      </w:r>
                      <w:r w:rsidR="00136744">
                        <w:rPr>
                          <w:noProof/>
                        </w:rPr>
                        <w:instrText xml:space="preserve"> SEQ Figure \* ARABIC </w:instrText>
                      </w:r>
                      <w:r w:rsidR="00136744">
                        <w:rPr>
                          <w:noProof/>
                        </w:rPr>
                        <w:fldChar w:fldCharType="separate"/>
                      </w:r>
                      <w:r w:rsidR="003C5221">
                        <w:rPr>
                          <w:noProof/>
                        </w:rPr>
                        <w:t>1</w:t>
                      </w:r>
                      <w:r w:rsidR="00136744">
                        <w:rPr>
                          <w:noProof/>
                        </w:rPr>
                        <w:fldChar w:fldCharType="end"/>
                      </w:r>
                      <w:r>
                        <w:t xml:space="preserve">: </w:t>
                      </w:r>
                      <w:proofErr w:type="spellStart"/>
                      <w:r>
                        <w:t>Corr</w:t>
                      </w:r>
                      <w:r w:rsidR="007C20D9">
                        <w:t>elogram</w:t>
                      </w:r>
                      <w:proofErr w:type="spellEnd"/>
                      <w:r w:rsidR="007C20D9">
                        <w:t xml:space="preserve"> Displaying Correlation b</w:t>
                      </w:r>
                      <w:r>
                        <w:t>etween Each Variable</w:t>
                      </w:r>
                    </w:p>
                  </w:txbxContent>
                </v:textbox>
                <w10:wrap type="square"/>
              </v:shape>
            </w:pict>
          </mc:Fallback>
        </mc:AlternateContent>
      </w:r>
      <w:r w:rsidR="004D6108">
        <w:t>We have reviewed the data to assess any “missing” data</w:t>
      </w:r>
      <w:r w:rsidR="00F222B2">
        <w:t xml:space="preserve">.  </w:t>
      </w:r>
      <w:r w:rsidR="00930ED9">
        <w:t>E</w:t>
      </w:r>
      <w:r w:rsidR="00F222B2">
        <w:t xml:space="preserve">ach </w:t>
      </w:r>
      <w:r w:rsidR="00930ED9">
        <w:t xml:space="preserve">data set </w:t>
      </w:r>
      <w:r w:rsidR="00F222B2">
        <w:t xml:space="preserve">only </w:t>
      </w:r>
      <w:r w:rsidR="00930ED9">
        <w:t xml:space="preserve">has </w:t>
      </w:r>
      <w:r w:rsidR="00F222B2">
        <w:t xml:space="preserve">2-3 </w:t>
      </w:r>
      <w:r w:rsidR="004D6108">
        <w:t xml:space="preserve">missing values.  </w:t>
      </w:r>
      <w:r w:rsidR="00930ED9">
        <w:t>We have imputed values</w:t>
      </w:r>
      <w:r w:rsidR="001655F9">
        <w:t xml:space="preserve"> for those data to ensure the cadence of the data remains consistent</w:t>
      </w:r>
      <w:r w:rsidR="001C7742">
        <w:t>.</w:t>
      </w:r>
      <w:r w:rsidR="00930ED9">
        <w:t xml:space="preserve"> </w:t>
      </w:r>
      <w:r w:rsidR="004D6108">
        <w:t xml:space="preserve">Given the relatively low number of missing observations, it </w:t>
      </w:r>
      <w:r w:rsidR="00194301">
        <w:t xml:space="preserve">did not </w:t>
      </w:r>
      <w:r w:rsidR="004D6108">
        <w:t>have a material impact on the substantive piece of our work – the modeling and forecasting.</w:t>
      </w:r>
    </w:p>
    <w:p w:rsidR="00645DAC" w:rsidRDefault="00645DAC" w:rsidP="007E73E3">
      <w:pPr>
        <w:pStyle w:val="NoSpacing"/>
        <w:rPr>
          <w:b/>
        </w:rPr>
      </w:pPr>
    </w:p>
    <w:p w:rsidR="00AE33CB" w:rsidRPr="00AE33CB" w:rsidRDefault="00AE33CB" w:rsidP="007E73E3">
      <w:pPr>
        <w:pStyle w:val="NoSpacing"/>
        <w:rPr>
          <w:b/>
        </w:rPr>
      </w:pPr>
      <w:r w:rsidRPr="00AE33CB">
        <w:rPr>
          <w:b/>
        </w:rPr>
        <w:t>Data Trends</w:t>
      </w:r>
      <w:r w:rsidR="00F222B2">
        <w:rPr>
          <w:b/>
        </w:rPr>
        <w:t xml:space="preserve"> and Manipulation </w:t>
      </w:r>
    </w:p>
    <w:p w:rsidR="00AE33CB" w:rsidRDefault="00AE33CB" w:rsidP="007E73E3">
      <w:pPr>
        <w:pStyle w:val="NoSpacing"/>
      </w:pPr>
    </w:p>
    <w:p w:rsidR="00AE33CB" w:rsidRDefault="001655F9" w:rsidP="00AE33CB">
      <w:pPr>
        <w:pStyle w:val="NoSpacing"/>
      </w:pPr>
      <w:r>
        <w:t xml:space="preserve">To ensure a successful model, we analyzed the data </w:t>
      </w:r>
      <w:r w:rsidR="00AE33CB">
        <w:t xml:space="preserve">to understand </w:t>
      </w:r>
      <w:r>
        <w:t xml:space="preserve">various key trends </w:t>
      </w:r>
      <w:r w:rsidR="00AE33CB">
        <w:t>and separate out general trends from seasonal trends and random fluctuations</w:t>
      </w:r>
      <w:r w:rsidR="003B690A">
        <w:t>.</w:t>
      </w:r>
      <w:r w:rsidR="003E3C92">
        <w:t xml:space="preserve"> </w:t>
      </w:r>
    </w:p>
    <w:p w:rsidR="007C20D9" w:rsidRDefault="007C20D9" w:rsidP="00AE33CB">
      <w:pPr>
        <w:pStyle w:val="NoSpacing"/>
      </w:pPr>
    </w:p>
    <w:p w:rsidR="00C624B8" w:rsidRDefault="00C624B8" w:rsidP="00C624B8">
      <w:pPr>
        <w:pStyle w:val="NoSpacing"/>
      </w:pPr>
      <w:r>
        <w:t xml:space="preserve">We assessed the data for any major variance or fluctuations.  Major fluctuations can significantly impact the success of a model.  This allows us to determine whether we need to transform the data to make it more ready for analysis and not be unduly influenced by the outlier observations or variances.  </w:t>
      </w:r>
      <w:r w:rsidR="007219AB">
        <w:t xml:space="preserve">It was clear that </w:t>
      </w:r>
      <w:proofErr w:type="spellStart"/>
      <w:r w:rsidR="007219AB">
        <w:t>Var</w:t>
      </w:r>
      <w:proofErr w:type="spellEnd"/>
      <w:r w:rsidR="007219AB">
        <w:t xml:space="preserve"> 2 w</w:t>
      </w:r>
      <w:r w:rsidR="002B089E">
        <w:t>as</w:t>
      </w:r>
      <w:r w:rsidR="0072048D">
        <w:t xml:space="preserve"> very volatile</w:t>
      </w:r>
      <w:r w:rsidR="007219AB">
        <w:t xml:space="preserve"> while the others showed more stable trends over periods</w:t>
      </w:r>
      <w:r w:rsidR="000B046F">
        <w:t>.</w:t>
      </w:r>
      <w:r w:rsidR="007219AB">
        <w:t xml:space="preserve"> </w:t>
      </w:r>
    </w:p>
    <w:p w:rsidR="00C624B8" w:rsidRDefault="00C624B8" w:rsidP="00AE33CB">
      <w:pPr>
        <w:pStyle w:val="NoSpacing"/>
      </w:pPr>
    </w:p>
    <w:p w:rsidR="00C624B8" w:rsidRDefault="00C624B8" w:rsidP="007E73E3">
      <w:pPr>
        <w:pStyle w:val="NoSpacing"/>
      </w:pPr>
      <w:r>
        <w:t xml:space="preserve">All the data sets showed some seasonal trends, but for some data sets, the trend was clearer than others.  </w:t>
      </w:r>
      <w:r w:rsidR="00F222B2">
        <w:t xml:space="preserve">For data sets </w:t>
      </w:r>
      <w:proofErr w:type="spellStart"/>
      <w:r w:rsidR="00F222B2">
        <w:t>Var</w:t>
      </w:r>
      <w:proofErr w:type="spellEnd"/>
      <w:r w:rsidR="00814EE4">
        <w:t xml:space="preserve"> </w:t>
      </w:r>
      <w:r w:rsidR="00F222B2">
        <w:t xml:space="preserve">1, </w:t>
      </w:r>
      <w:r w:rsidR="002B089E">
        <w:t xml:space="preserve">3, </w:t>
      </w:r>
      <w:r w:rsidR="00F222B2">
        <w:t xml:space="preserve">5 and 7, </w:t>
      </w:r>
      <w:r w:rsidR="00AE33CB">
        <w:t xml:space="preserve">we </w:t>
      </w:r>
      <w:r w:rsidR="00F222B2">
        <w:t xml:space="preserve">see clear </w:t>
      </w:r>
      <w:r w:rsidR="00AE33CB">
        <w:t xml:space="preserve">seasonal trends, </w:t>
      </w:r>
      <w:r w:rsidR="00983312">
        <w:t xml:space="preserve">generally </w:t>
      </w:r>
      <w:r w:rsidR="00F222B2">
        <w:t>rising to a peak in the early months of the calendar year before declining to a low towards the end of the calendar year</w:t>
      </w:r>
      <w:r w:rsidR="00AE33CB">
        <w:t>.</w:t>
      </w:r>
      <w:r w:rsidR="00814EE4">
        <w:t xml:space="preserve">  For data set</w:t>
      </w:r>
      <w:r>
        <w:t xml:space="preserve"> </w:t>
      </w:r>
      <w:proofErr w:type="spellStart"/>
      <w:r>
        <w:t>Var</w:t>
      </w:r>
      <w:proofErr w:type="spellEnd"/>
      <w:r>
        <w:t xml:space="preserve"> 2, we </w:t>
      </w:r>
      <w:r w:rsidR="00A64D9B">
        <w:t xml:space="preserve">again </w:t>
      </w:r>
      <w:r>
        <w:t>see a lot more volatility i</w:t>
      </w:r>
      <w:r w:rsidR="00E52971">
        <w:t>n</w:t>
      </w:r>
      <w:r>
        <w:t xml:space="preserve"> </w:t>
      </w:r>
      <w:r w:rsidR="002E56E0">
        <w:t>the seasonal trend</w:t>
      </w:r>
      <w:r w:rsidR="004518DB">
        <w:t xml:space="preserve"> similar to the general plot</w:t>
      </w:r>
      <w:r w:rsidR="002E56E0">
        <w:t xml:space="preserve">. </w:t>
      </w:r>
    </w:p>
    <w:p w:rsidR="00A91F66" w:rsidRDefault="00A91F66" w:rsidP="007E73E3">
      <w:pPr>
        <w:pStyle w:val="NoSpacing"/>
      </w:pPr>
    </w:p>
    <w:p w:rsidR="00A91F66" w:rsidRDefault="00564673" w:rsidP="007E73E3">
      <w:pPr>
        <w:pStyle w:val="NoSpacing"/>
      </w:pPr>
      <w:r>
        <w:t>To illustrate these distinctions, b</w:t>
      </w:r>
      <w:r w:rsidR="00A91F66">
        <w:t xml:space="preserve">elow </w:t>
      </w:r>
      <w:r w:rsidR="003C5221">
        <w:t xml:space="preserve">in Figures 2 and 3 </w:t>
      </w:r>
      <w:r w:rsidR="00A91F66">
        <w:t xml:space="preserve">we show two different data sets – </w:t>
      </w:r>
      <w:proofErr w:type="spellStart"/>
      <w:r w:rsidR="00A91F66">
        <w:t>Var</w:t>
      </w:r>
      <w:proofErr w:type="spellEnd"/>
      <w:r w:rsidR="00A91F66">
        <w:t xml:space="preserve"> 1 and </w:t>
      </w:r>
      <w:proofErr w:type="spellStart"/>
      <w:r w:rsidR="00A91F66">
        <w:t>Var</w:t>
      </w:r>
      <w:proofErr w:type="spellEnd"/>
      <w:r w:rsidR="00A91F66">
        <w:t xml:space="preserve"> 2 within group S01</w:t>
      </w:r>
      <w:r w:rsidR="00DA760A">
        <w:t xml:space="preserve">, “decomposed” into separate elements </w:t>
      </w:r>
      <w:r w:rsidR="00BA7040">
        <w:t xml:space="preserve">– the overall pattern of the data (row 1); broken into a general trend </w:t>
      </w:r>
      <w:r w:rsidR="00175A8B">
        <w:t xml:space="preserve">of the data </w:t>
      </w:r>
      <w:r w:rsidR="00BA7040">
        <w:t xml:space="preserve">(row 2), a seasonal trend (row 3) and other </w:t>
      </w:r>
      <w:r w:rsidR="00D25CAC">
        <w:t xml:space="preserve">random </w:t>
      </w:r>
      <w:r w:rsidR="00BA7040">
        <w:t>fluctuations (row 4</w:t>
      </w:r>
      <w:r w:rsidR="00A91F66">
        <w:t>.</w:t>
      </w:r>
      <w:r w:rsidR="00BA7040">
        <w:t>)</w:t>
      </w:r>
      <w:r w:rsidR="00A91F66">
        <w:t xml:space="preserve">  You will notice that </w:t>
      </w:r>
      <w:proofErr w:type="spellStart"/>
      <w:r w:rsidR="00A91F66">
        <w:t>Var</w:t>
      </w:r>
      <w:proofErr w:type="spellEnd"/>
      <w:r w:rsidR="00A91F66">
        <w:t xml:space="preserve"> 1 </w:t>
      </w:r>
      <w:r w:rsidR="00881D55">
        <w:t xml:space="preserve">is </w:t>
      </w:r>
      <w:r>
        <w:t xml:space="preserve">relatively stable </w:t>
      </w:r>
      <w:r w:rsidR="00881D55">
        <w:t xml:space="preserve">– both </w:t>
      </w:r>
      <w:r>
        <w:t xml:space="preserve">in general </w:t>
      </w:r>
      <w:r w:rsidR="00A91F66">
        <w:t xml:space="preserve">and </w:t>
      </w:r>
      <w:r w:rsidR="00881D55">
        <w:t xml:space="preserve">per its </w:t>
      </w:r>
      <w:r w:rsidR="00A91F66">
        <w:t xml:space="preserve">seasonal trends; whereas </w:t>
      </w:r>
      <w:proofErr w:type="spellStart"/>
      <w:r w:rsidR="00A91F66">
        <w:t>Var</w:t>
      </w:r>
      <w:proofErr w:type="spellEnd"/>
      <w:r w:rsidR="00A91F66">
        <w:t xml:space="preserve"> 2 shows much more volatility </w:t>
      </w:r>
      <w:r w:rsidR="00881D55">
        <w:t xml:space="preserve">generally </w:t>
      </w:r>
      <w:r w:rsidR="00A91F66">
        <w:t xml:space="preserve">and </w:t>
      </w:r>
      <w:r w:rsidR="00881D55">
        <w:t xml:space="preserve">within the </w:t>
      </w:r>
      <w:r w:rsidR="00A91F66">
        <w:t xml:space="preserve">seasonal trends.  </w:t>
      </w:r>
    </w:p>
    <w:p w:rsidR="00645DAC" w:rsidRDefault="00A91F66" w:rsidP="00645DAC">
      <w:pPr>
        <w:pStyle w:val="NoSpacing"/>
        <w:keepNext/>
      </w:pPr>
      <w:r>
        <w:rPr>
          <w:noProof/>
        </w:rPr>
        <w:drawing>
          <wp:inline distT="0" distB="0" distL="0" distR="0">
            <wp:extent cx="2962010" cy="2804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1Var1 Dec.png"/>
                    <pic:cNvPicPr/>
                  </pic:nvPicPr>
                  <pic:blipFill>
                    <a:blip r:embed="rId8">
                      <a:extLst>
                        <a:ext uri="{28A0092B-C50C-407E-A947-70E740481C1C}">
                          <a14:useLocalDpi xmlns:a14="http://schemas.microsoft.com/office/drawing/2010/main" val="0"/>
                        </a:ext>
                      </a:extLst>
                    </a:blip>
                    <a:stretch>
                      <a:fillRect/>
                    </a:stretch>
                  </pic:blipFill>
                  <pic:spPr>
                    <a:xfrm>
                      <a:off x="0" y="0"/>
                      <a:ext cx="2965605" cy="2807564"/>
                    </a:xfrm>
                    <a:prstGeom prst="rect">
                      <a:avLst/>
                    </a:prstGeom>
                  </pic:spPr>
                </pic:pic>
              </a:graphicData>
            </a:graphic>
          </wp:inline>
        </w:drawing>
      </w:r>
      <w:r w:rsidR="003C5221">
        <w:rPr>
          <w:noProof/>
        </w:rPr>
        <w:drawing>
          <wp:inline distT="0" distB="0" distL="0" distR="0" wp14:anchorId="7FAB1A3F" wp14:editId="621AE7CF">
            <wp:extent cx="2962275" cy="28437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1Var2.png"/>
                    <pic:cNvPicPr/>
                  </pic:nvPicPr>
                  <pic:blipFill>
                    <a:blip r:embed="rId9">
                      <a:extLst>
                        <a:ext uri="{28A0092B-C50C-407E-A947-70E740481C1C}">
                          <a14:useLocalDpi xmlns:a14="http://schemas.microsoft.com/office/drawing/2010/main" val="0"/>
                        </a:ext>
                      </a:extLst>
                    </a:blip>
                    <a:stretch>
                      <a:fillRect/>
                    </a:stretch>
                  </pic:blipFill>
                  <pic:spPr>
                    <a:xfrm>
                      <a:off x="0" y="0"/>
                      <a:ext cx="2975094" cy="2856090"/>
                    </a:xfrm>
                    <a:prstGeom prst="rect">
                      <a:avLst/>
                    </a:prstGeom>
                  </pic:spPr>
                </pic:pic>
              </a:graphicData>
            </a:graphic>
          </wp:inline>
        </w:drawing>
      </w:r>
    </w:p>
    <w:p w:rsidR="00A91F66" w:rsidRDefault="00645DAC" w:rsidP="003C5221">
      <w:pPr>
        <w:pStyle w:val="Caption"/>
      </w:pPr>
      <w:r>
        <w:t xml:space="preserve">Figure </w:t>
      </w:r>
      <w:r w:rsidR="00136744">
        <w:rPr>
          <w:noProof/>
        </w:rPr>
        <w:fldChar w:fldCharType="begin"/>
      </w:r>
      <w:r w:rsidR="00136744">
        <w:rPr>
          <w:noProof/>
        </w:rPr>
        <w:instrText xml:space="preserve"> SEQ Figure \* ARABIC </w:instrText>
      </w:r>
      <w:r w:rsidR="00136744">
        <w:rPr>
          <w:noProof/>
        </w:rPr>
        <w:fldChar w:fldCharType="separate"/>
      </w:r>
      <w:r w:rsidR="003C5221">
        <w:rPr>
          <w:noProof/>
        </w:rPr>
        <w:t>2</w:t>
      </w:r>
      <w:r w:rsidR="00136744">
        <w:rPr>
          <w:noProof/>
        </w:rPr>
        <w:fldChar w:fldCharType="end"/>
      </w:r>
      <w:r>
        <w:t xml:space="preserve">: Decomposing </w:t>
      </w:r>
      <w:proofErr w:type="spellStart"/>
      <w:r>
        <w:t>Var</w:t>
      </w:r>
      <w:proofErr w:type="spellEnd"/>
      <w:r>
        <w:t xml:space="preserve"> 1 (S01)</w:t>
      </w:r>
      <w:r w:rsidR="003C5221" w:rsidRPr="003C5221">
        <w:rPr>
          <w:noProof/>
        </w:rPr>
        <w:t xml:space="preserve"> </w:t>
      </w:r>
      <w:r w:rsidR="003C5221">
        <w:t xml:space="preserve"> </w:t>
      </w:r>
      <w:r w:rsidR="003C5221">
        <w:tab/>
      </w:r>
      <w:r w:rsidR="003C5221">
        <w:tab/>
      </w:r>
      <w:r w:rsidR="003C5221">
        <w:tab/>
      </w:r>
      <w:r w:rsidR="003C5221">
        <w:tab/>
        <w:t xml:space="preserve">Figure </w:t>
      </w:r>
      <w:r w:rsidR="00136744">
        <w:rPr>
          <w:noProof/>
        </w:rPr>
        <w:fldChar w:fldCharType="begin"/>
      </w:r>
      <w:r w:rsidR="00136744">
        <w:rPr>
          <w:noProof/>
        </w:rPr>
        <w:instrText xml:space="preserve"> SEQ Figure \* ARABIC </w:instrText>
      </w:r>
      <w:r w:rsidR="00136744">
        <w:rPr>
          <w:noProof/>
        </w:rPr>
        <w:fldChar w:fldCharType="separate"/>
      </w:r>
      <w:r w:rsidR="003C5221">
        <w:rPr>
          <w:noProof/>
        </w:rPr>
        <w:t>3</w:t>
      </w:r>
      <w:r w:rsidR="00136744">
        <w:rPr>
          <w:noProof/>
        </w:rPr>
        <w:fldChar w:fldCharType="end"/>
      </w:r>
      <w:r w:rsidR="003C5221">
        <w:t xml:space="preserve">: Decomposing </w:t>
      </w:r>
      <w:proofErr w:type="spellStart"/>
      <w:r w:rsidR="003C5221">
        <w:t>Var</w:t>
      </w:r>
      <w:proofErr w:type="spellEnd"/>
      <w:r w:rsidR="003C5221">
        <w:t xml:space="preserve"> 2 (S01)</w:t>
      </w:r>
    </w:p>
    <w:p w:rsidR="004D6108" w:rsidRDefault="004D6108" w:rsidP="007E73E3">
      <w:pPr>
        <w:pStyle w:val="NoSpacing"/>
        <w:rPr>
          <w:b/>
        </w:rPr>
      </w:pPr>
      <w:r w:rsidRPr="004D6108">
        <w:rPr>
          <w:b/>
        </w:rPr>
        <w:t>Models</w:t>
      </w:r>
      <w:r w:rsidR="006A5057">
        <w:rPr>
          <w:b/>
        </w:rPr>
        <w:t xml:space="preserve"> and Forecasts</w:t>
      </w:r>
    </w:p>
    <w:p w:rsidR="004D6108" w:rsidRDefault="004D6108" w:rsidP="007E73E3">
      <w:pPr>
        <w:pStyle w:val="NoSpacing"/>
        <w:rPr>
          <w:b/>
        </w:rPr>
      </w:pPr>
    </w:p>
    <w:p w:rsidR="006F1526" w:rsidRDefault="002E56E0" w:rsidP="007E73E3">
      <w:pPr>
        <w:pStyle w:val="NoSpacing"/>
      </w:pPr>
      <w:r>
        <w:t xml:space="preserve">A successful model will use past data and the fluctuations </w:t>
      </w:r>
      <w:r w:rsidR="00E318DF">
        <w:t xml:space="preserve">and errors within forecast models </w:t>
      </w:r>
      <w:r>
        <w:t xml:space="preserve">to provide a strong forecast for future data sets, weighing more recent evidence more strongly than older </w:t>
      </w:r>
      <w:r w:rsidR="007C3FDD">
        <w:t>observations</w:t>
      </w:r>
      <w:r>
        <w:t xml:space="preserve">.  </w:t>
      </w:r>
      <w:r w:rsidR="00FA37A4">
        <w:t xml:space="preserve">We developed several </w:t>
      </w:r>
      <w:r w:rsidR="004A5C58">
        <w:t>models</w:t>
      </w:r>
      <w:r w:rsidR="00983312">
        <w:t xml:space="preserve"> </w:t>
      </w:r>
      <w:r w:rsidR="005119C1">
        <w:t>using</w:t>
      </w:r>
      <w:r>
        <w:t xml:space="preserve"> those </w:t>
      </w:r>
      <w:r w:rsidR="00316141">
        <w:t xml:space="preserve">elements </w:t>
      </w:r>
      <w:r>
        <w:t xml:space="preserve">as part of </w:t>
      </w:r>
      <w:r w:rsidR="00983312">
        <w:t>industry standard forecasting techniques</w:t>
      </w:r>
      <w:r w:rsidR="001C4C25">
        <w:t xml:space="preserve"> (ARIMA, ETS</w:t>
      </w:r>
      <w:r w:rsidR="00804C0D">
        <w:t xml:space="preserve">, </w:t>
      </w:r>
      <w:proofErr w:type="gramStart"/>
      <w:r w:rsidR="00804C0D">
        <w:t>STL</w:t>
      </w:r>
      <w:proofErr w:type="gramEnd"/>
      <w:r w:rsidR="004A5C58">
        <w:t>.</w:t>
      </w:r>
      <w:r w:rsidR="001C4C25">
        <w:t>)</w:t>
      </w:r>
      <w:r w:rsidR="006F1526">
        <w:t xml:space="preserve">  </w:t>
      </w:r>
    </w:p>
    <w:p w:rsidR="006F1526" w:rsidRDefault="006F1526" w:rsidP="007E73E3">
      <w:pPr>
        <w:pStyle w:val="NoSpacing"/>
      </w:pPr>
    </w:p>
    <w:p w:rsidR="001B331F" w:rsidRDefault="00BB718A" w:rsidP="001B331F">
      <w:pPr>
        <w:pStyle w:val="NoSpacing"/>
      </w:pPr>
      <w:r>
        <w:t xml:space="preserve">We developed functions that allowed us to </w:t>
      </w:r>
      <w:r w:rsidR="00983312">
        <w:t xml:space="preserve">rapidly test </w:t>
      </w:r>
      <w:r w:rsidR="006011B8">
        <w:t xml:space="preserve">all these </w:t>
      </w:r>
      <w:r w:rsidR="00983312">
        <w:t xml:space="preserve">different </w:t>
      </w:r>
      <w:r w:rsidR="006011B8">
        <w:t xml:space="preserve">types of forecasting </w:t>
      </w:r>
      <w:r w:rsidR="00983312">
        <w:t xml:space="preserve">models using the </w:t>
      </w:r>
      <w:r w:rsidR="00DB6513">
        <w:t xml:space="preserve">past </w:t>
      </w:r>
      <w:r w:rsidR="00983312">
        <w:t xml:space="preserve">data and </w:t>
      </w:r>
      <w:r>
        <w:t xml:space="preserve">a variety of </w:t>
      </w:r>
      <w:r w:rsidR="00DB6513">
        <w:t>other settings</w:t>
      </w:r>
      <w:r w:rsidR="001D0BA5">
        <w:t xml:space="preserve">.  For example, we tested </w:t>
      </w:r>
      <w:r>
        <w:t xml:space="preserve">different time </w:t>
      </w:r>
      <w:r w:rsidR="001D0BA5">
        <w:t xml:space="preserve">frequencies </w:t>
      </w:r>
      <w:r>
        <w:t>(e</w:t>
      </w:r>
      <w:r w:rsidR="003B690A">
        <w:t>.</w:t>
      </w:r>
      <w:r>
        <w:t>g</w:t>
      </w:r>
      <w:r w:rsidR="003B690A">
        <w:t>.</w:t>
      </w:r>
      <w:r>
        <w:t xml:space="preserve"> daily </w:t>
      </w:r>
      <w:r w:rsidR="00CC76F7">
        <w:t xml:space="preserve">(5) </w:t>
      </w:r>
      <w:r>
        <w:t xml:space="preserve">vs monthly </w:t>
      </w:r>
      <w:r w:rsidR="00CC76F7">
        <w:t xml:space="preserve">(12) </w:t>
      </w:r>
      <w:r>
        <w:t>vs annual</w:t>
      </w:r>
      <w:r w:rsidR="00CC76F7">
        <w:t xml:space="preserve"> (252</w:t>
      </w:r>
      <w:r>
        <w:t>)</w:t>
      </w:r>
      <w:r w:rsidR="00CC76F7">
        <w:t>)</w:t>
      </w:r>
      <w:r>
        <w:t xml:space="preserve">, </w:t>
      </w:r>
      <w:r w:rsidR="001B331F">
        <w:t xml:space="preserve">and multiple frequencies, </w:t>
      </w:r>
      <w:r w:rsidR="00885F94">
        <w:t xml:space="preserve">the inclusion of a seasonal component, </w:t>
      </w:r>
      <w:r w:rsidR="00A45A4F">
        <w:t>transformations</w:t>
      </w:r>
      <w:r w:rsidR="001B331F">
        <w:t xml:space="preserve"> </w:t>
      </w:r>
      <w:r w:rsidR="00A45A4F">
        <w:t xml:space="preserve">to smooth the data, </w:t>
      </w:r>
      <w:r>
        <w:t xml:space="preserve">and other </w:t>
      </w:r>
      <w:r w:rsidR="000D10A2">
        <w:t xml:space="preserve">more technical </w:t>
      </w:r>
      <w:r>
        <w:t>inputs</w:t>
      </w:r>
      <w:r w:rsidR="00833306">
        <w:t xml:space="preserve"> and assessments</w:t>
      </w:r>
      <w:r>
        <w:t>.</w:t>
      </w:r>
      <w:r w:rsidR="0065332B">
        <w:t xml:space="preserve">  We tested those models</w:t>
      </w:r>
      <w:r w:rsidR="00281AA6">
        <w:t xml:space="preserve"> using industry-standard diagnostic models to ensure the models were appropriate.</w:t>
      </w:r>
    </w:p>
    <w:p w:rsidR="00281AA6" w:rsidRDefault="00281AA6" w:rsidP="007E73E3">
      <w:pPr>
        <w:pStyle w:val="NoSpacing"/>
      </w:pPr>
    </w:p>
    <w:p w:rsidR="007C20D9" w:rsidRDefault="00246BFB" w:rsidP="007E73E3">
      <w:pPr>
        <w:pStyle w:val="NoSpacing"/>
      </w:pPr>
      <w:r>
        <w:t xml:space="preserve">In the end, </w:t>
      </w:r>
      <w:r w:rsidR="00833306">
        <w:t>we selected a model that could handle seasonality (STLF</w:t>
      </w:r>
      <w:r w:rsidR="00256C33">
        <w:t>)</w:t>
      </w:r>
      <w:r w:rsidR="00833306">
        <w:t xml:space="preserve"> together with </w:t>
      </w:r>
      <w:r>
        <w:t>ARIMA</w:t>
      </w:r>
      <w:r w:rsidR="00256C33">
        <w:t xml:space="preserve"> as the underlying method.  </w:t>
      </w:r>
      <w:r w:rsidR="00D230B4">
        <w:t xml:space="preserve">We further transformed the data </w:t>
      </w:r>
      <w:r w:rsidR="00FA4C6E">
        <w:t xml:space="preserve">(Box Cox) </w:t>
      </w:r>
      <w:r w:rsidR="00D230B4">
        <w:t xml:space="preserve">to smooth it.  </w:t>
      </w:r>
      <w:r w:rsidR="00256C33">
        <w:t xml:space="preserve">Across all data sets, this model </w:t>
      </w:r>
      <w:r>
        <w:t xml:space="preserve">worked better than all the others we tested. </w:t>
      </w:r>
      <w:r w:rsidR="006F048E">
        <w:t xml:space="preserve"> </w:t>
      </w:r>
      <w:r w:rsidR="007C20D9">
        <w:t xml:space="preserve">Below </w:t>
      </w:r>
      <w:r w:rsidR="006A5057">
        <w:t xml:space="preserve">is a summary of </w:t>
      </w:r>
      <w:r w:rsidR="00C72EF7">
        <w:t xml:space="preserve">the </w:t>
      </w:r>
      <w:r w:rsidR="00E42628">
        <w:t>forecasts based on th</w:t>
      </w:r>
      <w:r w:rsidR="004021FA">
        <w:t xml:space="preserve">e </w:t>
      </w:r>
      <w:r w:rsidR="00E42628">
        <w:t xml:space="preserve">best performing </w:t>
      </w:r>
      <w:r w:rsidR="004021FA">
        <w:t>models</w:t>
      </w:r>
      <w:r w:rsidR="00C72EF7">
        <w:t>.</w:t>
      </w:r>
      <w:r>
        <w:t xml:space="preserve"> </w:t>
      </w:r>
    </w:p>
    <w:p w:rsidR="0072048D" w:rsidRDefault="0072048D" w:rsidP="007E73E3">
      <w:pPr>
        <w:pStyle w:val="NoSpacing"/>
      </w:pPr>
    </w:p>
    <w:p w:rsidR="0072048D" w:rsidRDefault="0072048D" w:rsidP="007E73E3">
      <w:pPr>
        <w:pStyle w:val="NoSpacing"/>
      </w:pPr>
    </w:p>
    <w:tbl>
      <w:tblPr>
        <w:tblStyle w:val="TableGrid"/>
        <w:tblW w:w="0" w:type="auto"/>
        <w:tblLook w:val="04A0" w:firstRow="1" w:lastRow="0" w:firstColumn="1" w:lastColumn="0" w:noHBand="0" w:noVBand="1"/>
      </w:tblPr>
      <w:tblGrid>
        <w:gridCol w:w="985"/>
        <w:gridCol w:w="900"/>
        <w:gridCol w:w="1260"/>
        <w:gridCol w:w="5850"/>
      </w:tblGrid>
      <w:tr w:rsidR="007C20D9" w:rsidTr="007C20D9">
        <w:tc>
          <w:tcPr>
            <w:tcW w:w="985" w:type="dxa"/>
          </w:tcPr>
          <w:p w:rsidR="007C20D9" w:rsidRDefault="007C20D9" w:rsidP="007E73E3">
            <w:pPr>
              <w:pStyle w:val="NoSpacing"/>
            </w:pPr>
            <w:r>
              <w:lastRenderedPageBreak/>
              <w:t xml:space="preserve">Group </w:t>
            </w:r>
          </w:p>
        </w:tc>
        <w:tc>
          <w:tcPr>
            <w:tcW w:w="900" w:type="dxa"/>
          </w:tcPr>
          <w:p w:rsidR="007C20D9" w:rsidRDefault="007C20D9" w:rsidP="007E73E3">
            <w:pPr>
              <w:pStyle w:val="NoSpacing"/>
            </w:pPr>
            <w:proofErr w:type="spellStart"/>
            <w:r>
              <w:t>Var</w:t>
            </w:r>
            <w:proofErr w:type="spellEnd"/>
          </w:p>
        </w:tc>
        <w:tc>
          <w:tcPr>
            <w:tcW w:w="1260" w:type="dxa"/>
          </w:tcPr>
          <w:p w:rsidR="007C20D9" w:rsidRDefault="007C20D9" w:rsidP="007E73E3">
            <w:pPr>
              <w:pStyle w:val="NoSpacing"/>
            </w:pPr>
            <w:r>
              <w:t>Forecast</w:t>
            </w:r>
          </w:p>
        </w:tc>
        <w:tc>
          <w:tcPr>
            <w:tcW w:w="5850" w:type="dxa"/>
          </w:tcPr>
          <w:p w:rsidR="007C20D9" w:rsidRDefault="007C20D9" w:rsidP="007E73E3">
            <w:pPr>
              <w:pStyle w:val="NoSpacing"/>
            </w:pPr>
            <w:r>
              <w:t>Projection</w:t>
            </w:r>
          </w:p>
        </w:tc>
      </w:tr>
      <w:tr w:rsidR="007C20D9" w:rsidTr="007C20D9">
        <w:tc>
          <w:tcPr>
            <w:tcW w:w="985" w:type="dxa"/>
            <w:vMerge w:val="restart"/>
          </w:tcPr>
          <w:p w:rsidR="007C20D9" w:rsidRDefault="007C20D9" w:rsidP="007E73E3">
            <w:pPr>
              <w:pStyle w:val="NoSpacing"/>
            </w:pPr>
            <w:r>
              <w:t>1</w:t>
            </w:r>
          </w:p>
        </w:tc>
        <w:tc>
          <w:tcPr>
            <w:tcW w:w="900" w:type="dxa"/>
          </w:tcPr>
          <w:p w:rsidR="007C20D9" w:rsidRDefault="007C20D9" w:rsidP="007E73E3">
            <w:pPr>
              <w:pStyle w:val="NoSpacing"/>
            </w:pPr>
            <w:r>
              <w:t>1</w:t>
            </w:r>
          </w:p>
        </w:tc>
        <w:tc>
          <w:tcPr>
            <w:tcW w:w="1260" w:type="dxa"/>
            <w:shd w:val="clear" w:color="auto" w:fill="00B050"/>
          </w:tcPr>
          <w:p w:rsidR="007C20D9" w:rsidRDefault="007C20D9" w:rsidP="007E73E3">
            <w:pPr>
              <w:pStyle w:val="NoSpacing"/>
            </w:pPr>
          </w:p>
        </w:tc>
        <w:tc>
          <w:tcPr>
            <w:tcW w:w="5850" w:type="dxa"/>
          </w:tcPr>
          <w:p w:rsidR="007C20D9" w:rsidRDefault="007C20D9" w:rsidP="007E73E3">
            <w:pPr>
              <w:pStyle w:val="NoSpacing"/>
            </w:pPr>
            <w:r>
              <w:t>The data will continue its upward trend</w:t>
            </w:r>
          </w:p>
        </w:tc>
      </w:tr>
      <w:tr w:rsidR="007C20D9" w:rsidTr="007C20D9">
        <w:tc>
          <w:tcPr>
            <w:tcW w:w="985" w:type="dxa"/>
            <w:vMerge/>
          </w:tcPr>
          <w:p w:rsidR="007C20D9" w:rsidRDefault="007C20D9" w:rsidP="007E73E3">
            <w:pPr>
              <w:pStyle w:val="NoSpacing"/>
            </w:pPr>
          </w:p>
        </w:tc>
        <w:tc>
          <w:tcPr>
            <w:tcW w:w="900" w:type="dxa"/>
          </w:tcPr>
          <w:p w:rsidR="007C20D9" w:rsidRDefault="007C20D9" w:rsidP="007E73E3">
            <w:pPr>
              <w:pStyle w:val="NoSpacing"/>
            </w:pPr>
            <w:r>
              <w:t>2</w:t>
            </w:r>
          </w:p>
        </w:tc>
        <w:tc>
          <w:tcPr>
            <w:tcW w:w="1260" w:type="dxa"/>
            <w:shd w:val="clear" w:color="auto" w:fill="FF0000"/>
          </w:tcPr>
          <w:p w:rsidR="007C20D9" w:rsidRDefault="007C20D9" w:rsidP="007E73E3">
            <w:pPr>
              <w:pStyle w:val="NoSpacing"/>
            </w:pPr>
          </w:p>
        </w:tc>
        <w:tc>
          <w:tcPr>
            <w:tcW w:w="5850" w:type="dxa"/>
          </w:tcPr>
          <w:p w:rsidR="007C20D9" w:rsidRDefault="007C20D9" w:rsidP="007E73E3">
            <w:pPr>
              <w:pStyle w:val="NoSpacing"/>
            </w:pPr>
            <w:r>
              <w:t>The data will remain volatile and eventually decline</w:t>
            </w:r>
          </w:p>
        </w:tc>
      </w:tr>
      <w:tr w:rsidR="007C20D9" w:rsidTr="007C20D9">
        <w:tc>
          <w:tcPr>
            <w:tcW w:w="985" w:type="dxa"/>
            <w:vMerge w:val="restart"/>
          </w:tcPr>
          <w:p w:rsidR="007C20D9" w:rsidRDefault="007C20D9" w:rsidP="007E73E3">
            <w:pPr>
              <w:pStyle w:val="NoSpacing"/>
            </w:pPr>
            <w:r>
              <w:t>2</w:t>
            </w:r>
          </w:p>
        </w:tc>
        <w:tc>
          <w:tcPr>
            <w:tcW w:w="900" w:type="dxa"/>
          </w:tcPr>
          <w:p w:rsidR="007C20D9" w:rsidRDefault="007C20D9" w:rsidP="007E73E3">
            <w:pPr>
              <w:pStyle w:val="NoSpacing"/>
            </w:pPr>
            <w:r>
              <w:t>2</w:t>
            </w:r>
          </w:p>
        </w:tc>
        <w:tc>
          <w:tcPr>
            <w:tcW w:w="1260" w:type="dxa"/>
            <w:shd w:val="clear" w:color="auto" w:fill="FFFF00"/>
          </w:tcPr>
          <w:p w:rsidR="007C20D9" w:rsidRDefault="007C20D9" w:rsidP="007E73E3">
            <w:pPr>
              <w:pStyle w:val="NoSpacing"/>
            </w:pPr>
          </w:p>
        </w:tc>
        <w:tc>
          <w:tcPr>
            <w:tcW w:w="5850" w:type="dxa"/>
          </w:tcPr>
          <w:p w:rsidR="007C20D9" w:rsidRDefault="007C20D9" w:rsidP="007E73E3">
            <w:pPr>
              <w:pStyle w:val="NoSpacing"/>
            </w:pPr>
            <w:r>
              <w:t>The data will remain volatile but hover around the same value</w:t>
            </w:r>
          </w:p>
        </w:tc>
      </w:tr>
      <w:tr w:rsidR="007C20D9" w:rsidTr="007C20D9">
        <w:tc>
          <w:tcPr>
            <w:tcW w:w="985" w:type="dxa"/>
            <w:vMerge/>
          </w:tcPr>
          <w:p w:rsidR="007C20D9" w:rsidRDefault="007C20D9" w:rsidP="007E73E3">
            <w:pPr>
              <w:pStyle w:val="NoSpacing"/>
            </w:pPr>
          </w:p>
        </w:tc>
        <w:tc>
          <w:tcPr>
            <w:tcW w:w="900" w:type="dxa"/>
          </w:tcPr>
          <w:p w:rsidR="007C20D9" w:rsidRDefault="007C20D9" w:rsidP="007E73E3">
            <w:pPr>
              <w:pStyle w:val="NoSpacing"/>
            </w:pPr>
            <w:r>
              <w:t>3</w:t>
            </w:r>
          </w:p>
        </w:tc>
        <w:tc>
          <w:tcPr>
            <w:tcW w:w="1260" w:type="dxa"/>
            <w:shd w:val="clear" w:color="auto" w:fill="FFFF00"/>
          </w:tcPr>
          <w:p w:rsidR="007C20D9" w:rsidRDefault="007C20D9" w:rsidP="007E73E3">
            <w:pPr>
              <w:pStyle w:val="NoSpacing"/>
            </w:pPr>
          </w:p>
        </w:tc>
        <w:tc>
          <w:tcPr>
            <w:tcW w:w="5850" w:type="dxa"/>
          </w:tcPr>
          <w:p w:rsidR="007C20D9" w:rsidRDefault="007C20D9" w:rsidP="007E73E3">
            <w:pPr>
              <w:pStyle w:val="NoSpacing"/>
            </w:pPr>
            <w:r>
              <w:t>The data will remain relatively constant</w:t>
            </w:r>
          </w:p>
        </w:tc>
      </w:tr>
      <w:tr w:rsidR="007C20D9" w:rsidTr="007C20D9">
        <w:tc>
          <w:tcPr>
            <w:tcW w:w="985" w:type="dxa"/>
            <w:vMerge w:val="restart"/>
          </w:tcPr>
          <w:p w:rsidR="007C20D9" w:rsidRDefault="007C20D9" w:rsidP="007E73E3">
            <w:pPr>
              <w:pStyle w:val="NoSpacing"/>
            </w:pPr>
            <w:r>
              <w:t>3</w:t>
            </w:r>
          </w:p>
        </w:tc>
        <w:tc>
          <w:tcPr>
            <w:tcW w:w="900" w:type="dxa"/>
          </w:tcPr>
          <w:p w:rsidR="007C20D9" w:rsidRDefault="007C20D9" w:rsidP="007E73E3">
            <w:pPr>
              <w:pStyle w:val="NoSpacing"/>
            </w:pPr>
            <w:r>
              <w:t>5</w:t>
            </w:r>
          </w:p>
        </w:tc>
        <w:tc>
          <w:tcPr>
            <w:tcW w:w="1260" w:type="dxa"/>
            <w:shd w:val="clear" w:color="auto" w:fill="00B050"/>
          </w:tcPr>
          <w:p w:rsidR="007C20D9" w:rsidRDefault="007C20D9" w:rsidP="007E73E3">
            <w:pPr>
              <w:pStyle w:val="NoSpacing"/>
            </w:pPr>
          </w:p>
        </w:tc>
        <w:tc>
          <w:tcPr>
            <w:tcW w:w="5850" w:type="dxa"/>
          </w:tcPr>
          <w:p w:rsidR="007C20D9" w:rsidRDefault="007C20D9" w:rsidP="007E73E3">
            <w:pPr>
              <w:pStyle w:val="NoSpacing"/>
            </w:pPr>
            <w:r>
              <w:t>The data will rise modestly but not yet to previous highs</w:t>
            </w:r>
          </w:p>
        </w:tc>
      </w:tr>
      <w:tr w:rsidR="007C20D9" w:rsidTr="007C20D9">
        <w:tc>
          <w:tcPr>
            <w:tcW w:w="985" w:type="dxa"/>
            <w:vMerge/>
          </w:tcPr>
          <w:p w:rsidR="007C20D9" w:rsidRDefault="007C20D9" w:rsidP="007E73E3">
            <w:pPr>
              <w:pStyle w:val="NoSpacing"/>
            </w:pPr>
          </w:p>
        </w:tc>
        <w:tc>
          <w:tcPr>
            <w:tcW w:w="900" w:type="dxa"/>
          </w:tcPr>
          <w:p w:rsidR="007C20D9" w:rsidRDefault="007C20D9" w:rsidP="007E73E3">
            <w:pPr>
              <w:pStyle w:val="NoSpacing"/>
            </w:pPr>
            <w:r>
              <w:t>7</w:t>
            </w:r>
          </w:p>
        </w:tc>
        <w:tc>
          <w:tcPr>
            <w:tcW w:w="1260" w:type="dxa"/>
            <w:shd w:val="clear" w:color="auto" w:fill="00B050"/>
          </w:tcPr>
          <w:p w:rsidR="007C20D9" w:rsidRDefault="007C20D9" w:rsidP="007E73E3">
            <w:pPr>
              <w:pStyle w:val="NoSpacing"/>
            </w:pPr>
          </w:p>
        </w:tc>
        <w:tc>
          <w:tcPr>
            <w:tcW w:w="5850" w:type="dxa"/>
          </w:tcPr>
          <w:p w:rsidR="007C20D9" w:rsidRDefault="007C20D9" w:rsidP="007E73E3">
            <w:pPr>
              <w:pStyle w:val="NoSpacing"/>
            </w:pPr>
            <w:r>
              <w:t>The data will rise modestly but not yet to previous highs</w:t>
            </w:r>
          </w:p>
        </w:tc>
      </w:tr>
      <w:tr w:rsidR="007C20D9" w:rsidTr="007C20D9">
        <w:tc>
          <w:tcPr>
            <w:tcW w:w="985" w:type="dxa"/>
            <w:vMerge w:val="restart"/>
          </w:tcPr>
          <w:p w:rsidR="007C20D9" w:rsidRDefault="007C20D9" w:rsidP="007E73E3">
            <w:pPr>
              <w:pStyle w:val="NoSpacing"/>
            </w:pPr>
            <w:r>
              <w:t>4</w:t>
            </w:r>
          </w:p>
        </w:tc>
        <w:tc>
          <w:tcPr>
            <w:tcW w:w="900" w:type="dxa"/>
          </w:tcPr>
          <w:p w:rsidR="007C20D9" w:rsidRDefault="007C20D9" w:rsidP="007E73E3">
            <w:pPr>
              <w:pStyle w:val="NoSpacing"/>
            </w:pPr>
            <w:r>
              <w:t>1</w:t>
            </w:r>
          </w:p>
        </w:tc>
        <w:tc>
          <w:tcPr>
            <w:tcW w:w="1260" w:type="dxa"/>
            <w:shd w:val="clear" w:color="auto" w:fill="00B050"/>
          </w:tcPr>
          <w:p w:rsidR="007C20D9" w:rsidRDefault="007C20D9" w:rsidP="007E73E3">
            <w:pPr>
              <w:pStyle w:val="NoSpacing"/>
            </w:pPr>
          </w:p>
        </w:tc>
        <w:tc>
          <w:tcPr>
            <w:tcW w:w="5850" w:type="dxa"/>
          </w:tcPr>
          <w:p w:rsidR="007C20D9" w:rsidRDefault="007C20D9" w:rsidP="007E73E3">
            <w:pPr>
              <w:pStyle w:val="NoSpacing"/>
            </w:pPr>
            <w:r>
              <w:t>The data will rise modestly but not yet to previous highs</w:t>
            </w:r>
          </w:p>
        </w:tc>
      </w:tr>
      <w:tr w:rsidR="007C20D9" w:rsidTr="007C20D9">
        <w:tc>
          <w:tcPr>
            <w:tcW w:w="985" w:type="dxa"/>
            <w:vMerge/>
          </w:tcPr>
          <w:p w:rsidR="007C20D9" w:rsidRDefault="007C20D9" w:rsidP="007E73E3">
            <w:pPr>
              <w:pStyle w:val="NoSpacing"/>
            </w:pPr>
          </w:p>
        </w:tc>
        <w:tc>
          <w:tcPr>
            <w:tcW w:w="900" w:type="dxa"/>
          </w:tcPr>
          <w:p w:rsidR="007C20D9" w:rsidRDefault="007C20D9" w:rsidP="007E73E3">
            <w:pPr>
              <w:pStyle w:val="NoSpacing"/>
            </w:pPr>
            <w:r>
              <w:t>2</w:t>
            </w:r>
          </w:p>
        </w:tc>
        <w:tc>
          <w:tcPr>
            <w:tcW w:w="1260" w:type="dxa"/>
            <w:shd w:val="clear" w:color="auto" w:fill="FFFF00"/>
          </w:tcPr>
          <w:p w:rsidR="007C20D9" w:rsidRDefault="007C20D9" w:rsidP="007E73E3">
            <w:pPr>
              <w:pStyle w:val="NoSpacing"/>
            </w:pPr>
          </w:p>
        </w:tc>
        <w:tc>
          <w:tcPr>
            <w:tcW w:w="5850" w:type="dxa"/>
          </w:tcPr>
          <w:p w:rsidR="007C20D9" w:rsidRDefault="007C20D9" w:rsidP="00D76EB2">
            <w:pPr>
              <w:pStyle w:val="NoSpacing"/>
            </w:pPr>
            <w:r>
              <w:t>The data will remain volatile but hover around the same value</w:t>
            </w:r>
          </w:p>
        </w:tc>
      </w:tr>
      <w:tr w:rsidR="007C20D9" w:rsidTr="00D42106">
        <w:tc>
          <w:tcPr>
            <w:tcW w:w="985" w:type="dxa"/>
            <w:vMerge w:val="restart"/>
          </w:tcPr>
          <w:p w:rsidR="007C20D9" w:rsidRDefault="007C20D9" w:rsidP="007E73E3">
            <w:pPr>
              <w:pStyle w:val="NoSpacing"/>
            </w:pPr>
            <w:r>
              <w:t>5</w:t>
            </w:r>
          </w:p>
        </w:tc>
        <w:tc>
          <w:tcPr>
            <w:tcW w:w="900" w:type="dxa"/>
          </w:tcPr>
          <w:p w:rsidR="007C20D9" w:rsidRDefault="007C20D9" w:rsidP="007E73E3">
            <w:pPr>
              <w:pStyle w:val="NoSpacing"/>
            </w:pPr>
            <w:r>
              <w:t>2</w:t>
            </w:r>
          </w:p>
        </w:tc>
        <w:tc>
          <w:tcPr>
            <w:tcW w:w="1260" w:type="dxa"/>
            <w:shd w:val="clear" w:color="auto" w:fill="FFFF00"/>
          </w:tcPr>
          <w:p w:rsidR="007C20D9" w:rsidRDefault="007C20D9" w:rsidP="007E73E3">
            <w:pPr>
              <w:pStyle w:val="NoSpacing"/>
            </w:pPr>
          </w:p>
        </w:tc>
        <w:tc>
          <w:tcPr>
            <w:tcW w:w="5850" w:type="dxa"/>
          </w:tcPr>
          <w:p w:rsidR="007C20D9" w:rsidRDefault="007C20D9" w:rsidP="00D76EB2">
            <w:pPr>
              <w:pStyle w:val="NoSpacing"/>
            </w:pPr>
            <w:r>
              <w:t>The data will remain volatile but hover around the same value</w:t>
            </w:r>
          </w:p>
        </w:tc>
      </w:tr>
      <w:tr w:rsidR="007C20D9" w:rsidTr="007C20D9">
        <w:tc>
          <w:tcPr>
            <w:tcW w:w="985" w:type="dxa"/>
            <w:vMerge/>
          </w:tcPr>
          <w:p w:rsidR="007C20D9" w:rsidRDefault="007C20D9" w:rsidP="007E73E3">
            <w:pPr>
              <w:pStyle w:val="NoSpacing"/>
            </w:pPr>
          </w:p>
        </w:tc>
        <w:tc>
          <w:tcPr>
            <w:tcW w:w="900" w:type="dxa"/>
          </w:tcPr>
          <w:p w:rsidR="007C20D9" w:rsidRDefault="007C20D9" w:rsidP="007E73E3">
            <w:pPr>
              <w:pStyle w:val="NoSpacing"/>
            </w:pPr>
            <w:r>
              <w:t>3</w:t>
            </w:r>
          </w:p>
        </w:tc>
        <w:tc>
          <w:tcPr>
            <w:tcW w:w="1260" w:type="dxa"/>
            <w:shd w:val="clear" w:color="auto" w:fill="FFFF00"/>
          </w:tcPr>
          <w:p w:rsidR="007C20D9" w:rsidRDefault="007C20D9" w:rsidP="007E73E3">
            <w:pPr>
              <w:pStyle w:val="NoSpacing"/>
            </w:pPr>
          </w:p>
        </w:tc>
        <w:tc>
          <w:tcPr>
            <w:tcW w:w="5850" w:type="dxa"/>
          </w:tcPr>
          <w:p w:rsidR="007C20D9" w:rsidRDefault="007C20D9" w:rsidP="007E73E3">
            <w:pPr>
              <w:pStyle w:val="NoSpacing"/>
            </w:pPr>
            <w:r>
              <w:t>The data will fall and then rise again to current values</w:t>
            </w:r>
          </w:p>
        </w:tc>
      </w:tr>
      <w:tr w:rsidR="007C20D9" w:rsidTr="007C20D9">
        <w:tc>
          <w:tcPr>
            <w:tcW w:w="985" w:type="dxa"/>
            <w:vMerge w:val="restart"/>
          </w:tcPr>
          <w:p w:rsidR="007C20D9" w:rsidRDefault="007C20D9" w:rsidP="007E73E3">
            <w:pPr>
              <w:pStyle w:val="NoSpacing"/>
            </w:pPr>
            <w:r>
              <w:t>6</w:t>
            </w:r>
          </w:p>
        </w:tc>
        <w:tc>
          <w:tcPr>
            <w:tcW w:w="900" w:type="dxa"/>
          </w:tcPr>
          <w:p w:rsidR="007C20D9" w:rsidRDefault="007C20D9" w:rsidP="007E73E3">
            <w:pPr>
              <w:pStyle w:val="NoSpacing"/>
            </w:pPr>
            <w:r>
              <w:t>5</w:t>
            </w:r>
          </w:p>
        </w:tc>
        <w:tc>
          <w:tcPr>
            <w:tcW w:w="1260" w:type="dxa"/>
            <w:shd w:val="clear" w:color="auto" w:fill="FF0000"/>
          </w:tcPr>
          <w:p w:rsidR="007C20D9" w:rsidRDefault="007C20D9" w:rsidP="007E73E3">
            <w:pPr>
              <w:pStyle w:val="NoSpacing"/>
            </w:pPr>
          </w:p>
        </w:tc>
        <w:tc>
          <w:tcPr>
            <w:tcW w:w="5850" w:type="dxa"/>
          </w:tcPr>
          <w:p w:rsidR="007C20D9" w:rsidRDefault="007C20D9" w:rsidP="007E73E3">
            <w:pPr>
              <w:pStyle w:val="NoSpacing"/>
            </w:pPr>
            <w:r>
              <w:t>The data will rise modestly but not yet to previous highs</w:t>
            </w:r>
          </w:p>
        </w:tc>
      </w:tr>
      <w:tr w:rsidR="007C20D9" w:rsidTr="007C20D9">
        <w:tc>
          <w:tcPr>
            <w:tcW w:w="985" w:type="dxa"/>
            <w:vMerge/>
          </w:tcPr>
          <w:p w:rsidR="007C20D9" w:rsidRDefault="007C20D9" w:rsidP="007E73E3">
            <w:pPr>
              <w:pStyle w:val="NoSpacing"/>
            </w:pPr>
          </w:p>
        </w:tc>
        <w:tc>
          <w:tcPr>
            <w:tcW w:w="900" w:type="dxa"/>
          </w:tcPr>
          <w:p w:rsidR="007C20D9" w:rsidRDefault="007C20D9" w:rsidP="007E73E3">
            <w:pPr>
              <w:pStyle w:val="NoSpacing"/>
            </w:pPr>
            <w:r>
              <w:t>7</w:t>
            </w:r>
          </w:p>
        </w:tc>
        <w:tc>
          <w:tcPr>
            <w:tcW w:w="1260" w:type="dxa"/>
            <w:shd w:val="clear" w:color="auto" w:fill="FF0000"/>
          </w:tcPr>
          <w:p w:rsidR="007C20D9" w:rsidRDefault="007C20D9" w:rsidP="007E73E3">
            <w:pPr>
              <w:pStyle w:val="NoSpacing"/>
            </w:pPr>
          </w:p>
        </w:tc>
        <w:tc>
          <w:tcPr>
            <w:tcW w:w="5850" w:type="dxa"/>
          </w:tcPr>
          <w:p w:rsidR="007C20D9" w:rsidRDefault="007C20D9" w:rsidP="007E73E3">
            <w:pPr>
              <w:pStyle w:val="NoSpacing"/>
            </w:pPr>
            <w:r>
              <w:t>The data will rise modestly but not yet to previous highs</w:t>
            </w:r>
          </w:p>
        </w:tc>
      </w:tr>
    </w:tbl>
    <w:p w:rsidR="00BE0776" w:rsidRDefault="00BE0776" w:rsidP="007E73E3">
      <w:pPr>
        <w:pStyle w:val="NoSpacing"/>
      </w:pPr>
    </w:p>
    <w:p w:rsidR="007C20D9" w:rsidRDefault="00B65D88" w:rsidP="007E73E3">
      <w:pPr>
        <w:pStyle w:val="NoSpacing"/>
      </w:pPr>
      <w:r>
        <w:t>In the e</w:t>
      </w:r>
      <w:r w:rsidR="00DD3852">
        <w:t xml:space="preserve">nclosed </w:t>
      </w:r>
      <w:r>
        <w:t xml:space="preserve">spreadsheet you will find </w:t>
      </w:r>
      <w:r w:rsidR="00DD3852">
        <w:t>the forecasted values for</w:t>
      </w:r>
      <w:r w:rsidR="00536A49">
        <w:t xml:space="preserve"> each data set</w:t>
      </w:r>
      <w:r w:rsidR="008F7E95">
        <w:t xml:space="preserve"> and b</w:t>
      </w:r>
      <w:r w:rsidR="0072048D">
        <w:t xml:space="preserve">elow </w:t>
      </w:r>
      <w:r w:rsidR="008F7E95">
        <w:t xml:space="preserve">you will find </w:t>
      </w:r>
      <w:r w:rsidR="0072048D">
        <w:t>graphs forecasting the data trends for each of the data sets</w:t>
      </w:r>
      <w:r w:rsidR="00536A49">
        <w:t>.</w:t>
      </w:r>
      <w:r w:rsidR="008F7E95">
        <w:t xml:space="preserve"> </w:t>
      </w:r>
      <w:r w:rsidR="00536A49">
        <w:t xml:space="preserve"> </w:t>
      </w:r>
      <w:r w:rsidR="007F5655">
        <w:t xml:space="preserve">Since these are forecasts we are also providing </w:t>
      </w:r>
      <w:r w:rsidR="005971F6">
        <w:t>ranges of potential outcomes for those data</w:t>
      </w:r>
      <w:r w:rsidR="008C3BB8">
        <w:t xml:space="preserve"> so that decision makers can assess a broad swath of potential outcomes</w:t>
      </w:r>
      <w:r w:rsidR="005971F6">
        <w:t>.</w:t>
      </w:r>
      <w:r w:rsidR="005652FB">
        <w:t xml:space="preserve">  </w:t>
      </w:r>
    </w:p>
    <w:p w:rsidR="0072048D" w:rsidRDefault="0072048D" w:rsidP="007E73E3">
      <w:pPr>
        <w:pStyle w:val="NoSpacing"/>
      </w:pPr>
    </w:p>
    <w:p w:rsidR="007C20D9" w:rsidRDefault="007C20D9" w:rsidP="007C20D9">
      <w:pPr>
        <w:pStyle w:val="NoSpacing"/>
      </w:pPr>
      <w:r w:rsidRPr="00C72EF7">
        <w:rPr>
          <w:b/>
        </w:rPr>
        <w:t>Limitations</w:t>
      </w:r>
    </w:p>
    <w:p w:rsidR="007C20D9" w:rsidRDefault="007C20D9" w:rsidP="007C20D9">
      <w:pPr>
        <w:pStyle w:val="NoSpacing"/>
      </w:pPr>
    </w:p>
    <w:p w:rsidR="007C20D9" w:rsidRDefault="007C20D9" w:rsidP="007E73E3">
      <w:pPr>
        <w:pStyle w:val="NoSpacing"/>
      </w:pPr>
      <w:r>
        <w:t xml:space="preserve">Forecasts are based in large part on historical data. Naturally, past performance cannot guarantee future performance.  </w:t>
      </w:r>
      <w:r w:rsidR="00813884">
        <w:t xml:space="preserve">Unforeseen events can have a big impact on the </w:t>
      </w:r>
      <w:r w:rsidR="00D01D9E">
        <w:t xml:space="preserve">future </w:t>
      </w:r>
      <w:r w:rsidR="00813884">
        <w:t xml:space="preserve">values of </w:t>
      </w:r>
      <w:r w:rsidR="00D01D9E">
        <w:t>these data sets</w:t>
      </w:r>
      <w:r w:rsidR="00813884">
        <w:t xml:space="preserve">. </w:t>
      </w:r>
      <w:r>
        <w:t>Since we are not fully familiar with the source of the data, we are not equipped to comment on the quality of the data collection or the reliability of the source data.</w:t>
      </w:r>
    </w:p>
    <w:p w:rsidR="001B331F" w:rsidRPr="006F048E" w:rsidRDefault="001B331F" w:rsidP="007E73E3">
      <w:pPr>
        <w:pStyle w:val="NoSpacing"/>
        <w:rPr>
          <w:sz w:val="24"/>
        </w:rPr>
      </w:pPr>
    </w:p>
    <w:p w:rsidR="007C20D9" w:rsidRDefault="00524457" w:rsidP="007E73E3">
      <w:pPr>
        <w:pStyle w:val="NoSpacing"/>
        <w:rPr>
          <w:u w:val="single"/>
        </w:rPr>
      </w:pPr>
      <w:r w:rsidRPr="00524457">
        <w:rPr>
          <w:u w:val="single"/>
        </w:rPr>
        <w:t>Group 1 Forecasts</w:t>
      </w:r>
    </w:p>
    <w:p w:rsidR="001B331F" w:rsidRPr="006D4168" w:rsidRDefault="001B331F" w:rsidP="007E73E3">
      <w:pPr>
        <w:pStyle w:val="NoSpacing"/>
        <w:rPr>
          <w:u w:val="single"/>
        </w:rPr>
      </w:pPr>
    </w:p>
    <w:p w:rsidR="00217313" w:rsidRDefault="00524457" w:rsidP="007E73E3">
      <w:pPr>
        <w:pStyle w:val="NoSpacing"/>
      </w:pPr>
      <w:r>
        <w:rPr>
          <w:noProof/>
        </w:rPr>
        <w:drawing>
          <wp:inline distT="0" distB="0" distL="0" distR="0" wp14:anchorId="24234C52" wp14:editId="7933BA88">
            <wp:extent cx="2708564" cy="26002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01_Var1.png"/>
                    <pic:cNvPicPr/>
                  </pic:nvPicPr>
                  <pic:blipFill>
                    <a:blip r:embed="rId10">
                      <a:extLst>
                        <a:ext uri="{28A0092B-C50C-407E-A947-70E740481C1C}">
                          <a14:useLocalDpi xmlns:a14="http://schemas.microsoft.com/office/drawing/2010/main" val="0"/>
                        </a:ext>
                      </a:extLst>
                    </a:blip>
                    <a:stretch>
                      <a:fillRect/>
                    </a:stretch>
                  </pic:blipFill>
                  <pic:spPr>
                    <a:xfrm>
                      <a:off x="0" y="0"/>
                      <a:ext cx="2739377" cy="2629801"/>
                    </a:xfrm>
                    <a:prstGeom prst="rect">
                      <a:avLst/>
                    </a:prstGeom>
                  </pic:spPr>
                </pic:pic>
              </a:graphicData>
            </a:graphic>
          </wp:inline>
        </w:drawing>
      </w:r>
      <w:r w:rsidR="006F048E">
        <w:rPr>
          <w:noProof/>
        </w:rPr>
        <w:t xml:space="preserve">           </w:t>
      </w:r>
      <w:r w:rsidR="001B3832">
        <w:rPr>
          <w:noProof/>
        </w:rPr>
        <w:t xml:space="preserve">    </w:t>
      </w:r>
      <w:r w:rsidR="006F048E">
        <w:rPr>
          <w:noProof/>
        </w:rPr>
        <w:t xml:space="preserve">  </w:t>
      </w:r>
      <w:r>
        <w:rPr>
          <w:noProof/>
        </w:rPr>
        <w:drawing>
          <wp:inline distT="0" distB="0" distL="0" distR="0">
            <wp:extent cx="2687782" cy="25802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01Var2.png"/>
                    <pic:cNvPicPr/>
                  </pic:nvPicPr>
                  <pic:blipFill>
                    <a:blip r:embed="rId11">
                      <a:extLst>
                        <a:ext uri="{28A0092B-C50C-407E-A947-70E740481C1C}">
                          <a14:useLocalDpi xmlns:a14="http://schemas.microsoft.com/office/drawing/2010/main" val="0"/>
                        </a:ext>
                      </a:extLst>
                    </a:blip>
                    <a:stretch>
                      <a:fillRect/>
                    </a:stretch>
                  </pic:blipFill>
                  <pic:spPr>
                    <a:xfrm>
                      <a:off x="0" y="0"/>
                      <a:ext cx="2716445" cy="2607787"/>
                    </a:xfrm>
                    <a:prstGeom prst="rect">
                      <a:avLst/>
                    </a:prstGeom>
                  </pic:spPr>
                </pic:pic>
              </a:graphicData>
            </a:graphic>
          </wp:inline>
        </w:drawing>
      </w:r>
    </w:p>
    <w:p w:rsidR="006F048E" w:rsidRDefault="006F048E" w:rsidP="00F9151A">
      <w:pPr>
        <w:pStyle w:val="NoSpacing"/>
        <w:rPr>
          <w:u w:val="single"/>
        </w:rPr>
      </w:pPr>
    </w:p>
    <w:p w:rsidR="006F048E" w:rsidRDefault="006F048E" w:rsidP="00F9151A">
      <w:pPr>
        <w:pStyle w:val="NoSpacing"/>
        <w:rPr>
          <w:u w:val="single"/>
        </w:rPr>
      </w:pPr>
    </w:p>
    <w:p w:rsidR="006F048E" w:rsidRDefault="006F048E" w:rsidP="00F9151A">
      <w:pPr>
        <w:pStyle w:val="NoSpacing"/>
        <w:rPr>
          <w:u w:val="single"/>
        </w:rPr>
      </w:pPr>
    </w:p>
    <w:p w:rsidR="006F048E" w:rsidRDefault="006F048E" w:rsidP="00F9151A">
      <w:pPr>
        <w:pStyle w:val="NoSpacing"/>
        <w:rPr>
          <w:u w:val="single"/>
        </w:rPr>
      </w:pPr>
    </w:p>
    <w:p w:rsidR="007C20D9" w:rsidRDefault="00524457" w:rsidP="00F9151A">
      <w:pPr>
        <w:pStyle w:val="NoSpacing"/>
        <w:rPr>
          <w:u w:val="single"/>
        </w:rPr>
      </w:pPr>
      <w:r w:rsidRPr="00524457">
        <w:rPr>
          <w:u w:val="single"/>
        </w:rPr>
        <w:lastRenderedPageBreak/>
        <w:t>Group 2 Forecasts</w:t>
      </w:r>
    </w:p>
    <w:p w:rsidR="00B65D88" w:rsidRPr="00B65D88" w:rsidRDefault="00B65D88" w:rsidP="00F9151A">
      <w:pPr>
        <w:pStyle w:val="NoSpacing"/>
        <w:rPr>
          <w:sz w:val="10"/>
          <w:u w:val="single"/>
        </w:rPr>
      </w:pPr>
    </w:p>
    <w:p w:rsidR="00524457" w:rsidRPr="00524457" w:rsidRDefault="00524457" w:rsidP="00F9151A">
      <w:pPr>
        <w:pStyle w:val="NoSpacing"/>
        <w:rPr>
          <w:u w:val="single"/>
        </w:rPr>
      </w:pPr>
      <w:r>
        <w:rPr>
          <w:noProof/>
        </w:rPr>
        <w:drawing>
          <wp:inline distT="0" distB="0" distL="0" distR="0">
            <wp:extent cx="2582333" cy="2479039"/>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02_Var2.png"/>
                    <pic:cNvPicPr/>
                  </pic:nvPicPr>
                  <pic:blipFill>
                    <a:blip r:embed="rId12">
                      <a:extLst>
                        <a:ext uri="{28A0092B-C50C-407E-A947-70E740481C1C}">
                          <a14:useLocalDpi xmlns:a14="http://schemas.microsoft.com/office/drawing/2010/main" val="0"/>
                        </a:ext>
                      </a:extLst>
                    </a:blip>
                    <a:stretch>
                      <a:fillRect/>
                    </a:stretch>
                  </pic:blipFill>
                  <pic:spPr>
                    <a:xfrm>
                      <a:off x="0" y="0"/>
                      <a:ext cx="2636102" cy="2530657"/>
                    </a:xfrm>
                    <a:prstGeom prst="rect">
                      <a:avLst/>
                    </a:prstGeom>
                  </pic:spPr>
                </pic:pic>
              </a:graphicData>
            </a:graphic>
          </wp:inline>
        </w:drawing>
      </w:r>
      <w:r w:rsidR="007C20D9">
        <w:rPr>
          <w:u w:val="single"/>
        </w:rPr>
        <w:t xml:space="preserve">           </w:t>
      </w:r>
      <w:r w:rsidR="00B65D88">
        <w:rPr>
          <w:u w:val="single"/>
        </w:rPr>
        <w:t xml:space="preserve">     </w:t>
      </w:r>
      <w:r w:rsidR="007C20D9">
        <w:rPr>
          <w:u w:val="single"/>
        </w:rPr>
        <w:t xml:space="preserve">   </w:t>
      </w:r>
      <w:r>
        <w:rPr>
          <w:noProof/>
        </w:rPr>
        <w:drawing>
          <wp:inline distT="0" distB="0" distL="0" distR="0">
            <wp:extent cx="2495904" cy="2396067"/>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02Var3.png"/>
                    <pic:cNvPicPr/>
                  </pic:nvPicPr>
                  <pic:blipFill>
                    <a:blip r:embed="rId13">
                      <a:extLst>
                        <a:ext uri="{28A0092B-C50C-407E-A947-70E740481C1C}">
                          <a14:useLocalDpi xmlns:a14="http://schemas.microsoft.com/office/drawing/2010/main" val="0"/>
                        </a:ext>
                      </a:extLst>
                    </a:blip>
                    <a:stretch>
                      <a:fillRect/>
                    </a:stretch>
                  </pic:blipFill>
                  <pic:spPr>
                    <a:xfrm>
                      <a:off x="0" y="0"/>
                      <a:ext cx="2579038" cy="2475875"/>
                    </a:xfrm>
                    <a:prstGeom prst="rect">
                      <a:avLst/>
                    </a:prstGeom>
                  </pic:spPr>
                </pic:pic>
              </a:graphicData>
            </a:graphic>
          </wp:inline>
        </w:drawing>
      </w:r>
    </w:p>
    <w:p w:rsidR="007C20D9" w:rsidRDefault="00524457" w:rsidP="00F9151A">
      <w:pPr>
        <w:pStyle w:val="NoSpacing"/>
        <w:rPr>
          <w:u w:val="single"/>
        </w:rPr>
      </w:pPr>
      <w:r w:rsidRPr="00524457">
        <w:rPr>
          <w:u w:val="single"/>
        </w:rPr>
        <w:t>Group 3 Forecasts</w:t>
      </w:r>
      <w:r w:rsidR="00B65D88">
        <w:rPr>
          <w:u w:val="single"/>
        </w:rPr>
        <w:t xml:space="preserve">   </w:t>
      </w:r>
    </w:p>
    <w:p w:rsidR="00B65D88" w:rsidRPr="00B65D88" w:rsidRDefault="00B65D88" w:rsidP="00F9151A">
      <w:pPr>
        <w:pStyle w:val="NoSpacing"/>
        <w:rPr>
          <w:sz w:val="4"/>
          <w:u w:val="single"/>
        </w:rPr>
      </w:pPr>
    </w:p>
    <w:p w:rsidR="00B65D88" w:rsidRPr="00B65D88" w:rsidRDefault="00B65D88" w:rsidP="00F9151A">
      <w:pPr>
        <w:pStyle w:val="NoSpacing"/>
        <w:rPr>
          <w:sz w:val="2"/>
          <w:u w:val="single"/>
        </w:rPr>
      </w:pPr>
    </w:p>
    <w:p w:rsidR="00524457" w:rsidRDefault="00D85AC2" w:rsidP="00F9151A">
      <w:pPr>
        <w:pStyle w:val="NoSpacing"/>
      </w:pPr>
      <w:r>
        <w:rPr>
          <w:noProof/>
        </w:rPr>
        <w:drawing>
          <wp:inline distT="0" distB="0" distL="0" distR="0">
            <wp:extent cx="2533227" cy="2431899"/>
            <wp:effectExtent l="0" t="0" r="63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03Var5.png"/>
                    <pic:cNvPicPr/>
                  </pic:nvPicPr>
                  <pic:blipFill>
                    <a:blip r:embed="rId14">
                      <a:extLst>
                        <a:ext uri="{28A0092B-C50C-407E-A947-70E740481C1C}">
                          <a14:useLocalDpi xmlns:a14="http://schemas.microsoft.com/office/drawing/2010/main" val="0"/>
                        </a:ext>
                      </a:extLst>
                    </a:blip>
                    <a:stretch>
                      <a:fillRect/>
                    </a:stretch>
                  </pic:blipFill>
                  <pic:spPr>
                    <a:xfrm>
                      <a:off x="0" y="0"/>
                      <a:ext cx="2571294" cy="2468443"/>
                    </a:xfrm>
                    <a:prstGeom prst="rect">
                      <a:avLst/>
                    </a:prstGeom>
                  </pic:spPr>
                </pic:pic>
              </a:graphicData>
            </a:graphic>
          </wp:inline>
        </w:drawing>
      </w:r>
      <w:r w:rsidR="007C20D9">
        <w:rPr>
          <w:noProof/>
        </w:rPr>
        <w:t xml:space="preserve"> </w:t>
      </w:r>
      <w:r w:rsidR="001B3832">
        <w:rPr>
          <w:noProof/>
        </w:rPr>
        <w:t xml:space="preserve">  </w:t>
      </w:r>
      <w:r w:rsidR="00B65D88">
        <w:rPr>
          <w:noProof/>
        </w:rPr>
        <w:t xml:space="preserve">     </w:t>
      </w:r>
      <w:r w:rsidR="007C20D9">
        <w:rPr>
          <w:noProof/>
        </w:rPr>
        <w:t xml:space="preserve">            </w:t>
      </w:r>
      <w:r>
        <w:rPr>
          <w:noProof/>
        </w:rPr>
        <w:drawing>
          <wp:inline distT="0" distB="0" distL="0" distR="0">
            <wp:extent cx="2540000" cy="24384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03Var7.png"/>
                    <pic:cNvPicPr/>
                  </pic:nvPicPr>
                  <pic:blipFill>
                    <a:blip r:embed="rId15">
                      <a:extLst>
                        <a:ext uri="{28A0092B-C50C-407E-A947-70E740481C1C}">
                          <a14:useLocalDpi xmlns:a14="http://schemas.microsoft.com/office/drawing/2010/main" val="0"/>
                        </a:ext>
                      </a:extLst>
                    </a:blip>
                    <a:stretch>
                      <a:fillRect/>
                    </a:stretch>
                  </pic:blipFill>
                  <pic:spPr>
                    <a:xfrm>
                      <a:off x="0" y="0"/>
                      <a:ext cx="2596579" cy="2492717"/>
                    </a:xfrm>
                    <a:prstGeom prst="rect">
                      <a:avLst/>
                    </a:prstGeom>
                  </pic:spPr>
                </pic:pic>
              </a:graphicData>
            </a:graphic>
          </wp:inline>
        </w:drawing>
      </w:r>
    </w:p>
    <w:p w:rsidR="00B65D88" w:rsidRDefault="00524457" w:rsidP="00F9151A">
      <w:pPr>
        <w:pStyle w:val="NoSpacing"/>
        <w:rPr>
          <w:u w:val="single"/>
        </w:rPr>
      </w:pPr>
      <w:r w:rsidRPr="00524457">
        <w:rPr>
          <w:u w:val="single"/>
        </w:rPr>
        <w:t xml:space="preserve">Group </w:t>
      </w:r>
      <w:r>
        <w:rPr>
          <w:u w:val="single"/>
        </w:rPr>
        <w:t xml:space="preserve">4 </w:t>
      </w:r>
      <w:r w:rsidRPr="00524457">
        <w:rPr>
          <w:u w:val="single"/>
        </w:rPr>
        <w:t>Forecasts</w:t>
      </w:r>
    </w:p>
    <w:p w:rsidR="00B65D88" w:rsidRPr="00B65D88" w:rsidRDefault="00B65D88" w:rsidP="00F9151A">
      <w:pPr>
        <w:pStyle w:val="NoSpacing"/>
        <w:rPr>
          <w:sz w:val="2"/>
          <w:u w:val="single"/>
        </w:rPr>
      </w:pPr>
    </w:p>
    <w:p w:rsidR="00524457" w:rsidRPr="006D4168" w:rsidRDefault="006D4168" w:rsidP="00524457">
      <w:pPr>
        <w:pStyle w:val="NoSpacing"/>
      </w:pPr>
      <w:r w:rsidRPr="006D4168">
        <w:rPr>
          <w:noProof/>
        </w:rPr>
        <w:drawing>
          <wp:inline distT="0" distB="0" distL="0" distR="0">
            <wp:extent cx="2618509" cy="2513769"/>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04Var1.png"/>
                    <pic:cNvPicPr/>
                  </pic:nvPicPr>
                  <pic:blipFill>
                    <a:blip r:embed="rId16">
                      <a:extLst>
                        <a:ext uri="{28A0092B-C50C-407E-A947-70E740481C1C}">
                          <a14:useLocalDpi xmlns:a14="http://schemas.microsoft.com/office/drawing/2010/main" val="0"/>
                        </a:ext>
                      </a:extLst>
                    </a:blip>
                    <a:stretch>
                      <a:fillRect/>
                    </a:stretch>
                  </pic:blipFill>
                  <pic:spPr>
                    <a:xfrm>
                      <a:off x="0" y="0"/>
                      <a:ext cx="2645572" cy="2539750"/>
                    </a:xfrm>
                    <a:prstGeom prst="rect">
                      <a:avLst/>
                    </a:prstGeom>
                  </pic:spPr>
                </pic:pic>
              </a:graphicData>
            </a:graphic>
          </wp:inline>
        </w:drawing>
      </w:r>
      <w:r w:rsidRPr="006D4168">
        <w:t xml:space="preserve">  </w:t>
      </w:r>
      <w:r w:rsidR="007C20D9">
        <w:rPr>
          <w:noProof/>
        </w:rPr>
        <w:t xml:space="preserve">           </w:t>
      </w:r>
      <w:r w:rsidR="001B3832">
        <w:rPr>
          <w:noProof/>
        </w:rPr>
        <w:t xml:space="preserve"> </w:t>
      </w:r>
      <w:r w:rsidRPr="006D4168">
        <w:rPr>
          <w:noProof/>
        </w:rPr>
        <w:drawing>
          <wp:inline distT="0" distB="0" distL="0" distR="0">
            <wp:extent cx="2660072" cy="2553668"/>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04Var2.png"/>
                    <pic:cNvPicPr/>
                  </pic:nvPicPr>
                  <pic:blipFill>
                    <a:blip r:embed="rId17">
                      <a:extLst>
                        <a:ext uri="{28A0092B-C50C-407E-A947-70E740481C1C}">
                          <a14:useLocalDpi xmlns:a14="http://schemas.microsoft.com/office/drawing/2010/main" val="0"/>
                        </a:ext>
                      </a:extLst>
                    </a:blip>
                    <a:stretch>
                      <a:fillRect/>
                    </a:stretch>
                  </pic:blipFill>
                  <pic:spPr>
                    <a:xfrm>
                      <a:off x="0" y="0"/>
                      <a:ext cx="2688728" cy="2581178"/>
                    </a:xfrm>
                    <a:prstGeom prst="rect">
                      <a:avLst/>
                    </a:prstGeom>
                  </pic:spPr>
                </pic:pic>
              </a:graphicData>
            </a:graphic>
          </wp:inline>
        </w:drawing>
      </w:r>
    </w:p>
    <w:p w:rsidR="00524457" w:rsidRDefault="00524457" w:rsidP="00524457">
      <w:pPr>
        <w:pStyle w:val="NoSpacing"/>
        <w:rPr>
          <w:u w:val="single"/>
        </w:rPr>
      </w:pPr>
      <w:r w:rsidRPr="00524457">
        <w:rPr>
          <w:u w:val="single"/>
        </w:rPr>
        <w:lastRenderedPageBreak/>
        <w:t xml:space="preserve">Group </w:t>
      </w:r>
      <w:r>
        <w:rPr>
          <w:u w:val="single"/>
        </w:rPr>
        <w:t>5</w:t>
      </w:r>
      <w:r w:rsidRPr="00524457">
        <w:rPr>
          <w:u w:val="single"/>
        </w:rPr>
        <w:t xml:space="preserve"> Forecasts</w:t>
      </w:r>
    </w:p>
    <w:p w:rsidR="007C20D9" w:rsidRPr="00524457" w:rsidRDefault="007C20D9" w:rsidP="00524457">
      <w:pPr>
        <w:pStyle w:val="NoSpacing"/>
        <w:rPr>
          <w:u w:val="single"/>
        </w:rPr>
      </w:pPr>
    </w:p>
    <w:p w:rsidR="00524457" w:rsidRDefault="006D4168" w:rsidP="00F9151A">
      <w:pPr>
        <w:pStyle w:val="NoSpacing"/>
      </w:pPr>
      <w:r>
        <w:rPr>
          <w:noProof/>
        </w:rPr>
        <w:drawing>
          <wp:inline distT="0" distB="0" distL="0" distR="0">
            <wp:extent cx="2540000" cy="2438399"/>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05Var2.png"/>
                    <pic:cNvPicPr/>
                  </pic:nvPicPr>
                  <pic:blipFill>
                    <a:blip r:embed="rId18">
                      <a:extLst>
                        <a:ext uri="{28A0092B-C50C-407E-A947-70E740481C1C}">
                          <a14:useLocalDpi xmlns:a14="http://schemas.microsoft.com/office/drawing/2010/main" val="0"/>
                        </a:ext>
                      </a:extLst>
                    </a:blip>
                    <a:stretch>
                      <a:fillRect/>
                    </a:stretch>
                  </pic:blipFill>
                  <pic:spPr>
                    <a:xfrm>
                      <a:off x="0" y="0"/>
                      <a:ext cx="2573088" cy="2470163"/>
                    </a:xfrm>
                    <a:prstGeom prst="rect">
                      <a:avLst/>
                    </a:prstGeom>
                  </pic:spPr>
                </pic:pic>
              </a:graphicData>
            </a:graphic>
          </wp:inline>
        </w:drawing>
      </w:r>
      <w:r>
        <w:t xml:space="preserve"> </w:t>
      </w:r>
      <w:r w:rsidR="007C20D9">
        <w:rPr>
          <w:noProof/>
        </w:rPr>
        <w:t xml:space="preserve">        </w:t>
      </w:r>
      <w:r w:rsidR="001B331F">
        <w:rPr>
          <w:noProof/>
        </w:rPr>
        <w:t xml:space="preserve">       </w:t>
      </w:r>
      <w:r w:rsidR="001B3832">
        <w:rPr>
          <w:noProof/>
        </w:rPr>
        <w:t xml:space="preserve">  </w:t>
      </w:r>
      <w:r>
        <w:rPr>
          <w:noProof/>
        </w:rPr>
        <w:drawing>
          <wp:inline distT="0" distB="0" distL="0" distR="0">
            <wp:extent cx="2557639" cy="2455334"/>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05Var3.png"/>
                    <pic:cNvPicPr/>
                  </pic:nvPicPr>
                  <pic:blipFill>
                    <a:blip r:embed="rId19">
                      <a:extLst>
                        <a:ext uri="{28A0092B-C50C-407E-A947-70E740481C1C}">
                          <a14:useLocalDpi xmlns:a14="http://schemas.microsoft.com/office/drawing/2010/main" val="0"/>
                        </a:ext>
                      </a:extLst>
                    </a:blip>
                    <a:stretch>
                      <a:fillRect/>
                    </a:stretch>
                  </pic:blipFill>
                  <pic:spPr>
                    <a:xfrm>
                      <a:off x="0" y="0"/>
                      <a:ext cx="2585424" cy="2482008"/>
                    </a:xfrm>
                    <a:prstGeom prst="rect">
                      <a:avLst/>
                    </a:prstGeom>
                  </pic:spPr>
                </pic:pic>
              </a:graphicData>
            </a:graphic>
          </wp:inline>
        </w:drawing>
      </w:r>
    </w:p>
    <w:p w:rsidR="00524457" w:rsidRPr="00524457" w:rsidRDefault="00524457" w:rsidP="00524457">
      <w:pPr>
        <w:pStyle w:val="NoSpacing"/>
        <w:rPr>
          <w:u w:val="single"/>
        </w:rPr>
      </w:pPr>
      <w:r w:rsidRPr="00524457">
        <w:rPr>
          <w:u w:val="single"/>
        </w:rPr>
        <w:t xml:space="preserve">Group </w:t>
      </w:r>
      <w:r>
        <w:rPr>
          <w:u w:val="single"/>
        </w:rPr>
        <w:t>6</w:t>
      </w:r>
      <w:r w:rsidRPr="00524457">
        <w:rPr>
          <w:u w:val="single"/>
        </w:rPr>
        <w:t xml:space="preserve"> Forecasts</w:t>
      </w:r>
    </w:p>
    <w:p w:rsidR="00524457" w:rsidRDefault="00524457" w:rsidP="00F9151A">
      <w:pPr>
        <w:pStyle w:val="NoSpacing"/>
      </w:pPr>
    </w:p>
    <w:p w:rsidR="006D4168" w:rsidRDefault="006D4168" w:rsidP="00F9151A">
      <w:pPr>
        <w:pStyle w:val="NoSpacing"/>
      </w:pPr>
      <w:r>
        <w:rPr>
          <w:noProof/>
        </w:rPr>
        <w:drawing>
          <wp:inline distT="0" distB="0" distL="0" distR="0">
            <wp:extent cx="2566458" cy="246380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06Var5.png"/>
                    <pic:cNvPicPr/>
                  </pic:nvPicPr>
                  <pic:blipFill>
                    <a:blip r:embed="rId20">
                      <a:extLst>
                        <a:ext uri="{28A0092B-C50C-407E-A947-70E740481C1C}">
                          <a14:useLocalDpi xmlns:a14="http://schemas.microsoft.com/office/drawing/2010/main" val="0"/>
                        </a:ext>
                      </a:extLst>
                    </a:blip>
                    <a:stretch>
                      <a:fillRect/>
                    </a:stretch>
                  </pic:blipFill>
                  <pic:spPr>
                    <a:xfrm>
                      <a:off x="0" y="0"/>
                      <a:ext cx="2588362" cy="2484827"/>
                    </a:xfrm>
                    <a:prstGeom prst="rect">
                      <a:avLst/>
                    </a:prstGeom>
                  </pic:spPr>
                </pic:pic>
              </a:graphicData>
            </a:graphic>
          </wp:inline>
        </w:drawing>
      </w:r>
      <w:r w:rsidR="007C20D9">
        <w:t xml:space="preserve">      </w:t>
      </w:r>
      <w:r w:rsidR="001B3832">
        <w:t xml:space="preserve">   </w:t>
      </w:r>
      <w:r w:rsidR="007C20D9">
        <w:t xml:space="preserve">  </w:t>
      </w:r>
      <w:r w:rsidR="001B331F">
        <w:rPr>
          <w:noProof/>
        </w:rPr>
        <w:t xml:space="preserve">      </w:t>
      </w:r>
      <w:r>
        <w:rPr>
          <w:noProof/>
        </w:rPr>
        <w:drawing>
          <wp:inline distT="0" distB="0" distL="0" distR="0">
            <wp:extent cx="2548466" cy="2446528"/>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06Var7.png"/>
                    <pic:cNvPicPr/>
                  </pic:nvPicPr>
                  <pic:blipFill>
                    <a:blip r:embed="rId21">
                      <a:extLst>
                        <a:ext uri="{28A0092B-C50C-407E-A947-70E740481C1C}">
                          <a14:useLocalDpi xmlns:a14="http://schemas.microsoft.com/office/drawing/2010/main" val="0"/>
                        </a:ext>
                      </a:extLst>
                    </a:blip>
                    <a:stretch>
                      <a:fillRect/>
                    </a:stretch>
                  </pic:blipFill>
                  <pic:spPr>
                    <a:xfrm>
                      <a:off x="0" y="0"/>
                      <a:ext cx="2586643" cy="2483178"/>
                    </a:xfrm>
                    <a:prstGeom prst="rect">
                      <a:avLst/>
                    </a:prstGeom>
                  </pic:spPr>
                </pic:pic>
              </a:graphicData>
            </a:graphic>
          </wp:inline>
        </w:drawing>
      </w:r>
      <w:bookmarkStart w:id="0" w:name="_GoBack"/>
      <w:bookmarkEnd w:id="0"/>
    </w:p>
    <w:p w:rsidR="00524457" w:rsidRDefault="00524457" w:rsidP="00F9151A">
      <w:pPr>
        <w:pStyle w:val="NoSpacing"/>
      </w:pPr>
    </w:p>
    <w:p w:rsidR="00F9151A" w:rsidRDefault="00F9151A" w:rsidP="007E73E3">
      <w:pPr>
        <w:pStyle w:val="NoSpacing"/>
      </w:pPr>
    </w:p>
    <w:sectPr w:rsidR="00F9151A" w:rsidSect="007C20D9">
      <w:headerReference w:type="default" r:id="rId22"/>
      <w:footerReference w:type="default" r:id="rId23"/>
      <w:pgSz w:w="12240" w:h="15840"/>
      <w:pgMar w:top="1008" w:right="1440" w:bottom="1008"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744" w:rsidRDefault="00136744" w:rsidP="00DA760A">
      <w:pPr>
        <w:spacing w:after="0" w:line="240" w:lineRule="auto"/>
      </w:pPr>
      <w:r>
        <w:separator/>
      </w:r>
    </w:p>
  </w:endnote>
  <w:endnote w:type="continuationSeparator" w:id="0">
    <w:p w:rsidR="00136744" w:rsidRDefault="00136744" w:rsidP="00DA7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07398"/>
      <w:docPartObj>
        <w:docPartGallery w:val="Page Numbers (Bottom of Page)"/>
        <w:docPartUnique/>
      </w:docPartObj>
    </w:sdtPr>
    <w:sdtEndPr>
      <w:rPr>
        <w:noProof/>
      </w:rPr>
    </w:sdtEndPr>
    <w:sdtContent>
      <w:p w:rsidR="00EF0405" w:rsidRDefault="00EF0405">
        <w:pPr>
          <w:pStyle w:val="Footer"/>
          <w:jc w:val="center"/>
        </w:pPr>
        <w:r>
          <w:fldChar w:fldCharType="begin"/>
        </w:r>
        <w:r>
          <w:instrText xml:space="preserve"> PAGE   \* MERGEFORMAT </w:instrText>
        </w:r>
        <w:r>
          <w:fldChar w:fldCharType="separate"/>
        </w:r>
        <w:r w:rsidR="00F135AA">
          <w:rPr>
            <w:noProof/>
          </w:rPr>
          <w:t>5</w:t>
        </w:r>
        <w:r>
          <w:rPr>
            <w:noProof/>
          </w:rPr>
          <w:fldChar w:fldCharType="end"/>
        </w:r>
      </w:p>
    </w:sdtContent>
  </w:sdt>
  <w:p w:rsidR="00EF0405" w:rsidRDefault="00EF0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744" w:rsidRDefault="00136744" w:rsidP="00DA760A">
      <w:pPr>
        <w:spacing w:after="0" w:line="240" w:lineRule="auto"/>
      </w:pPr>
      <w:r>
        <w:separator/>
      </w:r>
    </w:p>
  </w:footnote>
  <w:footnote w:type="continuationSeparator" w:id="0">
    <w:p w:rsidR="00136744" w:rsidRDefault="00136744" w:rsidP="00DA7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532" w:rsidRPr="009F4532" w:rsidRDefault="00DA760A" w:rsidP="009F4532">
    <w:pPr>
      <w:pStyle w:val="Header"/>
      <w:rPr>
        <w:b/>
      </w:rPr>
    </w:pPr>
    <w:r w:rsidRPr="009F4532">
      <w:rPr>
        <w:b/>
      </w:rPr>
      <w:t>CUNY 624</w:t>
    </w:r>
    <w:r w:rsidR="009F4532" w:rsidRPr="009F4532">
      <w:rPr>
        <w:b/>
      </w:rPr>
      <w:t xml:space="preserve"> Project 1</w:t>
    </w:r>
  </w:p>
  <w:p w:rsidR="00DA760A" w:rsidRPr="009F4532" w:rsidRDefault="00DA760A">
    <w:pPr>
      <w:pStyle w:val="Header"/>
      <w:rPr>
        <w:b/>
      </w:rPr>
    </w:pPr>
    <w:r w:rsidRPr="009F4532">
      <w:rPr>
        <w:b/>
      </w:rPr>
      <w:t>Group 3</w:t>
    </w:r>
  </w:p>
  <w:p w:rsidR="00DA760A" w:rsidRDefault="00DA76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1F1D"/>
    <w:multiLevelType w:val="hybridMultilevel"/>
    <w:tmpl w:val="9CD66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3E3"/>
    <w:rsid w:val="00026F51"/>
    <w:rsid w:val="00051AF1"/>
    <w:rsid w:val="000B046F"/>
    <w:rsid w:val="000D10A2"/>
    <w:rsid w:val="000D3F9E"/>
    <w:rsid w:val="00107AE2"/>
    <w:rsid w:val="00136744"/>
    <w:rsid w:val="001655F9"/>
    <w:rsid w:val="00175A8B"/>
    <w:rsid w:val="00194301"/>
    <w:rsid w:val="001A79C1"/>
    <w:rsid w:val="001B331F"/>
    <w:rsid w:val="001B3832"/>
    <w:rsid w:val="001C4C25"/>
    <w:rsid w:val="001C7742"/>
    <w:rsid w:val="001D0BA5"/>
    <w:rsid w:val="00217313"/>
    <w:rsid w:val="002179C5"/>
    <w:rsid w:val="00226095"/>
    <w:rsid w:val="002372B8"/>
    <w:rsid w:val="002465B0"/>
    <w:rsid w:val="00246BFB"/>
    <w:rsid w:val="00256C33"/>
    <w:rsid w:val="00281AA6"/>
    <w:rsid w:val="002B089E"/>
    <w:rsid w:val="002B19C5"/>
    <w:rsid w:val="002E56E0"/>
    <w:rsid w:val="00316141"/>
    <w:rsid w:val="00331C19"/>
    <w:rsid w:val="003541AA"/>
    <w:rsid w:val="00372C75"/>
    <w:rsid w:val="00387D52"/>
    <w:rsid w:val="003931DF"/>
    <w:rsid w:val="003958B8"/>
    <w:rsid w:val="00395C5F"/>
    <w:rsid w:val="0039767B"/>
    <w:rsid w:val="003B690A"/>
    <w:rsid w:val="003C5221"/>
    <w:rsid w:val="003E3C92"/>
    <w:rsid w:val="004021FA"/>
    <w:rsid w:val="0041109F"/>
    <w:rsid w:val="00417F0E"/>
    <w:rsid w:val="004518DB"/>
    <w:rsid w:val="0046299D"/>
    <w:rsid w:val="004A5C58"/>
    <w:rsid w:val="004D2371"/>
    <w:rsid w:val="004D6108"/>
    <w:rsid w:val="004D7589"/>
    <w:rsid w:val="004E4849"/>
    <w:rsid w:val="004F1913"/>
    <w:rsid w:val="004F262B"/>
    <w:rsid w:val="004F28DB"/>
    <w:rsid w:val="004F4AD8"/>
    <w:rsid w:val="005119C1"/>
    <w:rsid w:val="00515652"/>
    <w:rsid w:val="00524457"/>
    <w:rsid w:val="00536A49"/>
    <w:rsid w:val="00564673"/>
    <w:rsid w:val="005652FB"/>
    <w:rsid w:val="00587523"/>
    <w:rsid w:val="00596448"/>
    <w:rsid w:val="005971F6"/>
    <w:rsid w:val="005E5FC8"/>
    <w:rsid w:val="006011B8"/>
    <w:rsid w:val="00601BA1"/>
    <w:rsid w:val="006031CC"/>
    <w:rsid w:val="006218B8"/>
    <w:rsid w:val="00632322"/>
    <w:rsid w:val="006347A5"/>
    <w:rsid w:val="00641482"/>
    <w:rsid w:val="006458EA"/>
    <w:rsid w:val="00645DAC"/>
    <w:rsid w:val="006503B1"/>
    <w:rsid w:val="0065332B"/>
    <w:rsid w:val="00664833"/>
    <w:rsid w:val="006668FA"/>
    <w:rsid w:val="006679CD"/>
    <w:rsid w:val="00677672"/>
    <w:rsid w:val="00687330"/>
    <w:rsid w:val="006A5057"/>
    <w:rsid w:val="006B15C3"/>
    <w:rsid w:val="006C1E4D"/>
    <w:rsid w:val="006D4168"/>
    <w:rsid w:val="006F048E"/>
    <w:rsid w:val="006F1526"/>
    <w:rsid w:val="006F58E1"/>
    <w:rsid w:val="0072048D"/>
    <w:rsid w:val="007219AB"/>
    <w:rsid w:val="00735AB5"/>
    <w:rsid w:val="00757927"/>
    <w:rsid w:val="007717A7"/>
    <w:rsid w:val="00795E10"/>
    <w:rsid w:val="00795EDC"/>
    <w:rsid w:val="007B2EFB"/>
    <w:rsid w:val="007C20D9"/>
    <w:rsid w:val="007C3FDD"/>
    <w:rsid w:val="007E426F"/>
    <w:rsid w:val="007E684F"/>
    <w:rsid w:val="007E73E3"/>
    <w:rsid w:val="007F365D"/>
    <w:rsid w:val="007F5655"/>
    <w:rsid w:val="00804C0D"/>
    <w:rsid w:val="00813884"/>
    <w:rsid w:val="00814EE4"/>
    <w:rsid w:val="00825545"/>
    <w:rsid w:val="00833306"/>
    <w:rsid w:val="00842271"/>
    <w:rsid w:val="00844C28"/>
    <w:rsid w:val="00881D55"/>
    <w:rsid w:val="00885F94"/>
    <w:rsid w:val="008B5478"/>
    <w:rsid w:val="008C3BB8"/>
    <w:rsid w:val="008D0F4F"/>
    <w:rsid w:val="008D4B8C"/>
    <w:rsid w:val="008E61E7"/>
    <w:rsid w:val="008F0B0D"/>
    <w:rsid w:val="008F21F9"/>
    <w:rsid w:val="008F7E95"/>
    <w:rsid w:val="00930ED9"/>
    <w:rsid w:val="00933E19"/>
    <w:rsid w:val="00935080"/>
    <w:rsid w:val="009369B1"/>
    <w:rsid w:val="009744FD"/>
    <w:rsid w:val="00974E49"/>
    <w:rsid w:val="00975FD0"/>
    <w:rsid w:val="00983312"/>
    <w:rsid w:val="00995BAD"/>
    <w:rsid w:val="009A36AB"/>
    <w:rsid w:val="009B4E27"/>
    <w:rsid w:val="009C3507"/>
    <w:rsid w:val="009D51D4"/>
    <w:rsid w:val="009F4532"/>
    <w:rsid w:val="00A0154B"/>
    <w:rsid w:val="00A42620"/>
    <w:rsid w:val="00A45A4F"/>
    <w:rsid w:val="00A64D9B"/>
    <w:rsid w:val="00A849B4"/>
    <w:rsid w:val="00A91F66"/>
    <w:rsid w:val="00A93AAB"/>
    <w:rsid w:val="00AC7326"/>
    <w:rsid w:val="00AE33CB"/>
    <w:rsid w:val="00AE6645"/>
    <w:rsid w:val="00B05BB4"/>
    <w:rsid w:val="00B17600"/>
    <w:rsid w:val="00B65D88"/>
    <w:rsid w:val="00B70599"/>
    <w:rsid w:val="00B85E77"/>
    <w:rsid w:val="00B875EA"/>
    <w:rsid w:val="00BA7040"/>
    <w:rsid w:val="00BB718A"/>
    <w:rsid w:val="00BC42EB"/>
    <w:rsid w:val="00BD204B"/>
    <w:rsid w:val="00BD218F"/>
    <w:rsid w:val="00BD48EF"/>
    <w:rsid w:val="00BE0776"/>
    <w:rsid w:val="00C21376"/>
    <w:rsid w:val="00C40CB6"/>
    <w:rsid w:val="00C455BC"/>
    <w:rsid w:val="00C555E3"/>
    <w:rsid w:val="00C624B8"/>
    <w:rsid w:val="00C72EF7"/>
    <w:rsid w:val="00C83B0D"/>
    <w:rsid w:val="00C8786A"/>
    <w:rsid w:val="00CC4527"/>
    <w:rsid w:val="00CC76F7"/>
    <w:rsid w:val="00CD7C8F"/>
    <w:rsid w:val="00CF3885"/>
    <w:rsid w:val="00D01D9E"/>
    <w:rsid w:val="00D230B4"/>
    <w:rsid w:val="00D25CAC"/>
    <w:rsid w:val="00D269A4"/>
    <w:rsid w:val="00D42106"/>
    <w:rsid w:val="00D543D5"/>
    <w:rsid w:val="00D569B8"/>
    <w:rsid w:val="00D76EB2"/>
    <w:rsid w:val="00D85AC2"/>
    <w:rsid w:val="00D868A5"/>
    <w:rsid w:val="00D91B9C"/>
    <w:rsid w:val="00D931F8"/>
    <w:rsid w:val="00DA760A"/>
    <w:rsid w:val="00DB6513"/>
    <w:rsid w:val="00DD3852"/>
    <w:rsid w:val="00DF3543"/>
    <w:rsid w:val="00DF4D83"/>
    <w:rsid w:val="00E140E2"/>
    <w:rsid w:val="00E20710"/>
    <w:rsid w:val="00E318DF"/>
    <w:rsid w:val="00E42628"/>
    <w:rsid w:val="00E46D28"/>
    <w:rsid w:val="00E52971"/>
    <w:rsid w:val="00E72D6B"/>
    <w:rsid w:val="00E96D9D"/>
    <w:rsid w:val="00EA4454"/>
    <w:rsid w:val="00EB2883"/>
    <w:rsid w:val="00EB2F8E"/>
    <w:rsid w:val="00EB35C2"/>
    <w:rsid w:val="00EC5A92"/>
    <w:rsid w:val="00ED2FAD"/>
    <w:rsid w:val="00EF0405"/>
    <w:rsid w:val="00F03647"/>
    <w:rsid w:val="00F135AA"/>
    <w:rsid w:val="00F222B2"/>
    <w:rsid w:val="00F23608"/>
    <w:rsid w:val="00F35B9A"/>
    <w:rsid w:val="00F60D22"/>
    <w:rsid w:val="00F63829"/>
    <w:rsid w:val="00F640A1"/>
    <w:rsid w:val="00F9151A"/>
    <w:rsid w:val="00FA37A4"/>
    <w:rsid w:val="00FA4C6E"/>
    <w:rsid w:val="00FA5842"/>
    <w:rsid w:val="00FB0347"/>
    <w:rsid w:val="00FB06BD"/>
    <w:rsid w:val="00FB38DC"/>
    <w:rsid w:val="00FE6FE7"/>
    <w:rsid w:val="00FF080C"/>
    <w:rsid w:val="00FF4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FD50"/>
  <w15:chartTrackingRefBased/>
  <w15:docId w15:val="{A0E7D70C-969A-4727-82F2-E657BAAAB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73E3"/>
    <w:pPr>
      <w:spacing w:after="0" w:line="240" w:lineRule="auto"/>
    </w:pPr>
  </w:style>
  <w:style w:type="table" w:styleId="TableGrid">
    <w:name w:val="Table Grid"/>
    <w:basedOn w:val="TableNormal"/>
    <w:uiPriority w:val="39"/>
    <w:rsid w:val="00BE0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7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60A"/>
  </w:style>
  <w:style w:type="paragraph" w:styleId="Footer">
    <w:name w:val="footer"/>
    <w:basedOn w:val="Normal"/>
    <w:link w:val="FooterChar"/>
    <w:uiPriority w:val="99"/>
    <w:unhideWhenUsed/>
    <w:rsid w:val="00DA7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60A"/>
  </w:style>
  <w:style w:type="paragraph" w:styleId="Caption">
    <w:name w:val="caption"/>
    <w:basedOn w:val="Normal"/>
    <w:next w:val="Normal"/>
    <w:uiPriority w:val="35"/>
    <w:unhideWhenUsed/>
    <w:qFormat/>
    <w:rsid w:val="00645DA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NYU Langone Medical Center</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 Alex</dc:creator>
  <cp:keywords/>
  <dc:description/>
  <cp:lastModifiedBy>Low, Alex</cp:lastModifiedBy>
  <cp:revision>38</cp:revision>
  <dcterms:created xsi:type="dcterms:W3CDTF">2019-04-17T01:42:00Z</dcterms:created>
  <dcterms:modified xsi:type="dcterms:W3CDTF">2019-04-17T03:41:00Z</dcterms:modified>
</cp:coreProperties>
</file>