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9" w:type="dxa"/>
        <w:jc w:val="center"/>
        <w:tblInd w:w="0" w:type="dxa"/>
        <w:tblLayout w:type="fixed"/>
        <w:tblCellMar>
          <w:top w:w="650" w:type="dxa"/>
          <w:left w:w="420" w:type="dxa"/>
          <w:bottom w:w="650" w:type="dxa"/>
          <w:right w:w="420" w:type="dxa"/>
        </w:tblCellMar>
        <w:tblLook w:val="04a0" w:noHBand="0" w:noVBand="1" w:firstColumn="1" w:lastRow="0" w:lastColumn="0" w:firstRow="1"/>
      </w:tblPr>
      <w:tblGrid>
        <w:gridCol w:w="9979"/>
      </w:tblGrid>
      <w:tr>
        <w:trPr/>
        <w:tc>
          <w:tcPr>
            <w:tcW w:w="9979" w:type="dxa"/>
            <w:tcBorders/>
            <w:shd w:fill="0B2C6B"/>
          </w:tcPr>
          <w:p>
            <w:pPr>
              <w:pStyle w:val="Normal"/>
              <w:spacing w:before="0" w:after="120"/>
              <w:jc w:val="left"/>
              <w:rPr/>
            </w:pPr>
            <w:r>
              <w:rPr>
                <w:b/>
                <w:color w:val="BBD7FF"/>
                <w:sz w:val="24"/>
              </w:rPr>
              <w:t>NIFTY 50 STRATEGY RESEARCH AND BACKTESTING PLATFORM</w:t>
            </w:r>
            <w:r>
              <w:rPr/>
              <w:br/>
            </w:r>
            <w:r>
              <w:rPr>
                <w:b/>
                <w:color w:val="FFFFFF"/>
                <w:sz w:val="56"/>
              </w:rPr>
              <w:t>Five-Phase Implementation Roadmap</w:t>
            </w:r>
            <w:r>
              <w:rPr/>
              <w:br/>
            </w:r>
            <w:r>
              <w:rPr>
                <w:color w:val="FFFFFF"/>
                <w:sz w:val="28"/>
              </w:rPr>
              <w:t>Code Delivery, Integration Contracts, Test Gates and Multi-Agent Execution Plan</w:t>
            </w:r>
          </w:p>
        </w:tc>
      </w:tr>
    </w:tbl>
    <w:p>
      <w:pPr>
        <w:pStyle w:val="Normal"/>
        <w:keepLines/>
        <w:spacing w:before="560" w:after="120"/>
        <w:jc w:val="left"/>
        <w:rPr/>
      </w:pPr>
      <w:r>
        <w:rPr>
          <w:rFonts w:eastAsia="Carlito"/>
          <w:b/>
          <w:color w:val="C61F2B"/>
          <w:sz w:val="22"/>
        </w:rPr>
        <w:t>Purpose</w:t>
      </w:r>
      <w:r>
        <w:rPr>
          <w:rFonts w:eastAsia="Carlito"/>
        </w:rPr>
        <w:br/>
        <w:t>Convert the existing PostgreSQL, historical data and accumulated backtesting code into five sequential, independently testable implementation packages. Each package includes production-oriented reference code, migrations, phase tests, a detailed Codex integration prompt and a concise low-context-agent runner.</w:t>
      </w:r>
    </w:p>
    <w:tbl>
      <w:tblPr>
        <w:tblW w:w="9979" w:type="dxa"/>
        <w:jc w:val="left"/>
        <w:tblInd w:w="-18"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c>
          <w:tcPr>
            <w:tcW w:w="4989" w:type="dxa"/>
            <w:tcBorders/>
          </w:tcPr>
          <w:p>
            <w:pPr>
              <w:pStyle w:val="Normal"/>
              <w:widowControl/>
              <w:bidi w:val="0"/>
              <w:spacing w:lineRule="auto" w:line="259" w:before="0" w:after="120"/>
              <w:jc w:val="left"/>
              <w:rPr/>
            </w:pPr>
            <w:r>
              <w:rPr>
                <w:b/>
              </w:rPr>
              <w:t>Project</w:t>
            </w:r>
          </w:p>
        </w:tc>
        <w:tc>
          <w:tcPr>
            <w:tcW w:w="4989" w:type="dxa"/>
            <w:tcBorders/>
          </w:tcPr>
          <w:p>
            <w:pPr>
              <w:pStyle w:val="Normal"/>
              <w:widowControl/>
              <w:bidi w:val="0"/>
              <w:spacing w:lineRule="auto" w:line="259" w:before="0" w:after="120"/>
              <w:jc w:val="left"/>
              <w:rPr/>
            </w:pPr>
            <w:r>
              <w:rPr/>
              <w:t>NIFTY 50 intraday, swing and buying-only option research platform</w:t>
            </w:r>
          </w:p>
        </w:tc>
      </w:tr>
      <w:tr>
        <w:trPr/>
        <w:tc>
          <w:tcPr>
            <w:tcW w:w="4989" w:type="dxa"/>
            <w:tcBorders/>
          </w:tcPr>
          <w:p>
            <w:pPr>
              <w:pStyle w:val="Normal"/>
              <w:widowControl/>
              <w:bidi w:val="0"/>
              <w:spacing w:lineRule="auto" w:line="259" w:before="0" w:after="120"/>
              <w:jc w:val="left"/>
              <w:rPr/>
            </w:pPr>
            <w:r>
              <w:rPr>
                <w:b/>
              </w:rPr>
              <w:t>Prepared for</w:t>
            </w:r>
          </w:p>
        </w:tc>
        <w:tc>
          <w:tcPr>
            <w:tcW w:w="4989" w:type="dxa"/>
            <w:tcBorders/>
          </w:tcPr>
          <w:p>
            <w:pPr>
              <w:pStyle w:val="Normal"/>
              <w:widowControl/>
              <w:bidi w:val="0"/>
              <w:spacing w:lineRule="auto" w:line="259" w:before="0" w:after="120"/>
              <w:jc w:val="left"/>
              <w:rPr/>
            </w:pPr>
            <w:r>
              <w:rPr/>
              <w:t>Internal quantitative engineering, financial research and application teams</w:t>
            </w:r>
          </w:p>
        </w:tc>
      </w:tr>
      <w:tr>
        <w:trPr/>
        <w:tc>
          <w:tcPr>
            <w:tcW w:w="4989" w:type="dxa"/>
            <w:tcBorders/>
          </w:tcPr>
          <w:p>
            <w:pPr>
              <w:pStyle w:val="Normal"/>
              <w:widowControl/>
              <w:bidi w:val="0"/>
              <w:spacing w:lineRule="auto" w:line="259" w:before="0" w:after="120"/>
              <w:jc w:val="left"/>
              <w:rPr/>
            </w:pPr>
            <w:r>
              <w:rPr>
                <w:b/>
              </w:rPr>
              <w:t>Document reference</w:t>
            </w:r>
          </w:p>
        </w:tc>
        <w:tc>
          <w:tcPr>
            <w:tcW w:w="4989" w:type="dxa"/>
            <w:tcBorders/>
          </w:tcPr>
          <w:p>
            <w:pPr>
              <w:pStyle w:val="Normal"/>
              <w:widowControl/>
              <w:bidi w:val="0"/>
              <w:spacing w:lineRule="auto" w:line="259" w:before="0" w:after="120"/>
              <w:jc w:val="left"/>
              <w:rPr/>
            </w:pPr>
            <w:r>
              <w:rPr/>
              <w:t>NIFTY-ROADMAP-001</w:t>
            </w:r>
          </w:p>
        </w:tc>
      </w:tr>
      <w:tr>
        <w:trPr/>
        <w:tc>
          <w:tcPr>
            <w:tcW w:w="4989" w:type="dxa"/>
            <w:tcBorders/>
          </w:tcPr>
          <w:p>
            <w:pPr>
              <w:pStyle w:val="Normal"/>
              <w:widowControl/>
              <w:bidi w:val="0"/>
              <w:spacing w:lineRule="auto" w:line="259" w:before="0" w:after="120"/>
              <w:jc w:val="left"/>
              <w:rPr/>
            </w:pPr>
            <w:r>
              <w:rPr>
                <w:b/>
              </w:rPr>
              <w:t>Version</w:t>
            </w:r>
          </w:p>
        </w:tc>
        <w:tc>
          <w:tcPr>
            <w:tcW w:w="4989" w:type="dxa"/>
            <w:tcBorders/>
          </w:tcPr>
          <w:p>
            <w:pPr>
              <w:pStyle w:val="Normal"/>
              <w:widowControl/>
              <w:bidi w:val="0"/>
              <w:spacing w:lineRule="auto" w:line="259" w:before="0" w:after="120"/>
              <w:jc w:val="left"/>
              <w:rPr/>
            </w:pPr>
            <w:r>
              <w:rPr/>
              <w:t>1.0</w:t>
            </w:r>
          </w:p>
        </w:tc>
      </w:tr>
      <w:tr>
        <w:trPr/>
        <w:tc>
          <w:tcPr>
            <w:tcW w:w="4989" w:type="dxa"/>
            <w:tcBorders/>
          </w:tcPr>
          <w:p>
            <w:pPr>
              <w:pStyle w:val="Normal"/>
              <w:widowControl/>
              <w:bidi w:val="0"/>
              <w:spacing w:lineRule="auto" w:line="259" w:before="0" w:after="120"/>
              <w:jc w:val="left"/>
              <w:rPr/>
            </w:pPr>
            <w:r>
              <w:rPr>
                <w:b/>
              </w:rPr>
              <w:t>Issue date</w:t>
            </w:r>
          </w:p>
        </w:tc>
        <w:tc>
          <w:tcPr>
            <w:tcW w:w="4989" w:type="dxa"/>
            <w:tcBorders/>
          </w:tcPr>
          <w:p>
            <w:pPr>
              <w:pStyle w:val="Normal"/>
              <w:widowControl/>
              <w:bidi w:val="0"/>
              <w:spacing w:lineRule="auto" w:line="259" w:before="0" w:after="120"/>
              <w:jc w:val="left"/>
              <w:rPr/>
            </w:pPr>
            <w:r>
              <w:rPr/>
              <w:t>2 August 2026</w:t>
            </w:r>
          </w:p>
        </w:tc>
      </w:tr>
      <w:tr>
        <w:trPr/>
        <w:tc>
          <w:tcPr>
            <w:tcW w:w="4989" w:type="dxa"/>
            <w:tcBorders/>
          </w:tcPr>
          <w:p>
            <w:pPr>
              <w:pStyle w:val="Normal"/>
              <w:widowControl/>
              <w:bidi w:val="0"/>
              <w:spacing w:lineRule="auto" w:line="259" w:before="0" w:after="120"/>
              <w:jc w:val="left"/>
              <w:rPr/>
            </w:pPr>
            <w:r>
              <w:rPr>
                <w:b/>
              </w:rPr>
              <w:t>Classification</w:t>
            </w:r>
          </w:p>
        </w:tc>
        <w:tc>
          <w:tcPr>
            <w:tcW w:w="4989" w:type="dxa"/>
            <w:tcBorders/>
          </w:tcPr>
          <w:p>
            <w:pPr>
              <w:pStyle w:val="Normal"/>
              <w:widowControl/>
              <w:bidi w:val="0"/>
              <w:spacing w:lineRule="auto" w:line="259" w:before="0" w:after="120"/>
              <w:jc w:val="left"/>
              <w:rPr/>
            </w:pPr>
            <w:r>
              <w:rPr/>
              <w:t>Confidential — Internal Engineering and Trading Research</w:t>
            </w:r>
          </w:p>
        </w:tc>
      </w:tr>
    </w:tbl>
    <w:p>
      <w:pPr>
        <w:sectPr>
          <w:type w:val="nextPage"/>
          <w:pgSz w:w="11906" w:h="16838"/>
          <w:pgMar w:left="964" w:right="964" w:gutter="0" w:header="0" w:top="964" w:footer="0" w:bottom="907"/>
          <w:pgNumType w:fmt="decimal"/>
          <w:formProt w:val="false"/>
          <w:textDirection w:val="lrTb"/>
          <w:docGrid w:type="default" w:linePitch="360" w:charSpace="0"/>
        </w:sectPr>
        <w:pStyle w:val="Normal"/>
        <w:keepLines/>
        <w:spacing w:before="520" w:after="120"/>
        <w:jc w:val="left"/>
        <w:rPr/>
      </w:pPr>
      <w:r>
        <w:rPr>
          <w:rFonts w:eastAsia="Carlito"/>
          <w:b/>
          <w:color w:val="C61F2B"/>
        </w:rPr>
        <w:t>Important implementation status</w:t>
      </w:r>
      <w:r>
        <w:rPr>
          <w:rFonts w:eastAsia="Carlito"/>
        </w:rPr>
        <w:br/>
        <w:t>The reference implementation and sequential-overlay packaging have been verified offline. Integration with the actual target repository, live PostgreSQL instance and full historical data estate remains a controlled implementation activity under the phase release gates.</w:t>
      </w:r>
    </w:p>
    <w:p>
      <w:pPr>
        <w:pStyle w:val="FrontHeading"/>
        <w:keepLines/>
        <w:rPr/>
      </w:pPr>
      <w:r>
        <w:rPr>
          <w:rFonts w:eastAsia="Carlito"/>
        </w:rPr>
        <w:t>Document Control</w:t>
      </w:r>
    </w:p>
    <w:p>
      <w:pPr>
        <w:pStyle w:val="Caption"/>
        <w:keepLines/>
        <w:jc w:val="center"/>
        <w:rPr/>
      </w:pPr>
      <w:bookmarkStart w:id="0" w:name="table1"/>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w:t>
      </w:r>
      <w:r>
        <w:rPr>
          <w:rFonts w:eastAsia="Carlito"/>
        </w:rPr>
        <w:fldChar w:fldCharType="end"/>
      </w:r>
      <w:r>
        <w:rPr>
          <w:rFonts w:eastAsia="Carlito"/>
        </w:rPr>
        <w:t>: Document control</w:t>
      </w:r>
      <w:bookmarkEnd w:id="0"/>
    </w:p>
    <w:tbl>
      <w:tblPr>
        <w:tblStyle w:val="TableGrid"/>
        <w:tblW w:w="9979" w:type="dxa"/>
        <w:jc w:val="center"/>
        <w:tblInd w:w="0" w:type="dxa"/>
        <w:tblLayout w:type="fixed"/>
        <w:tblCellMar>
          <w:top w:w="90" w:type="dxa"/>
          <w:left w:w="90" w:type="dxa"/>
          <w:bottom w:w="9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9"/>
                <w:szCs w:val="22"/>
                <w:lang w:val="en-US" w:eastAsia="en-US" w:bidi="ar-SA"/>
              </w:rPr>
              <w:t>Field</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9"/>
                <w:szCs w:val="22"/>
                <w:lang w:val="en-US" w:eastAsia="en-US" w:bidi="ar-SA"/>
              </w:rPr>
              <w:t>Value</w:t>
            </w:r>
          </w:p>
        </w:tc>
      </w:tr>
      <w:tr>
        <w:trPr>
          <w:cantSplit w:val="true"/>
        </w:trPr>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Document title</w:t>
            </w:r>
          </w:p>
        </w:tc>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NIFTY Strategy Research and Backtesting Platform — Five-Phase Implementation Roadmap</w:t>
            </w:r>
          </w:p>
        </w:tc>
      </w:tr>
      <w:tr>
        <w:trPr>
          <w:cantSplit w:val="true"/>
        </w:trPr>
        <w:tc>
          <w:tcPr>
            <w:tcW w:w="4989" w:type="dxa"/>
            <w:tcBorders/>
            <w:shd w:fill="F3F5F8"/>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Reference</w:t>
            </w:r>
          </w:p>
        </w:tc>
        <w:tc>
          <w:tcPr>
            <w:tcW w:w="4989" w:type="dxa"/>
            <w:tcBorders/>
            <w:shd w:fill="F3F5F8"/>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NIFTY-ROADMAP-001</w:t>
            </w:r>
          </w:p>
        </w:tc>
      </w:tr>
      <w:tr>
        <w:trPr>
          <w:cantSplit w:val="true"/>
        </w:trPr>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Version</w:t>
            </w:r>
          </w:p>
        </w:tc>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1.0</w:t>
            </w:r>
          </w:p>
        </w:tc>
      </w:tr>
      <w:tr>
        <w:trPr>
          <w:cantSplit w:val="true"/>
        </w:trPr>
        <w:tc>
          <w:tcPr>
            <w:tcW w:w="4989" w:type="dxa"/>
            <w:tcBorders/>
            <w:shd w:fill="F3F5F8"/>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Status</w:t>
            </w:r>
          </w:p>
        </w:tc>
        <w:tc>
          <w:tcPr>
            <w:tcW w:w="4989" w:type="dxa"/>
            <w:tcBorders/>
            <w:shd w:fill="F3F5F8"/>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Reference implementation complete; target integration pending</w:t>
            </w:r>
          </w:p>
        </w:tc>
      </w:tr>
      <w:tr>
        <w:trPr>
          <w:cantSplit w:val="true"/>
        </w:trPr>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Owner</w:t>
            </w:r>
          </w:p>
        </w:tc>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Platform architecture and quantitative engineering</w:t>
            </w:r>
          </w:p>
        </w:tc>
      </w:tr>
      <w:tr>
        <w:trPr>
          <w:cantSplit w:val="true"/>
        </w:trPr>
        <w:tc>
          <w:tcPr>
            <w:tcW w:w="4989" w:type="dxa"/>
            <w:tcBorders/>
            <w:shd w:fill="F3F5F8"/>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Primary audience</w:t>
            </w:r>
          </w:p>
        </w:tc>
        <w:tc>
          <w:tcPr>
            <w:tcW w:w="4989" w:type="dxa"/>
            <w:tcBorders/>
            <w:shd w:fill="F3F5F8"/>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Product owner, quant researchers, data engineers, backtest engineers, ML/statistics engineers, derivatives specialists, API/UI developers and coding agents</w:t>
            </w:r>
          </w:p>
        </w:tc>
      </w:tr>
      <w:tr>
        <w:trPr>
          <w:cantSplit w:val="true"/>
        </w:trPr>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Intended use</w:t>
            </w:r>
          </w:p>
        </w:tc>
        <w:tc>
          <w:tcPr>
            <w:tcW w:w="4989" w:type="dxa"/>
            <w:tcBorders/>
            <w:tcMar>
              <w:top w:w="75" w:type="dxa"/>
              <w:bottom w:w="75" w:type="dxa"/>
            </w:tcMar>
          </w:tcPr>
          <w:p>
            <w:pPr>
              <w:pStyle w:val="Normal"/>
              <w:widowControl/>
              <w:spacing w:before="0" w:after="0"/>
              <w:jc w:val="left"/>
              <w:rPr>
                <w:rFonts w:cs=""/>
                <w:kern w:val="0"/>
                <w:szCs w:val="22"/>
                <w:lang w:val="en-US" w:eastAsia="en-US" w:bidi="ar-SA"/>
              </w:rPr>
            </w:pPr>
            <w:r>
              <w:rPr>
                <w:rFonts w:cs=""/>
                <w:color w:val="172033"/>
                <w:kern w:val="0"/>
                <w:sz w:val="18"/>
                <w:szCs w:val="22"/>
                <w:lang w:val="en-US" w:eastAsia="en-US" w:bidi="ar-SA"/>
              </w:rPr>
              <w:t>Phase allocation, code integration, technical implementation, acceptance review, test evidence and programme handover</w:t>
            </w:r>
          </w:p>
        </w:tc>
      </w:tr>
    </w:tbl>
    <w:p>
      <w:pPr>
        <w:pStyle w:val="Caption"/>
        <w:keepLines/>
        <w:jc w:val="center"/>
        <w:rPr/>
      </w:pPr>
      <w:bookmarkStart w:id="1" w:name="table2"/>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2</w:t>
      </w:r>
      <w:r>
        <w:rPr>
          <w:rFonts w:eastAsia="Carlito"/>
        </w:rPr>
        <w:fldChar w:fldCharType="end"/>
      </w:r>
      <w:r>
        <w:rPr>
          <w:rFonts w:eastAsia="Carlito"/>
        </w:rPr>
        <w:t>: Revision history</w:t>
      </w:r>
      <w:bookmarkEnd w:id="1"/>
    </w:p>
    <w:tbl>
      <w:tblPr>
        <w:tblStyle w:val="TableGrid"/>
        <w:tblW w:w="99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2494"/>
        <w:gridCol w:w="2494"/>
        <w:gridCol w:w="2493"/>
      </w:tblGrid>
      <w:tr>
        <w:trPr>
          <w:tblHeader w:val="true"/>
          <w:cantSplit w:val="true"/>
        </w:trPr>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Version</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Date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Description</w:t>
            </w:r>
          </w:p>
        </w:tc>
        <w:tc>
          <w:tcPr>
            <w:tcW w:w="2493"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Status</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0.1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 August 2026</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Architecture-to-roadmap decomposition and source mapping</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Superseded</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0.5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 August 2026</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Five sequential overlays, phase prompts and automated tests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Superseded</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1.0</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 August 2026</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Reviewed roadmap, packaged code bundles and delivery verification</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Current</w:t>
            </w:r>
          </w:p>
        </w:tc>
      </w:tr>
    </w:tbl>
    <w:p>
      <w:pPr>
        <w:pStyle w:val="FrontHeading"/>
        <w:keepLines/>
        <w:rPr/>
      </w:pPr>
      <w:r>
        <w:rPr>
          <w:rFonts w:eastAsia="Carlito"/>
        </w:rPr>
        <w:t>Executive Summary</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1F5CA9"/>
            </w:tcBorders>
            <w:shd w:fill="EAF2FC"/>
          </w:tcPr>
          <w:p>
            <w:pPr>
              <w:pStyle w:val="Normal"/>
              <w:spacing w:before="0" w:after="0"/>
              <w:rPr/>
            </w:pPr>
            <w:r>
              <w:rPr>
                <w:b/>
                <w:color w:val="1F5CA9"/>
                <w:sz w:val="21"/>
              </w:rPr>
              <w:t>Programme decision</w:t>
            </w:r>
            <w:r>
              <w:rPr/>
              <w:br/>
              <w:t>Implement the platform in five sequential phases: trusted data/time; exact economics and simulation; resumable replay; reverse discovery and calibrated probability; then buying-only options, historical/online parity and research packs. Later paper, shadow and constrained-live work must consume the same contracts rather than create another engine.</w:t>
            </w:r>
          </w:p>
        </w:tc>
      </w:tr>
    </w:tbl>
    <w:p>
      <w:pPr>
        <w:pStyle w:val="Normal"/>
        <w:keepLines/>
        <w:rPr/>
      </w:pPr>
      <w:r>
        <w:rPr>
          <w:rFonts w:eastAsia="Carlito"/>
        </w:rPr>
        <w:t>The starting objective is broader than a single strategy script. The system must repeatedly accept buy/sell rules, replay them through historical daily and minute data as though the market were unfolding in real time, calculate actual net outcomes, restart safely after interruption, compare performance by regime/stock/sector/time, discover candidate precursors to historical opportunities, and later apply parity-certified logic to current SmartAPI data. The existing code and PostgreSQL estate therefore become inputs to a controlled consolidation rather than material to discard.</w:t>
      </w:r>
    </w:p>
    <w:p>
      <w:pPr>
        <w:pStyle w:val="Normal"/>
        <w:keepLines/>
        <w:rPr/>
      </w:pPr>
      <w:r>
        <w:rPr>
          <w:rFonts w:eastAsia="Carlito"/>
        </w:rPr>
        <w:t>Five phases are used because later analytical sophistication is worthless if source timestamps, constituents, charges, fill semantics or run state are wrong. Every phase is a sequential overlay into a bounded package under the target repository; every package carries its own acceptance criteria, integration map, detailed Codex prompt, low-context-agent task, overlay installer and verifier.</w:t>
      </w:r>
    </w:p>
    <w:p>
      <w:pPr>
        <w:pStyle w:val="Caption"/>
        <w:keepLines/>
        <w:jc w:val="center"/>
        <w:rPr/>
      </w:pPr>
      <w:bookmarkStart w:id="2" w:name="table3"/>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3</w:t>
      </w:r>
      <w:r>
        <w:rPr>
          <w:rFonts w:eastAsia="Carlito"/>
        </w:rPr>
        <w:fldChar w:fldCharType="end"/>
      </w:r>
      <w:r>
        <w:rPr>
          <w:rFonts w:eastAsia="Carlito"/>
        </w:rPr>
        <w:t>: Executive phase decisions</w:t>
      </w:r>
      <w:bookmarkEnd w:id="2"/>
    </w:p>
    <w:tbl>
      <w:tblPr>
        <w:tblStyle w:val="TableGrid"/>
        <w:tblW w:w="99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2494"/>
        <w:gridCol w:w="2494"/>
        <w:gridCol w:w="2493"/>
      </w:tblGrid>
      <w:tr>
        <w:trPr>
          <w:tblHeader w:val="true"/>
          <w:cantSplit w:val="true"/>
        </w:trPr>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Phase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Outcome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Release gate</w:t>
            </w:r>
          </w:p>
        </w:tc>
        <w:tc>
          <w:tcPr>
            <w:tcW w:w="2493"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Bundle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Trusted data/time/contracts and historical qualification</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 unqualified source enters research</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Data Foundation</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Exact net economics, strategy SDK and event simulator</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Temporal and financial golden tests pass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Economics &amp; Simulator</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Deterministic, resumable ten-year replay and validated results</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Kill/restart and publication controls pass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Resumable Replay</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Leakage-controlled discovery and calibrated probability</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Strict out-of-fold evidence exists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Discovery &amp; Calibration</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Buying-only options, parity and analyst research packs</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Premium, freshness, parity and ZIP gates pass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Options/Parity/Packs</w:t>
            </w:r>
          </w:p>
        </w:tc>
      </w:tr>
    </w:tbl>
    <w:p>
      <w:pPr>
        <w:pStyle w:val="Normal"/>
        <w:keepLines/>
        <w:spacing w:before="0" w:after="40"/>
        <w:jc w:val="center"/>
        <w:rPr/>
      </w:pPr>
      <w:r>
        <w:rPr/>
        <w:drawing>
          <wp:inline distT="0" distB="0" distL="0" distR="0">
            <wp:extent cx="6047740" cy="21393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47740" cy="2139315"/>
                    </a:xfrm>
                    <a:prstGeom prst="rect">
                      <a:avLst/>
                    </a:prstGeom>
                    <a:noFill/>
                  </pic:spPr>
                </pic:pic>
              </a:graphicData>
            </a:graphic>
          </wp:inline>
        </w:drawing>
      </w:r>
    </w:p>
    <w:p>
      <w:pPr>
        <w:pStyle w:val="Caption"/>
        <w:keepLines/>
        <w:jc w:val="center"/>
        <w:rPr/>
      </w:pPr>
      <w:bookmarkStart w:id="3" w:name="figure1"/>
      <w:r>
        <w:rPr>
          <w:rFonts w:eastAsia="Carlito"/>
          <w:b/>
        </w:rPr>
        <w:t xml:space="preserve">Figure </w:t>
      </w:r>
      <w:r>
        <w:rPr>
          <w:rFonts w:eastAsia="Carlito"/>
        </w:rPr>
        <w:fldChar w:fldCharType="begin"/>
      </w:r>
      <w:r>
        <w:rPr>
          <w:rFonts w:eastAsia="Carlito"/>
        </w:rPr>
        <w:instrText xml:space="preserve"> SEQ Figure \* ARABIC </w:instrText>
      </w:r>
      <w:r>
        <w:rPr>
          <w:rFonts w:eastAsia="Carlito"/>
        </w:rPr>
        <w:fldChar w:fldCharType="separate"/>
      </w:r>
      <w:r>
        <w:rPr>
          <w:rFonts w:eastAsia="Carlito"/>
        </w:rPr>
        <w:t>1</w:t>
      </w:r>
      <w:r>
        <w:rPr>
          <w:rFonts w:eastAsia="Carlito"/>
        </w:rPr>
        <w:fldChar w:fldCharType="end"/>
      </w:r>
      <w:r>
        <w:rPr>
          <w:rFonts w:eastAsia="Carlito"/>
        </w:rPr>
        <w:t>: Five-phase implementation sequence</w:t>
      </w:r>
      <w:bookmarkEnd w:id="3"/>
    </w:p>
    <w:p>
      <w:pPr>
        <w:pStyle w:val="FrontHeading"/>
        <w:keepLines/>
        <w:rPr/>
      </w:pPr>
      <w:r>
        <w:rPr>
          <w:rFonts w:eastAsia="Carlito"/>
        </w:rPr>
        <w:t>Table of Contents</w:t>
      </w:r>
    </w:p>
    <w:sdt>
      <w:sdtPr>
        <w:docPartObj>
          <w:docPartGallery w:val="Table of Contents"/>
          <w:docPartUnique w:val="true"/>
        </w:docPartObj>
      </w:sdtPr>
      <w:sdtContent>
        <w:p>
          <w:pPr>
            <w:pStyle w:val="TOC1"/>
            <w:tabs>
              <w:tab w:val="clear" w:pos="9978"/>
              <w:tab w:val="right" w:pos="9977" w:leader="dot"/>
            </w:tabs>
            <w:rPr/>
          </w:pPr>
          <w:r>
            <w:fldChar w:fldCharType="begin"/>
          </w:r>
          <w:r>
            <w:rPr>
              <w:webHidden/>
              <w:rStyle w:val="IndexLink"/>
            </w:rPr>
            <w:instrText xml:space="preserve"> TOC \z \o "1-3" \u \h</w:instrText>
          </w:r>
          <w:r>
            <w:rPr>
              <w:webHidden/>
              <w:rStyle w:val="IndexLink"/>
            </w:rPr>
            <w:fldChar w:fldCharType="separate"/>
          </w:r>
          <w:hyperlink w:anchor="__RefHeading___Toc5243_2627061606">
            <w:r>
              <w:rPr>
                <w:webHidden/>
                <w:rStyle w:val="IndexLink"/>
              </w:rPr>
              <w:t>1 Project Context and Starting Objective</w:t>
              <w:tab/>
              <w:t>4</w:t>
            </w:r>
          </w:hyperlink>
        </w:p>
        <w:p>
          <w:pPr>
            <w:pStyle w:val="TOC2"/>
            <w:tabs>
              <w:tab w:val="clear" w:pos="9695"/>
              <w:tab w:val="right" w:pos="9977" w:leader="dot"/>
            </w:tabs>
            <w:rPr/>
          </w:pPr>
          <w:hyperlink w:anchor="__RefHeading___Toc5245_2627061606">
            <w:r>
              <w:rPr>
                <w:webHidden/>
                <w:rStyle w:val="IndexLink"/>
              </w:rPr>
              <w:t>1.1 Operating Scenarios</w:t>
              <w:tab/>
              <w:t>4</w:t>
            </w:r>
          </w:hyperlink>
        </w:p>
        <w:p>
          <w:pPr>
            <w:pStyle w:val="TOC2"/>
            <w:tabs>
              <w:tab w:val="clear" w:pos="9695"/>
              <w:tab w:val="right" w:pos="9977" w:leader="dot"/>
            </w:tabs>
            <w:rPr/>
          </w:pPr>
          <w:hyperlink w:anchor="__RefHeading___Toc5247_2627061606">
            <w:r>
              <w:rPr>
                <w:webHidden/>
                <w:rStyle w:val="IndexLink"/>
              </w:rPr>
              <w:t>1.2 Programme Boundaries</w:t>
              <w:tab/>
              <w:t>4</w:t>
            </w:r>
          </w:hyperlink>
        </w:p>
        <w:p>
          <w:pPr>
            <w:pStyle w:val="TOC1"/>
            <w:tabs>
              <w:tab w:val="clear" w:pos="9978"/>
              <w:tab w:val="right" w:pos="9977" w:leader="dot"/>
            </w:tabs>
            <w:rPr/>
          </w:pPr>
          <w:hyperlink w:anchor="__RefHeading___Toc5249_2627061606">
            <w:r>
              <w:rPr>
                <w:webHidden/>
                <w:rStyle w:val="IndexLink"/>
              </w:rPr>
              <w:t>2 Evidence Basis and Current Estate</w:t>
              <w:tab/>
              <w:t>4</w:t>
            </w:r>
          </w:hyperlink>
        </w:p>
        <w:p>
          <w:pPr>
            <w:pStyle w:val="TOC2"/>
            <w:tabs>
              <w:tab w:val="clear" w:pos="9695"/>
              <w:tab w:val="right" w:pos="9977" w:leader="dot"/>
            </w:tabs>
            <w:rPr/>
          </w:pPr>
          <w:hyperlink w:anchor="__RefHeading___Toc5251_2627061606">
            <w:r>
              <w:rPr>
                <w:webHidden/>
                <w:rStyle w:val="IndexLink"/>
              </w:rPr>
              <w:t>2.1 Architecture Decision</w:t>
              <w:tab/>
              <w:t>5</w:t>
            </w:r>
          </w:hyperlink>
        </w:p>
        <w:p>
          <w:pPr>
            <w:pStyle w:val="TOC1"/>
            <w:tabs>
              <w:tab w:val="clear" w:pos="9978"/>
              <w:tab w:val="right" w:pos="9977" w:leader="dot"/>
            </w:tabs>
            <w:rPr/>
          </w:pPr>
          <w:hyperlink w:anchor="__RefHeading___Toc5253_2627061606">
            <w:r>
              <w:rPr>
                <w:webHidden/>
                <w:rStyle w:val="IndexLink"/>
              </w:rPr>
              <w:t>3 Five-Phase Programme Structure</w:t>
              <w:tab/>
              <w:t>6</w:t>
            </w:r>
          </w:hyperlink>
        </w:p>
        <w:p>
          <w:pPr>
            <w:pStyle w:val="TOC2"/>
            <w:tabs>
              <w:tab w:val="clear" w:pos="9695"/>
              <w:tab w:val="right" w:pos="9977" w:leader="dot"/>
            </w:tabs>
            <w:rPr/>
          </w:pPr>
          <w:hyperlink w:anchor="__RefHeading___Toc5255_2627061606">
            <w:r>
              <w:rPr>
                <w:webHidden/>
                <w:rStyle w:val="IndexLink"/>
              </w:rPr>
              <w:t>3.1 Standard Phase Release Model</w:t>
              <w:tab/>
              <w:t>6</w:t>
            </w:r>
          </w:hyperlink>
        </w:p>
        <w:p>
          <w:pPr>
            <w:pStyle w:val="TOC1"/>
            <w:tabs>
              <w:tab w:val="clear" w:pos="9978"/>
              <w:tab w:val="right" w:pos="9977" w:leader="dot"/>
            </w:tabs>
            <w:rPr/>
          </w:pPr>
          <w:hyperlink w:anchor="__RefHeading___Toc5257_2627061606">
            <w:r>
              <w:rPr>
                <w:webHidden/>
                <w:rStyle w:val="IndexLink"/>
              </w:rPr>
              <w:t>4 Phase 1: Data Foundation, Point-in-Time Contracts and Qualification</w:t>
              <w:tab/>
              <w:t>8</w:t>
            </w:r>
          </w:hyperlink>
        </w:p>
        <w:p>
          <w:pPr>
            <w:pStyle w:val="TOC2"/>
            <w:tabs>
              <w:tab w:val="clear" w:pos="9695"/>
              <w:tab w:val="right" w:pos="9977" w:leader="dot"/>
            </w:tabs>
            <w:rPr/>
          </w:pPr>
          <w:hyperlink w:anchor="__RefHeading___Toc5259_2627061606">
            <w:r>
              <w:rPr>
                <w:webHidden/>
                <w:rStyle w:val="IndexLink"/>
              </w:rPr>
              <w:t>4.1 Features and Work Packages</w:t>
              <w:tab/>
              <w:t>8</w:t>
            </w:r>
          </w:hyperlink>
        </w:p>
        <w:p>
          <w:pPr>
            <w:pStyle w:val="TOC2"/>
            <w:tabs>
              <w:tab w:val="clear" w:pos="9695"/>
              <w:tab w:val="right" w:pos="9977" w:leader="dot"/>
            </w:tabs>
            <w:rPr/>
          </w:pPr>
          <w:hyperlink w:anchor="__RefHeading___Toc5261_2627061606">
            <w:r>
              <w:rPr>
                <w:webHidden/>
                <w:rStyle w:val="IndexLink"/>
              </w:rPr>
              <w:t>4.2 Existing-Code Integration</w:t>
              <w:tab/>
              <w:t>8</w:t>
            </w:r>
          </w:hyperlink>
        </w:p>
        <w:p>
          <w:pPr>
            <w:pStyle w:val="TOC2"/>
            <w:tabs>
              <w:tab w:val="clear" w:pos="9695"/>
              <w:tab w:val="right" w:pos="9977" w:leader="dot"/>
            </w:tabs>
            <w:rPr/>
          </w:pPr>
          <w:hyperlink w:anchor="__RefHeading___Toc5263_2627061606">
            <w:r>
              <w:rPr>
                <w:webHidden/>
                <w:rStyle w:val="IndexLink"/>
              </w:rPr>
              <w:t>4.3 Test and Release Gate</w:t>
              <w:tab/>
              <w:t>8</w:t>
            </w:r>
          </w:hyperlink>
        </w:p>
        <w:p>
          <w:pPr>
            <w:pStyle w:val="TOC2"/>
            <w:tabs>
              <w:tab w:val="clear" w:pos="9695"/>
              <w:tab w:val="right" w:pos="9977" w:leader="dot"/>
            </w:tabs>
            <w:rPr/>
          </w:pPr>
          <w:hyperlink w:anchor="__RefHeading___Toc5265_2627061606">
            <w:r>
              <w:rPr>
                <w:webHidden/>
                <w:rStyle w:val="IndexLink"/>
              </w:rPr>
              <w:t>4.4 Agent Execution</w:t>
              <w:tab/>
              <w:t>8</w:t>
            </w:r>
          </w:hyperlink>
        </w:p>
        <w:p>
          <w:pPr>
            <w:pStyle w:val="TOC1"/>
            <w:tabs>
              <w:tab w:val="clear" w:pos="9978"/>
              <w:tab w:val="right" w:pos="9977" w:leader="dot"/>
            </w:tabs>
            <w:rPr/>
          </w:pPr>
          <w:hyperlink w:anchor="__RefHeading___Toc5267_2627061606">
            <w:r>
              <w:rPr>
                <w:webHidden/>
                <w:rStyle w:val="IndexLink"/>
              </w:rPr>
              <w:t>5 Phase 2: Exact Economics, Feature Registry, Strategy SDK and Event Simulator</w:t>
              <w:tab/>
              <w:t>9</w:t>
            </w:r>
          </w:hyperlink>
        </w:p>
        <w:p>
          <w:pPr>
            <w:pStyle w:val="TOC2"/>
            <w:tabs>
              <w:tab w:val="clear" w:pos="9695"/>
              <w:tab w:val="right" w:pos="9977" w:leader="dot"/>
            </w:tabs>
            <w:rPr/>
          </w:pPr>
          <w:hyperlink w:anchor="__RefHeading___Toc5269_2627061606">
            <w:r>
              <w:rPr>
                <w:webHidden/>
                <w:rStyle w:val="IndexLink"/>
              </w:rPr>
              <w:t>5.1 Features and Work Packages</w:t>
              <w:tab/>
              <w:t>9</w:t>
            </w:r>
          </w:hyperlink>
        </w:p>
        <w:p>
          <w:pPr>
            <w:pStyle w:val="TOC2"/>
            <w:tabs>
              <w:tab w:val="clear" w:pos="9695"/>
              <w:tab w:val="right" w:pos="9977" w:leader="dot"/>
            </w:tabs>
            <w:rPr/>
          </w:pPr>
          <w:hyperlink w:anchor="__RefHeading___Toc5271_2627061606">
            <w:r>
              <w:rPr>
                <w:webHidden/>
                <w:rStyle w:val="IndexLink"/>
              </w:rPr>
              <w:t>5.2 Existing-Code Integration</w:t>
              <w:tab/>
              <w:t>9</w:t>
            </w:r>
          </w:hyperlink>
        </w:p>
        <w:p>
          <w:pPr>
            <w:pStyle w:val="TOC2"/>
            <w:tabs>
              <w:tab w:val="clear" w:pos="9695"/>
              <w:tab w:val="right" w:pos="9977" w:leader="dot"/>
            </w:tabs>
            <w:rPr/>
          </w:pPr>
          <w:hyperlink w:anchor="__RefHeading___Toc5273_2627061606">
            <w:r>
              <w:rPr>
                <w:webHidden/>
                <w:rStyle w:val="IndexLink"/>
              </w:rPr>
              <w:t>5.3 Test and Release Gate</w:t>
              <w:tab/>
              <w:t>9</w:t>
            </w:r>
          </w:hyperlink>
        </w:p>
        <w:p>
          <w:pPr>
            <w:pStyle w:val="TOC2"/>
            <w:tabs>
              <w:tab w:val="clear" w:pos="9695"/>
              <w:tab w:val="right" w:pos="9977" w:leader="dot"/>
            </w:tabs>
            <w:rPr/>
          </w:pPr>
          <w:hyperlink w:anchor="__RefHeading___Toc5275_2627061606">
            <w:r>
              <w:rPr>
                <w:webHidden/>
                <w:rStyle w:val="IndexLink"/>
              </w:rPr>
              <w:t>5.4 Agent Execution</w:t>
              <w:tab/>
              <w:t>9</w:t>
            </w:r>
          </w:hyperlink>
        </w:p>
        <w:p>
          <w:pPr>
            <w:pStyle w:val="TOC1"/>
            <w:tabs>
              <w:tab w:val="clear" w:pos="9978"/>
              <w:tab w:val="right" w:pos="9977" w:leader="dot"/>
            </w:tabs>
            <w:rPr/>
          </w:pPr>
          <w:hyperlink w:anchor="__RefHeading___Toc5277_2627061606">
            <w:r>
              <w:rPr>
                <w:webHidden/>
                <w:rStyle w:val="IndexLink"/>
              </w:rPr>
              <w:t>6 Phase 3: Resumable Historical Backtesting, Experiment Ledger and Results</w:t>
              <w:tab/>
              <w:t>10</w:t>
            </w:r>
          </w:hyperlink>
        </w:p>
        <w:p>
          <w:pPr>
            <w:pStyle w:val="TOC2"/>
            <w:tabs>
              <w:tab w:val="clear" w:pos="9695"/>
              <w:tab w:val="right" w:pos="9977" w:leader="dot"/>
            </w:tabs>
            <w:rPr/>
          </w:pPr>
          <w:hyperlink w:anchor="__RefHeading___Toc5279_2627061606">
            <w:r>
              <w:rPr>
                <w:webHidden/>
                <w:rStyle w:val="IndexLink"/>
              </w:rPr>
              <w:t>6.1 Features and Work Packages</w:t>
              <w:tab/>
              <w:t>10</w:t>
            </w:r>
          </w:hyperlink>
        </w:p>
        <w:p>
          <w:pPr>
            <w:pStyle w:val="TOC2"/>
            <w:tabs>
              <w:tab w:val="clear" w:pos="9695"/>
              <w:tab w:val="right" w:pos="9977" w:leader="dot"/>
            </w:tabs>
            <w:rPr/>
          </w:pPr>
          <w:hyperlink w:anchor="__RefHeading___Toc5281_2627061606">
            <w:r>
              <w:rPr>
                <w:webHidden/>
                <w:rStyle w:val="IndexLink"/>
              </w:rPr>
              <w:t>6.2 Existing-Code Integration</w:t>
              <w:tab/>
              <w:t>10</w:t>
            </w:r>
          </w:hyperlink>
        </w:p>
        <w:p>
          <w:pPr>
            <w:pStyle w:val="TOC2"/>
            <w:tabs>
              <w:tab w:val="clear" w:pos="9695"/>
              <w:tab w:val="right" w:pos="9977" w:leader="dot"/>
            </w:tabs>
            <w:rPr/>
          </w:pPr>
          <w:hyperlink w:anchor="__RefHeading___Toc5283_2627061606">
            <w:r>
              <w:rPr>
                <w:webHidden/>
                <w:rStyle w:val="IndexLink"/>
              </w:rPr>
              <w:t>6.3 Test and Release Gate</w:t>
              <w:tab/>
              <w:t>10</w:t>
            </w:r>
          </w:hyperlink>
        </w:p>
        <w:p>
          <w:pPr>
            <w:pStyle w:val="TOC2"/>
            <w:tabs>
              <w:tab w:val="clear" w:pos="9695"/>
              <w:tab w:val="right" w:pos="9977" w:leader="dot"/>
            </w:tabs>
            <w:rPr/>
          </w:pPr>
          <w:hyperlink w:anchor="__RefHeading___Toc5285_2627061606">
            <w:r>
              <w:rPr>
                <w:webHidden/>
                <w:rStyle w:val="IndexLink"/>
              </w:rPr>
              <w:t>6.4 Agent Execution</w:t>
              <w:tab/>
              <w:t>10</w:t>
            </w:r>
          </w:hyperlink>
        </w:p>
        <w:p>
          <w:pPr>
            <w:pStyle w:val="TOC1"/>
            <w:tabs>
              <w:tab w:val="clear" w:pos="9978"/>
              <w:tab w:val="right" w:pos="9977" w:leader="dot"/>
            </w:tabs>
            <w:rPr/>
          </w:pPr>
          <w:hyperlink w:anchor="__RefHeading___Toc5287_2627061606">
            <w:r>
              <w:rPr>
                <w:webHidden/>
                <w:rStyle w:val="IndexLink"/>
              </w:rPr>
              <w:t>7 Phase 4: Reverse Opportunity Discovery, Walk-Forward Validation and Calibrated Probability</w:t>
              <w:tab/>
              <w:t>11</w:t>
            </w:r>
          </w:hyperlink>
        </w:p>
        <w:p>
          <w:pPr>
            <w:pStyle w:val="TOC2"/>
            <w:tabs>
              <w:tab w:val="clear" w:pos="9695"/>
              <w:tab w:val="right" w:pos="9977" w:leader="dot"/>
            </w:tabs>
            <w:rPr/>
          </w:pPr>
          <w:hyperlink w:anchor="__RefHeading___Toc5289_2627061606">
            <w:r>
              <w:rPr>
                <w:webHidden/>
                <w:rStyle w:val="IndexLink"/>
              </w:rPr>
              <w:t>7.1 Features and Work Packages</w:t>
              <w:tab/>
              <w:t>11</w:t>
            </w:r>
          </w:hyperlink>
        </w:p>
        <w:p>
          <w:pPr>
            <w:pStyle w:val="TOC2"/>
            <w:tabs>
              <w:tab w:val="clear" w:pos="9695"/>
              <w:tab w:val="right" w:pos="9977" w:leader="dot"/>
            </w:tabs>
            <w:rPr/>
          </w:pPr>
          <w:hyperlink w:anchor="__RefHeading___Toc5291_2627061606">
            <w:r>
              <w:rPr>
                <w:webHidden/>
                <w:rStyle w:val="IndexLink"/>
              </w:rPr>
              <w:t>7.2 Existing-Code Integration</w:t>
              <w:tab/>
              <w:t>11</w:t>
            </w:r>
          </w:hyperlink>
        </w:p>
        <w:p>
          <w:pPr>
            <w:pStyle w:val="TOC2"/>
            <w:tabs>
              <w:tab w:val="clear" w:pos="9695"/>
              <w:tab w:val="right" w:pos="9977" w:leader="dot"/>
            </w:tabs>
            <w:rPr/>
          </w:pPr>
          <w:hyperlink w:anchor="__RefHeading___Toc5293_2627061606">
            <w:r>
              <w:rPr>
                <w:webHidden/>
                <w:rStyle w:val="IndexLink"/>
              </w:rPr>
              <w:t>7.3 Test and Release Gate</w:t>
              <w:tab/>
              <w:t>11</w:t>
            </w:r>
          </w:hyperlink>
        </w:p>
        <w:p>
          <w:pPr>
            <w:pStyle w:val="TOC2"/>
            <w:tabs>
              <w:tab w:val="clear" w:pos="9695"/>
              <w:tab w:val="right" w:pos="9977" w:leader="dot"/>
            </w:tabs>
            <w:rPr/>
          </w:pPr>
          <w:hyperlink w:anchor="__RefHeading___Toc5295_2627061606">
            <w:r>
              <w:rPr>
                <w:webHidden/>
                <w:rStyle w:val="IndexLink"/>
              </w:rPr>
              <w:t>7.4 Agent Execution</w:t>
              <w:tab/>
              <w:t>11</w:t>
            </w:r>
          </w:hyperlink>
        </w:p>
        <w:p>
          <w:pPr>
            <w:pStyle w:val="TOC1"/>
            <w:tabs>
              <w:tab w:val="clear" w:pos="9978"/>
              <w:tab w:val="right" w:pos="9977" w:leader="dot"/>
            </w:tabs>
            <w:rPr/>
          </w:pPr>
          <w:hyperlink w:anchor="__RefHeading___Toc5297_2627061606">
            <w:r>
              <w:rPr>
                <w:webHidden/>
                <w:rStyle w:val="IndexLink"/>
              </w:rPr>
              <w:t>8 Phase 5: Buying-Only Options Research, Historical/Online Parity and Analyst Research Packs</w:t>
              <w:tab/>
              <w:t>12</w:t>
            </w:r>
          </w:hyperlink>
        </w:p>
        <w:p>
          <w:pPr>
            <w:pStyle w:val="TOC2"/>
            <w:tabs>
              <w:tab w:val="clear" w:pos="9695"/>
              <w:tab w:val="right" w:pos="9977" w:leader="dot"/>
            </w:tabs>
            <w:rPr/>
          </w:pPr>
          <w:hyperlink w:anchor="__RefHeading___Toc5299_2627061606">
            <w:r>
              <w:rPr>
                <w:webHidden/>
                <w:rStyle w:val="IndexLink"/>
              </w:rPr>
              <w:t>8.1 Features and Work Packages</w:t>
              <w:tab/>
              <w:t>12</w:t>
            </w:r>
          </w:hyperlink>
        </w:p>
        <w:p>
          <w:pPr>
            <w:pStyle w:val="TOC2"/>
            <w:tabs>
              <w:tab w:val="clear" w:pos="9695"/>
              <w:tab w:val="right" w:pos="9977" w:leader="dot"/>
            </w:tabs>
            <w:rPr/>
          </w:pPr>
          <w:hyperlink w:anchor="__RefHeading___Toc5301_2627061606">
            <w:r>
              <w:rPr>
                <w:webHidden/>
                <w:rStyle w:val="IndexLink"/>
              </w:rPr>
              <w:t>8.2 Existing-Code Integration</w:t>
              <w:tab/>
              <w:t>12</w:t>
            </w:r>
          </w:hyperlink>
        </w:p>
        <w:p>
          <w:pPr>
            <w:pStyle w:val="TOC2"/>
            <w:tabs>
              <w:tab w:val="clear" w:pos="9695"/>
              <w:tab w:val="right" w:pos="9977" w:leader="dot"/>
            </w:tabs>
            <w:rPr/>
          </w:pPr>
          <w:hyperlink w:anchor="__RefHeading___Toc5303_2627061606">
            <w:r>
              <w:rPr>
                <w:webHidden/>
                <w:rStyle w:val="IndexLink"/>
              </w:rPr>
              <w:t>8.3 Test and Release Gate</w:t>
              <w:tab/>
              <w:t>12</w:t>
            </w:r>
          </w:hyperlink>
        </w:p>
        <w:p>
          <w:pPr>
            <w:pStyle w:val="TOC2"/>
            <w:tabs>
              <w:tab w:val="clear" w:pos="9695"/>
              <w:tab w:val="right" w:pos="9977" w:leader="dot"/>
            </w:tabs>
            <w:rPr/>
          </w:pPr>
          <w:hyperlink w:anchor="__RefHeading___Toc5305_2627061606">
            <w:r>
              <w:rPr>
                <w:webHidden/>
                <w:rStyle w:val="IndexLink"/>
              </w:rPr>
              <w:t>8.4 Agent Execution</w:t>
              <w:tab/>
              <w:t>13</w:t>
            </w:r>
          </w:hyperlink>
        </w:p>
        <w:p>
          <w:pPr>
            <w:pStyle w:val="TOC1"/>
            <w:tabs>
              <w:tab w:val="clear" w:pos="9978"/>
              <w:tab w:val="right" w:pos="9977" w:leader="dot"/>
            </w:tabs>
            <w:rPr/>
          </w:pPr>
          <w:hyperlink w:anchor="__RefHeading___Toc5307_2627061606">
            <w:r>
              <w:rPr>
                <w:webHidden/>
                <w:rStyle w:val="IndexLink"/>
              </w:rPr>
              <w:t>9 Parallel Developer and Coding-Agent Operating Model</w:t>
              <w:tab/>
              <w:t>13</w:t>
            </w:r>
          </w:hyperlink>
        </w:p>
        <w:p>
          <w:pPr>
            <w:pStyle w:val="TOC2"/>
            <w:tabs>
              <w:tab w:val="clear" w:pos="9695"/>
              <w:tab w:val="right" w:pos="9977" w:leader="dot"/>
            </w:tabs>
            <w:rPr/>
          </w:pPr>
          <w:hyperlink w:anchor="__RefHeading___Toc5309_2627061606">
            <w:r>
              <w:rPr>
                <w:webHidden/>
                <w:rStyle w:val="IndexLink"/>
              </w:rPr>
              <w:t>9.1 Repository and Contract Governance</w:t>
              <w:tab/>
              <w:t>14</w:t>
            </w:r>
          </w:hyperlink>
        </w:p>
        <w:p>
          <w:pPr>
            <w:pStyle w:val="TOC1"/>
            <w:tabs>
              <w:tab w:val="clear" w:pos="9978"/>
              <w:tab w:val="right" w:pos="9977" w:leader="dot"/>
            </w:tabs>
            <w:rPr/>
          </w:pPr>
          <w:hyperlink w:anchor="__RefHeading___Toc5311_2627061606">
            <w:r>
              <w:rPr>
                <w:webHidden/>
                <w:rStyle w:val="IndexLink"/>
              </w:rPr>
              <w:t>10 Integration with the Existing Application</w:t>
              <w:tab/>
              <w:t>14</w:t>
            </w:r>
          </w:hyperlink>
        </w:p>
        <w:p>
          <w:pPr>
            <w:pStyle w:val="TOC2"/>
            <w:tabs>
              <w:tab w:val="clear" w:pos="9695"/>
              <w:tab w:val="right" w:pos="9977" w:leader="dot"/>
            </w:tabs>
            <w:rPr/>
          </w:pPr>
          <w:hyperlink w:anchor="__RefHeading___Toc5313_2627061606">
            <w:r>
              <w:rPr>
                <w:webHidden/>
                <w:rStyle w:val="IndexLink"/>
              </w:rPr>
              <w:t>10.1 Sequential Overlay Method</w:t>
              <w:tab/>
              <w:t>14</w:t>
            </w:r>
          </w:hyperlink>
        </w:p>
        <w:p>
          <w:pPr>
            <w:pStyle w:val="TOC1"/>
            <w:tabs>
              <w:tab w:val="clear" w:pos="9978"/>
              <w:tab w:val="right" w:pos="9977" w:leader="dot"/>
            </w:tabs>
            <w:rPr/>
          </w:pPr>
          <w:hyperlink w:anchor="__RefHeading___Toc5315_2627061606">
            <w:r>
              <w:rPr>
                <w:webHidden/>
                <w:rStyle w:val="IndexLink"/>
              </w:rPr>
              <w:t>11 Testing, Validation and Acceptance Strategy</w:t>
              <w:tab/>
              <w:t>15</w:t>
            </w:r>
          </w:hyperlink>
        </w:p>
        <w:p>
          <w:pPr>
            <w:pStyle w:val="TOC2"/>
            <w:tabs>
              <w:tab w:val="clear" w:pos="9695"/>
              <w:tab w:val="right" w:pos="9977" w:leader="dot"/>
            </w:tabs>
            <w:rPr/>
          </w:pPr>
          <w:hyperlink w:anchor="__RefHeading___Toc5317_2627061606">
            <w:r>
              <w:rPr>
                <w:webHidden/>
                <w:rStyle w:val="IndexLink"/>
              </w:rPr>
              <w:t>11.1 Mandatory Invariants</w:t>
              <w:tab/>
              <w:t>16</w:t>
            </w:r>
          </w:hyperlink>
        </w:p>
        <w:p>
          <w:pPr>
            <w:pStyle w:val="TOC1"/>
            <w:tabs>
              <w:tab w:val="clear" w:pos="9978"/>
              <w:tab w:val="right" w:pos="9977" w:leader="dot"/>
            </w:tabs>
            <w:rPr/>
          </w:pPr>
          <w:hyperlink w:anchor="__RefHeading___Toc5319_2627061606">
            <w:r>
              <w:rPr>
                <w:webHidden/>
                <w:rStyle w:val="IndexLink"/>
              </w:rPr>
              <w:t>12 Stepwise Implementation Roadmap</w:t>
              <w:tab/>
              <w:t>16</w:t>
            </w:r>
          </w:hyperlink>
        </w:p>
        <w:p>
          <w:pPr>
            <w:pStyle w:val="TOC2"/>
            <w:tabs>
              <w:tab w:val="clear" w:pos="9695"/>
              <w:tab w:val="right" w:pos="9977" w:leader="dot"/>
            </w:tabs>
            <w:rPr/>
          </w:pPr>
          <w:hyperlink w:anchor="__RefHeading___Toc5321_2627061606">
            <w:r>
              <w:rPr>
                <w:webHidden/>
                <w:rStyle w:val="IndexLink"/>
              </w:rPr>
              <w:t>12.1 Programme Success Criteria</w:t>
              <w:tab/>
              <w:t>16</w:t>
            </w:r>
          </w:hyperlink>
        </w:p>
        <w:p>
          <w:pPr>
            <w:pStyle w:val="TOC1"/>
            <w:tabs>
              <w:tab w:val="clear" w:pos="9978"/>
              <w:tab w:val="right" w:pos="9977" w:leader="dot"/>
            </w:tabs>
            <w:rPr/>
          </w:pPr>
          <w:hyperlink w:anchor="__RefHeading___Toc5323_2627061606">
            <w:r>
              <w:rPr>
                <w:webHidden/>
                <w:rStyle w:val="IndexLink"/>
              </w:rPr>
              <w:t>13 Code Delivery and Package Guide</w:t>
              <w:tab/>
              <w:t>17</w:t>
            </w:r>
          </w:hyperlink>
        </w:p>
        <w:p>
          <w:pPr>
            <w:pStyle w:val="TOC2"/>
            <w:tabs>
              <w:tab w:val="clear" w:pos="9695"/>
              <w:tab w:val="right" w:pos="9977" w:leader="dot"/>
            </w:tabs>
            <w:rPr/>
          </w:pPr>
          <w:hyperlink w:anchor="__RefHeading___Toc5325_2627061606">
            <w:r>
              <w:rPr>
                <w:webHidden/>
                <w:rStyle w:val="IndexLink"/>
              </w:rPr>
              <w:t>13.1 Contents of Every Phase ZIP</w:t>
              <w:tab/>
              <w:t>17</w:t>
            </w:r>
          </w:hyperlink>
        </w:p>
        <w:p>
          <w:pPr>
            <w:pStyle w:val="TOC2"/>
            <w:tabs>
              <w:tab w:val="clear" w:pos="9695"/>
              <w:tab w:val="right" w:pos="9977" w:leader="dot"/>
            </w:tabs>
            <w:rPr/>
          </w:pPr>
          <w:hyperlink w:anchor="__RefHeading___Toc5327_2627061606">
            <w:r>
              <w:rPr>
                <w:webHidden/>
                <w:rStyle w:val="IndexLink"/>
              </w:rPr>
              <w:t>13.2 Reference Implementation Verification</w:t>
              <w:tab/>
              <w:t>17</w:t>
            </w:r>
          </w:hyperlink>
        </w:p>
        <w:p>
          <w:pPr>
            <w:pStyle w:val="TOC1"/>
            <w:tabs>
              <w:tab w:val="clear" w:pos="9978"/>
              <w:tab w:val="right" w:pos="9977" w:leader="dot"/>
            </w:tabs>
            <w:rPr/>
          </w:pPr>
          <w:hyperlink w:anchor="__RefHeading___Toc5329_2627061606">
            <w:r>
              <w:rPr>
                <w:webHidden/>
                <w:rStyle w:val="IndexLink"/>
              </w:rPr>
              <w:t>14 Risks, Assumptions and Open Decisions</w:t>
              <w:tab/>
              <w:t>18</w:t>
            </w:r>
          </w:hyperlink>
        </w:p>
        <w:p>
          <w:pPr>
            <w:pStyle w:val="TOC2"/>
            <w:tabs>
              <w:tab w:val="clear" w:pos="9695"/>
              <w:tab w:val="right" w:pos="9977" w:leader="dot"/>
            </w:tabs>
            <w:rPr/>
          </w:pPr>
          <w:hyperlink w:anchor="__RefHeading___Toc5331_2627061606">
            <w:r>
              <w:rPr>
                <w:webHidden/>
                <w:rStyle w:val="IndexLink"/>
              </w:rPr>
              <w:t>14.1 Decisions Requiring Target-Environment Confirmation</w:t>
              <w:tab/>
              <w:t>18</w:t>
            </w:r>
          </w:hyperlink>
        </w:p>
        <w:p>
          <w:pPr>
            <w:pStyle w:val="TOC1"/>
            <w:tabs>
              <w:tab w:val="clear" w:pos="9978"/>
              <w:tab w:val="right" w:pos="9977" w:leader="dot"/>
            </w:tabs>
            <w:rPr/>
          </w:pPr>
          <w:hyperlink w:anchor="__RefHeading___Toc5333_2627061606">
            <w:r>
              <w:rPr>
                <w:webHidden/>
                <w:rStyle w:val="IndexLink"/>
              </w:rPr>
              <w:t>15 Conclusion and Immediate Next Action</w:t>
              <w:tab/>
              <w:t>18</w:t>
            </w:r>
          </w:hyperlink>
        </w:p>
        <w:p>
          <w:pPr>
            <w:pStyle w:val="TOC1"/>
            <w:tabs>
              <w:tab w:val="clear" w:pos="9978"/>
              <w:tab w:val="right" w:pos="9977" w:leader="dot"/>
            </w:tabs>
            <w:rPr/>
          </w:pPr>
          <w:hyperlink w:anchor="__RefHeading___Toc5335_2627061606">
            <w:r>
              <w:rPr>
                <w:webHidden/>
                <w:rStyle w:val="IndexLink"/>
              </w:rPr>
              <w:t>16 Appendix: Complete Phase Acceptance Register</w:t>
              <w:tab/>
              <w:t>18</w:t>
            </w:r>
          </w:hyperlink>
        </w:p>
        <w:p>
          <w:pPr>
            <w:pStyle w:val="TOC1"/>
            <w:tabs>
              <w:tab w:val="clear" w:pos="9978"/>
              <w:tab w:val="right" w:pos="9977" w:leader="dot"/>
            </w:tabs>
            <w:rPr/>
          </w:pPr>
          <w:hyperlink w:anchor="__RefHeading___Toc5337_2627061606">
            <w:r>
              <w:rPr>
                <w:webHidden/>
                <w:rStyle w:val="IndexLink"/>
              </w:rPr>
              <w:t>17 Appendix: Target-Environment Validation Checklist</w:t>
              <w:tab/>
              <w:t>21</w:t>
            </w:r>
          </w:hyperlink>
        </w:p>
        <w:p>
          <w:pPr>
            <w:pStyle w:val="TOC1"/>
            <w:tabs>
              <w:tab w:val="clear" w:pos="9978"/>
              <w:tab w:val="right" w:pos="9977" w:leader="dot"/>
            </w:tabs>
            <w:rPr/>
          </w:pPr>
          <w:hyperlink w:anchor="__RefHeading___Toc5339_2627061606">
            <w:r>
              <w:rPr>
                <w:webHidden/>
                <w:rStyle w:val="IndexLink"/>
              </w:rPr>
              <w:t>18 Appendix: Source Register</w:t>
              <w:tab/>
              <w:t>21</w:t>
            </w:r>
          </w:hyperlink>
          <w:r>
            <w:rPr>
              <w:rStyle w:val="IndexLink"/>
            </w:rPr>
            <w:fldChar w:fldCharType="end"/>
          </w:r>
        </w:p>
      </w:sdtContent>
    </w:sdt>
    <w:p>
      <w:pPr>
        <w:pStyle w:val="FrontHeading"/>
        <w:keepLines/>
        <w:rPr/>
      </w:pPr>
      <w:r>
        <w:rPr>
          <w:rFonts w:eastAsia="Carlito"/>
        </w:rPr>
        <w:t>List of Figures</w:t>
      </w:r>
    </w:p>
    <w:p>
      <w:pPr>
        <w:pStyle w:val="TableofFigures"/>
        <w:tabs>
          <w:tab w:val="clear" w:pos="9978"/>
          <w:tab w:val="right" w:pos="9977" w:leader="dot"/>
        </w:tabs>
        <w:rPr/>
      </w:pPr>
      <w:r>
        <w:fldChar w:fldCharType="begin"/>
      </w:r>
      <w:r>
        <w:rPr/>
        <w:instrText xml:space="preserve"> TOC \c "Figure" \h </w:instrText>
      </w:r>
      <w:r>
        <w:rPr/>
        <w:fldChar w:fldCharType="separate"/>
      </w:r>
      <w:hyperlink w:anchor="figure1">
        <w:r>
          <w:rPr/>
          <w:t>Figure 1: Five-phase implementation sequence</w:t>
          <w:tab/>
          <w:t>2</w:t>
        </w:r>
      </w:hyperlink>
    </w:p>
    <w:p>
      <w:pPr>
        <w:pStyle w:val="TableofFigures"/>
        <w:tabs>
          <w:tab w:val="clear" w:pos="9978"/>
          <w:tab w:val="right" w:pos="9977" w:leader="dot"/>
        </w:tabs>
        <w:rPr/>
      </w:pPr>
      <w:hyperlink w:anchor="Figure!1|sequence">
        <w:r>
          <w:rPr/>
          <w:t>Figure 2: Incremental architecture and governed boundaries</w:t>
          <w:tab/>
          <w:t>6</w:t>
        </w:r>
      </w:hyperlink>
    </w:p>
    <w:p>
      <w:pPr>
        <w:pStyle w:val="TableofFigures"/>
        <w:tabs>
          <w:tab w:val="clear" w:pos="9978"/>
          <w:tab w:val="right" w:pos="9977" w:leader="dot"/>
        </w:tabs>
        <w:rPr/>
      </w:pPr>
      <w:hyperlink w:anchor="Figure!2|sequence">
        <w:r>
          <w:rPr/>
          <w:t>Figure 3: Relative implementation effort by phase</w:t>
          <w:tab/>
          <w:t>7</w:t>
        </w:r>
      </w:hyperlink>
    </w:p>
    <w:p>
      <w:pPr>
        <w:pStyle w:val="TableofFigures"/>
        <w:tabs>
          <w:tab w:val="clear" w:pos="9978"/>
          <w:tab w:val="right" w:pos="9977" w:leader="dot"/>
        </w:tabs>
        <w:rPr/>
      </w:pPr>
      <w:hyperlink w:anchor="Figure!3|sequence">
        <w:r>
          <w:rPr/>
          <w:t>Figure 4: Standard release gate applied to each phase</w:t>
          <w:tab/>
          <w:t>8</w:t>
        </w:r>
      </w:hyperlink>
    </w:p>
    <w:p>
      <w:pPr>
        <w:pStyle w:val="TableofFigures"/>
        <w:tabs>
          <w:tab w:val="clear" w:pos="9978"/>
          <w:tab w:val="right" w:pos="9977" w:leader="dot"/>
        </w:tabs>
        <w:rPr/>
      </w:pPr>
      <w:hyperlink w:anchor="Figure!4|sequence">
        <w:r>
          <w:rPr/>
          <w:t>Figure 5: Parallel work packages inside sequential phase gates</w:t>
          <w:tab/>
          <w:t>14</w:t>
        </w:r>
      </w:hyperlink>
    </w:p>
    <w:p>
      <w:pPr>
        <w:pStyle w:val="TableofFigures"/>
        <w:tabs>
          <w:tab w:val="clear" w:pos="9978"/>
          <w:tab w:val="right" w:pos="9977" w:leader="dot"/>
        </w:tabs>
        <w:rPr/>
      </w:pPr>
      <w:hyperlink w:anchor="Figure!5|sequence">
        <w:r>
          <w:rPr/>
          <w:t>Figure 6: Verification stack and deployment-confidence boundary</w:t>
          <w:tab/>
          <w:t>16</w:t>
        </w:r>
      </w:hyperlink>
      <w:r>
        <w:rPr/>
        <w:fldChar w:fldCharType="end"/>
      </w:r>
    </w:p>
    <w:p>
      <w:pPr>
        <w:pStyle w:val="FrontHeading"/>
        <w:keepLines/>
        <w:rPr/>
      </w:pPr>
      <w:r>
        <w:rPr>
          <w:rFonts w:eastAsia="Carlito"/>
        </w:rPr>
        <w:t>List of Tables</w:t>
      </w:r>
    </w:p>
    <w:p>
      <w:pPr>
        <w:pStyle w:val="TableofFigures"/>
        <w:tabs>
          <w:tab w:val="clear" w:pos="9978"/>
          <w:tab w:val="right" w:pos="9977" w:leader="dot"/>
        </w:tabs>
        <w:rPr/>
      </w:pPr>
      <w:r>
        <w:fldChar w:fldCharType="begin"/>
      </w:r>
      <w:r>
        <w:rPr/>
        <w:instrText xml:space="preserve"> TOC \c "Table" \h </w:instrText>
      </w:r>
      <w:r>
        <w:rPr/>
        <w:fldChar w:fldCharType="separate"/>
      </w:r>
      <w:hyperlink w:anchor="table1">
        <w:r>
          <w:rPr/>
          <w:t>Table 1: Document control</w:t>
          <w:tab/>
          <w:t>1</w:t>
        </w:r>
      </w:hyperlink>
    </w:p>
    <w:p>
      <w:pPr>
        <w:pStyle w:val="TableofFigures"/>
        <w:tabs>
          <w:tab w:val="clear" w:pos="9978"/>
          <w:tab w:val="right" w:pos="9977" w:leader="dot"/>
        </w:tabs>
        <w:rPr/>
      </w:pPr>
      <w:hyperlink w:anchor="table2">
        <w:r>
          <w:rPr/>
          <w:t>Table 2: Revision history</w:t>
          <w:tab/>
          <w:t>1</w:t>
        </w:r>
      </w:hyperlink>
    </w:p>
    <w:p>
      <w:pPr>
        <w:pStyle w:val="TableofFigures"/>
        <w:tabs>
          <w:tab w:val="clear" w:pos="9978"/>
          <w:tab w:val="right" w:pos="9977" w:leader="dot"/>
        </w:tabs>
        <w:rPr/>
      </w:pPr>
      <w:hyperlink w:anchor="table3">
        <w:r>
          <w:rPr/>
          <w:t>Table 3: Executive phase decisions</w:t>
          <w:tab/>
          <w:t>1</w:t>
        </w:r>
      </w:hyperlink>
    </w:p>
    <w:p>
      <w:pPr>
        <w:pStyle w:val="TableofFigures"/>
        <w:tabs>
          <w:tab w:val="clear" w:pos="9978"/>
          <w:tab w:val="right" w:pos="9977" w:leader="dot"/>
        </w:tabs>
        <w:rPr/>
      </w:pPr>
      <w:hyperlink w:anchor="Table!3|sequence">
        <w:r>
          <w:rPr/>
          <w:t>Table 4: Operating scenarios preserved across the five phases</w:t>
          <w:tab/>
          <w:t>5</w:t>
        </w:r>
      </w:hyperlink>
    </w:p>
    <w:p>
      <w:pPr>
        <w:pStyle w:val="TableofFigures"/>
        <w:tabs>
          <w:tab w:val="clear" w:pos="9978"/>
          <w:tab w:val="right" w:pos="9977" w:leader="dot"/>
        </w:tabs>
        <w:rPr/>
      </w:pPr>
      <w:hyperlink w:anchor="Table!4|sequence">
        <w:r>
          <w:rPr/>
          <w:t>Table 5: Current estate used by the implementation plan</w:t>
          <w:tab/>
          <w:t>5</w:t>
        </w:r>
      </w:hyperlink>
    </w:p>
    <w:p>
      <w:pPr>
        <w:pStyle w:val="TableofFigures"/>
        <w:tabs>
          <w:tab w:val="clear" w:pos="9978"/>
          <w:tab w:val="right" w:pos="9977" w:leader="dot"/>
        </w:tabs>
        <w:rPr/>
      </w:pPr>
      <w:hyperlink w:anchor="Table!5|sequence">
        <w:r>
          <w:rPr/>
          <w:t>Table 6: Non-negotiable shared services</w:t>
          <w:tab/>
          <w:t>6</w:t>
        </w:r>
      </w:hyperlink>
    </w:p>
    <w:p>
      <w:pPr>
        <w:pStyle w:val="TableofFigures"/>
        <w:tabs>
          <w:tab w:val="clear" w:pos="9978"/>
          <w:tab w:val="right" w:pos="9977" w:leader="dot"/>
        </w:tabs>
        <w:rPr/>
      </w:pPr>
      <w:hyperlink w:anchor="Table!6|sequence">
        <w:r>
          <w:rPr/>
          <w:t>Table 7: Phase scope, dependency and relative effort</w:t>
          <w:tab/>
          <w:t>7</w:t>
        </w:r>
      </w:hyperlink>
    </w:p>
    <w:p>
      <w:pPr>
        <w:pStyle w:val="TableofFigures"/>
        <w:tabs>
          <w:tab w:val="clear" w:pos="9978"/>
          <w:tab w:val="right" w:pos="9977" w:leader="dot"/>
        </w:tabs>
        <w:rPr/>
      </w:pPr>
      <w:hyperlink w:anchor="Table!7|sequence">
        <w:r>
          <w:rPr/>
          <w:t>Table 8: Phase 1 deliverables</w:t>
          <w:tab/>
          <w:t>9</w:t>
        </w:r>
      </w:hyperlink>
    </w:p>
    <w:p>
      <w:pPr>
        <w:pStyle w:val="TableofFigures"/>
        <w:tabs>
          <w:tab w:val="clear" w:pos="9978"/>
          <w:tab w:val="right" w:pos="9977" w:leader="dot"/>
        </w:tabs>
        <w:rPr/>
      </w:pPr>
      <w:hyperlink w:anchor="Table!8|sequence">
        <w:r>
          <w:rPr/>
          <w:t>Table 9: Phase 2 deliverables</w:t>
          <w:tab/>
          <w:t>10</w:t>
        </w:r>
      </w:hyperlink>
    </w:p>
    <w:p>
      <w:pPr>
        <w:pStyle w:val="TableofFigures"/>
        <w:tabs>
          <w:tab w:val="clear" w:pos="9978"/>
          <w:tab w:val="right" w:pos="9977" w:leader="dot"/>
        </w:tabs>
        <w:rPr/>
      </w:pPr>
      <w:hyperlink w:anchor="Table!9|sequence">
        <w:r>
          <w:rPr/>
          <w:t>Table 10: Phase 3 deliverables</w:t>
          <w:tab/>
          <w:t>11</w:t>
        </w:r>
      </w:hyperlink>
    </w:p>
    <w:p>
      <w:pPr>
        <w:pStyle w:val="TableofFigures"/>
        <w:tabs>
          <w:tab w:val="clear" w:pos="9978"/>
          <w:tab w:val="right" w:pos="9977" w:leader="dot"/>
        </w:tabs>
        <w:rPr/>
      </w:pPr>
      <w:hyperlink w:anchor="Table!10|sequence">
        <w:r>
          <w:rPr/>
          <w:t>Table 11: Phase 4 deliverables</w:t>
          <w:tab/>
          <w:t>12</w:t>
        </w:r>
      </w:hyperlink>
    </w:p>
    <w:p>
      <w:pPr>
        <w:pStyle w:val="TableofFigures"/>
        <w:tabs>
          <w:tab w:val="clear" w:pos="9978"/>
          <w:tab w:val="right" w:pos="9977" w:leader="dot"/>
        </w:tabs>
        <w:rPr/>
      </w:pPr>
      <w:hyperlink w:anchor="Table!11|sequence">
        <w:r>
          <w:rPr/>
          <w:t>Table 12: Phase 5 deliverables</w:t>
          <w:tab/>
          <w:t>13</w:t>
        </w:r>
      </w:hyperlink>
    </w:p>
    <w:p>
      <w:pPr>
        <w:pStyle w:val="TableofFigures"/>
        <w:tabs>
          <w:tab w:val="clear" w:pos="9978"/>
          <w:tab w:val="right" w:pos="9977" w:leader="dot"/>
        </w:tabs>
        <w:rPr/>
      </w:pPr>
      <w:hyperlink w:anchor="Table!12|sequence">
        <w:r>
          <w:rPr/>
          <w:t>Table 13: Parallel work-package ownership</w:t>
          <w:tab/>
          <w:t>14</w:t>
        </w:r>
      </w:hyperlink>
    </w:p>
    <w:p>
      <w:pPr>
        <w:pStyle w:val="TableofFigures"/>
        <w:tabs>
          <w:tab w:val="clear" w:pos="9978"/>
          <w:tab w:val="right" w:pos="9977" w:leader="dot"/>
        </w:tabs>
        <w:rPr/>
      </w:pPr>
      <w:hyperlink w:anchor="Table!13|sequence">
        <w:r>
          <w:rPr/>
          <w:t>Table 14: Existing-code disposition map</w:t>
          <w:tab/>
          <w:t>15</w:t>
        </w:r>
      </w:hyperlink>
    </w:p>
    <w:p>
      <w:pPr>
        <w:pStyle w:val="TableofFigures"/>
        <w:tabs>
          <w:tab w:val="clear" w:pos="9978"/>
          <w:tab w:val="right" w:pos="9977" w:leader="dot"/>
        </w:tabs>
        <w:rPr/>
      </w:pPr>
      <w:hyperlink w:anchor="Table!14|sequence">
        <w:r>
          <w:rPr/>
          <w:t>Table 15: Automated test layers and required evidence</w:t>
          <w:tab/>
          <w:t>16</w:t>
        </w:r>
      </w:hyperlink>
    </w:p>
    <w:p>
      <w:pPr>
        <w:pStyle w:val="TableofFigures"/>
        <w:tabs>
          <w:tab w:val="clear" w:pos="9978"/>
          <w:tab w:val="right" w:pos="9977" w:leader="dot"/>
        </w:tabs>
        <w:rPr/>
      </w:pPr>
      <w:hyperlink w:anchor="Table!15|sequence">
        <w:r>
          <w:rPr/>
          <w:t>Table 16: Implementation sequence and exit evidence</w:t>
          <w:tab/>
          <w:t>17</w:t>
        </w:r>
      </w:hyperlink>
    </w:p>
    <w:p>
      <w:pPr>
        <w:pStyle w:val="TableofFigures"/>
        <w:tabs>
          <w:tab w:val="clear" w:pos="9978"/>
          <w:tab w:val="right" w:pos="9977" w:leader="dot"/>
        </w:tabs>
        <w:rPr/>
      </w:pPr>
      <w:hyperlink w:anchor="Table!16|sequence">
        <w:r>
          <w:rPr/>
          <w:t>Table 17: Programme-level success measures</w:t>
          <w:tab/>
          <w:t>17</w:t>
        </w:r>
      </w:hyperlink>
    </w:p>
    <w:p>
      <w:pPr>
        <w:pStyle w:val="TableofFigures"/>
        <w:tabs>
          <w:tab w:val="clear" w:pos="9978"/>
          <w:tab w:val="right" w:pos="9977" w:leader="dot"/>
        </w:tabs>
        <w:rPr/>
      </w:pPr>
      <w:hyperlink w:anchor="Table!17|sequence">
        <w:r>
          <w:rPr/>
          <w:t>Table 18: Delivery package catalogue</w:t>
          <w:tab/>
          <w:t>18</w:t>
        </w:r>
      </w:hyperlink>
    </w:p>
    <w:p>
      <w:pPr>
        <w:pStyle w:val="TableofFigures"/>
        <w:tabs>
          <w:tab w:val="clear" w:pos="9978"/>
          <w:tab w:val="right" w:pos="9977" w:leader="dot"/>
        </w:tabs>
        <w:rPr/>
      </w:pPr>
      <w:hyperlink w:anchor="Table!18|sequence">
        <w:r>
          <w:rPr/>
          <w:t>Table 19: Principal implementation risks and controls</w:t>
          <w:tab/>
          <w:t>19</w:t>
        </w:r>
      </w:hyperlink>
    </w:p>
    <w:p>
      <w:pPr>
        <w:pStyle w:val="TableofFigures"/>
        <w:tabs>
          <w:tab w:val="clear" w:pos="9978"/>
          <w:tab w:val="right" w:pos="9977" w:leader="dot"/>
        </w:tabs>
        <w:rPr/>
      </w:pPr>
      <w:hyperlink w:anchor="Table!19|sequence">
        <w:r>
          <w:rPr/>
          <w:t>Table 20: Complete acceptance register</w:t>
          <w:tab/>
          <w:t>19</w:t>
        </w:r>
      </w:hyperlink>
    </w:p>
    <w:p>
      <w:pPr>
        <w:pStyle w:val="TableofFigures"/>
        <w:tabs>
          <w:tab w:val="clear" w:pos="9978"/>
          <w:tab w:val="right" w:pos="9977" w:leader="dot"/>
        </w:tabs>
        <w:rPr/>
      </w:pPr>
      <w:hyperlink w:anchor="Table!20|sequence">
        <w:r>
          <w:rPr/>
          <w:t>Table 21: Source register used for the roadmap</w:t>
          <w:tab/>
          <w:t>22</w:t>
        </w:r>
      </w:hyperlink>
      <w:r>
        <w:rPr/>
        <w:fldChar w:fldCharType="end"/>
      </w:r>
    </w:p>
    <w:p>
      <w:pPr>
        <w:pStyle w:val="Normal"/>
        <w:keepLines/>
        <w:rPr/>
      </w:pPr>
      <w:r>
        <w:rPr/>
      </w:r>
      <w:r>
        <w:br w:type="page"/>
      </w:r>
    </w:p>
    <w:p>
      <w:pPr>
        <w:pStyle w:val="Heading1"/>
        <w:keepLines/>
        <w:spacing w:before="0" w:after="120"/>
        <w:rPr/>
      </w:pPr>
      <w:bookmarkStart w:id="4" w:name="__RefHeading___Toc5243_2627061606"/>
      <w:bookmarkEnd w:id="4"/>
      <w:r>
        <w:rPr>
          <w:rFonts w:eastAsia="Carlito" w:ascii="Carlito" w:hAnsi="Carlito"/>
        </w:rPr>
        <w:t>Project Context and Starting Objective</w:t>
      </w:r>
    </w:p>
    <w:p>
      <w:pPr>
        <w:pStyle w:val="Normal"/>
        <w:keepLines/>
        <w:rPr/>
      </w:pPr>
      <w:r>
        <w:rPr>
          <w:rFonts w:eastAsia="Carlito"/>
        </w:rPr>
        <w:t>This roadmap starts from the full programme objective rather than from the latest code change. Over several years, different Python, Go, SQL and TypeScript implementations were created for NIFTY indicators, backtesting, historical ingestion and live analytics. Development restarted several times, creating useful but overlapping logic. The current SmartAPI collector now supplies real-time stock, index, future and option information to PostgreSQL, while separate CSV estates provide longer historical stock, index, sector and VIX coverage.</w:t>
      </w:r>
    </w:p>
    <w:p>
      <w:pPr>
        <w:pStyle w:val="Normal"/>
        <w:keepLines/>
        <w:rPr/>
      </w:pPr>
      <w:r>
        <w:rPr>
          <w:rFonts w:eastAsia="Carlito"/>
        </w:rPr>
        <w:t>The target is a reusable research platform in which a new strategy author supplies a versioned strategy manifest, parameters and tests. The platform supplies data qualification, effective-dated market rules, feature computation, charges, target solving, execution simulation, capital accounting, checkpoints, metrics, probability calibration, comparison, reporting and later historical/live parity.</w:t>
      </w:r>
    </w:p>
    <w:p>
      <w:pPr>
        <w:pStyle w:val="Heading2"/>
        <w:keepLines/>
        <w:rPr/>
      </w:pPr>
      <w:bookmarkStart w:id="5" w:name="__RefHeading___Toc5245_2627061606"/>
      <w:bookmarkEnd w:id="5"/>
      <w:r>
        <w:rPr>
          <w:rFonts w:eastAsia="Carlito" w:ascii="Carlito" w:hAnsi="Carlito"/>
        </w:rPr>
        <w:t>Operating Scenarios</w:t>
      </w:r>
    </w:p>
    <w:p>
      <w:pPr>
        <w:pStyle w:val="Caption"/>
        <w:keepLines/>
        <w:jc w:val="center"/>
        <w:rPr/>
      </w:pPr>
      <w:bookmarkStart w:id="6" w:name="table4"/>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4</w:t>
      </w:r>
      <w:r>
        <w:rPr>
          <w:rFonts w:eastAsia="Carlito"/>
        </w:rPr>
        <w:fldChar w:fldCharType="end"/>
      </w:r>
      <w:r>
        <w:rPr>
          <w:rFonts w:eastAsia="Carlito"/>
        </w:rPr>
        <w:t>: Operating scenarios preserved across the five phases</w:t>
      </w:r>
      <w:bookmarkEnd w:id="6"/>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26"/>
        <w:gridCol w:w="3326"/>
        <w:gridCol w:w="3327"/>
      </w:tblGrid>
      <w:tr>
        <w:trPr>
          <w:tblHeader w:val="true"/>
          <w:cantSplit w:val="true"/>
        </w:trPr>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Scenario</w:t>
            </w:r>
          </w:p>
        </w:tc>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System input</w:t>
            </w:r>
          </w:p>
        </w:tc>
        <w:tc>
          <w:tcPr>
            <w:tcW w:w="3327"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Required output</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Declared-strategy replay</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Strategy, parameters, dates, universe, capital and execution assumptions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Point-in-time signals, simulated fills, net P&amp;L, equity, metrics and auditable evidence</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Reverse opportunity discovery</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Net target/stop/horizon and qualified history</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Executable historical opportunities, only pre-entry conditions, stable candidates and untouched validation</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Buying-only option replay</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Underlying context, active contracts and actual premium bars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 selection, lot sizing, premium target/stop, costs, Greeks diagnostics and expiry handling</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Later live parity</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Incremental SmartAPI/PostgreSQL events</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Same features and signal intents as historical replay, subject to freshness/risk gates</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Research pack exchange</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Candidate stock/date plus stored evidence</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Checksummed ZIP, Markdown summary, selected data and structured analyst response</w:t>
            </w:r>
          </w:p>
        </w:tc>
      </w:tr>
    </w:tbl>
    <w:p>
      <w:pPr>
        <w:pStyle w:val="Heading2"/>
        <w:keepLines/>
        <w:rPr/>
      </w:pPr>
      <w:bookmarkStart w:id="7" w:name="__RefHeading___Toc5247_2627061606"/>
      <w:bookmarkEnd w:id="7"/>
      <w:r>
        <w:rPr>
          <w:rFonts w:eastAsia="Carlito" w:ascii="Carlito" w:hAnsi="Carlito"/>
        </w:rPr>
        <w:t>Programme Boundaries</w:t>
      </w:r>
    </w:p>
    <w:p>
      <w:pPr>
        <w:pStyle w:val="ListBullet"/>
        <w:keepLines/>
        <w:numPr>
          <w:ilvl w:val="0"/>
          <w:numId w:val="2"/>
        </w:numPr>
        <w:spacing w:before="0" w:after="60"/>
        <w:ind w:hanging="102" w:left="198"/>
        <w:contextualSpacing/>
        <w:rPr/>
      </w:pPr>
      <w:r>
        <w:rPr>
          <w:rFonts w:eastAsia="Carlito"/>
        </w:rPr>
        <w:t>In scope: historical cash-equity replay, intraday-to-swing evaluation, reverse discovery, long-option research, parity evidence, research packs, PostgreSQL run/result schemas and developer integration tooling.</w:t>
      </w:r>
    </w:p>
    <w:p>
      <w:pPr>
        <w:pStyle w:val="ListBullet"/>
        <w:keepLines/>
        <w:numPr>
          <w:ilvl w:val="0"/>
          <w:numId w:val="2"/>
        </w:numPr>
        <w:spacing w:before="0" w:after="60"/>
        <w:ind w:hanging="102" w:left="198"/>
        <w:contextualSpacing/>
        <w:rPr/>
      </w:pPr>
      <w:r>
        <w:rPr>
          <w:rFonts w:eastAsia="Carlito"/>
        </w:rPr>
        <w:t>Preserved boundary: the SmartAPI collector remains the live-ingestion owner and is not replaced by these packages.</w:t>
      </w:r>
    </w:p>
    <w:p>
      <w:pPr>
        <w:pStyle w:val="ListBullet"/>
        <w:keepLines/>
        <w:numPr>
          <w:ilvl w:val="0"/>
          <w:numId w:val="2"/>
        </w:numPr>
        <w:spacing w:before="0" w:after="60"/>
        <w:ind w:hanging="102" w:left="198"/>
        <w:contextualSpacing/>
        <w:rPr/>
      </w:pPr>
      <w:r>
        <w:rPr>
          <w:rFonts w:eastAsia="Carlito"/>
        </w:rPr>
        <w:t>Deferred: broker order placement, automatic live authority and canary deployment. These require a later paper/shadow/live programme and independent risk approval.</w:t>
      </w:r>
    </w:p>
    <w:p>
      <w:pPr>
        <w:pStyle w:val="ListBullet"/>
        <w:keepLines/>
        <w:numPr>
          <w:ilvl w:val="0"/>
          <w:numId w:val="2"/>
        </w:numPr>
        <w:spacing w:before="0" w:after="60"/>
        <w:ind w:hanging="102" w:left="198"/>
        <w:contextualSpacing/>
        <w:rPr/>
      </w:pPr>
      <w:r>
        <w:rPr>
          <w:rFonts w:eastAsia="Carlito"/>
        </w:rPr>
        <w:t>Data limitation: the supplied inventories prove paths, file names, sizes and checksums, but not the quality of every historical timestamp or corporate-action adjustment.</w:t>
      </w:r>
    </w:p>
    <w:p>
      <w:pPr>
        <w:pStyle w:val="ListBullet"/>
        <w:keepLines/>
        <w:numPr>
          <w:ilvl w:val="0"/>
          <w:numId w:val="2"/>
        </w:numPr>
        <w:spacing w:before="0" w:after="60"/>
        <w:ind w:hanging="102" w:left="198"/>
        <w:contextualSpacing/>
        <w:rPr/>
      </w:pPr>
      <w:r>
        <w:rPr>
          <w:rFonts w:eastAsia="Carlito"/>
        </w:rPr>
        <w:t>Options limitation: audited options history is materially shorter than the equity file estate; Phase 5 fails closed until actual contract and premium history passes qualification.</w:t>
      </w:r>
    </w:p>
    <w:p>
      <w:pPr>
        <w:pStyle w:val="Heading1"/>
        <w:keepLines/>
        <w:rPr/>
      </w:pPr>
      <w:bookmarkStart w:id="8" w:name="__RefHeading___Toc5249_2627061606"/>
      <w:bookmarkEnd w:id="8"/>
      <w:r>
        <w:rPr>
          <w:rFonts w:eastAsia="Carlito" w:ascii="Carlito" w:hAnsi="Carlito"/>
        </w:rPr>
        <w:t>Evidence Basis and Current Estate</w:t>
      </w:r>
    </w:p>
    <w:p>
      <w:pPr>
        <w:pStyle w:val="SourceNote"/>
        <w:keepLines/>
        <w:rPr/>
      </w:pPr>
      <w:r>
        <w:rPr>
          <w:rFonts w:eastAsia="Carlito"/>
          <w:b/>
        </w:rPr>
        <w:t xml:space="preserve">Basis: </w:t>
      </w:r>
      <w:r>
        <w:rPr>
          <w:rFonts w:eastAsia="Carlito"/>
        </w:rPr>
        <w:t>Supplied architecture report V1.0, technical audit, PostgreSQL data audit, column dictionary, historical minute-file inventory, FII/DII download record, market-event research and historical code archive.</w:t>
      </w:r>
    </w:p>
    <w:p>
      <w:pPr>
        <w:pStyle w:val="Caption"/>
        <w:keepLines/>
        <w:jc w:val="center"/>
        <w:rPr/>
      </w:pPr>
      <w:bookmarkStart w:id="9" w:name="table5"/>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5</w:t>
      </w:r>
      <w:r>
        <w:rPr>
          <w:rFonts w:eastAsia="Carlito"/>
        </w:rPr>
        <w:fldChar w:fldCharType="end"/>
      </w:r>
      <w:r>
        <w:rPr>
          <w:rFonts w:eastAsia="Carlito"/>
        </w:rPr>
        <w:t>: Current estate used by the implementation plan</w:t>
      </w:r>
      <w:bookmarkEnd w:id="9"/>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26"/>
        <w:gridCol w:w="3326"/>
        <w:gridCol w:w="3327"/>
      </w:tblGrid>
      <w:tr>
        <w:trPr>
          <w:tblHeader w:val="true"/>
          <w:cantSplit w:val="true"/>
        </w:trPr>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Estate</w:t>
            </w:r>
          </w:p>
        </w:tc>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Confirmed basis</w:t>
            </w:r>
          </w:p>
        </w:tc>
        <w:tc>
          <w:tcPr>
            <w:tcW w:w="3327"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Roadmap treatment</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PostgreSQL `tradingdb`</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208 tables/partitions across 11 schemas; approximately 26.37 GiB in the supplied audit</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Reuse facts and operational controls; add bounded catalog/research/simulation entities rather than another disconnected database</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Minute bars</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`public.bars_1m` contained approximately 23.66 million rows at audit time</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Use partition-aware point-in-time adapters and prevent research scans from degrading collector writes</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Daily facts</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EOD coverage from 8 March 2021 and bhavcopy from 1 January 2024 in audited tables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Backfill earlier periods from qualified historical files or another verified source</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Historical stock CSV</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100 files, approximately 4.30 GiB</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 qualification and checksum registration before admission</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Index/sector/VIX CSV</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680 files, approximately 3.90 GiB</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Qualify and align with stock bars and market calendar</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Options and derivatives</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Contract/instrument, chain, OI and PCR data present; Greeks were stale relative to other feeds at audit time</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Freshness gate and actual-premium history qualification in Phase 5</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Legacy code</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Go runners, Python worker, SQL marts, strategy registry and TypeScript routes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Wrap/reconcile progressively; quarantine known look-ahead and inconsistent charge logic</w:t>
            </w:r>
          </w:p>
        </w:tc>
      </w:tr>
    </w:tbl>
    <w:p>
      <w:pPr>
        <w:pStyle w:val="Heading2"/>
        <w:keepLines/>
        <w:rPr/>
      </w:pPr>
      <w:bookmarkStart w:id="10" w:name="__RefHeading___Toc5251_2627061606"/>
      <w:bookmarkEnd w:id="10"/>
      <w:r>
        <w:rPr>
          <w:rFonts w:eastAsia="Carlito" w:ascii="Carlito" w:hAnsi="Carlito"/>
        </w:rPr>
        <w:t>Architecture Decision</w:t>
      </w:r>
    </w:p>
    <w:p>
      <w:pPr>
        <w:pStyle w:val="Normal"/>
        <w:keepLines/>
        <w:rPr/>
      </w:pPr>
      <w:r>
        <w:rPr>
          <w:rFonts w:eastAsia="Carlito"/>
        </w:rPr>
        <w:t>The implementation is an additive bounded package, recommended at `platform/nifty_stratlab`, installed as five sequential overlays. It is not a replacement repository. Existing services consume canonical contracts through narrow adapters; legacy result tables remain readable until row-level reconciliation is complete.</w:t>
      </w:r>
    </w:p>
    <w:p>
      <w:pPr>
        <w:pStyle w:val="Normal"/>
        <w:keepLines/>
        <w:spacing w:before="0" w:after="40"/>
        <w:jc w:val="center"/>
        <w:rPr/>
      </w:pPr>
      <w:r>
        <w:rPr/>
        <w:drawing>
          <wp:inline distT="0" distB="0" distL="0" distR="0">
            <wp:extent cx="6047740" cy="31991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47740" cy="3199130"/>
                    </a:xfrm>
                    <a:prstGeom prst="rect">
                      <a:avLst/>
                    </a:prstGeom>
                    <a:noFill/>
                  </pic:spPr>
                </pic:pic>
              </a:graphicData>
            </a:graphic>
          </wp:inline>
        </w:drawing>
      </w:r>
    </w:p>
    <w:p>
      <w:pPr>
        <w:pStyle w:val="Caption"/>
        <w:keepLines/>
        <w:jc w:val="center"/>
        <w:rPr/>
      </w:pPr>
      <w:bookmarkStart w:id="11" w:name="figure2"/>
      <w:r>
        <w:rPr>
          <w:rFonts w:eastAsia="Carlito"/>
          <w:b/>
        </w:rPr>
        <w:t xml:space="preserve">Figure </w:t>
      </w:r>
      <w:r>
        <w:rPr>
          <w:rFonts w:eastAsia="Carlito"/>
        </w:rPr>
        <w:fldChar w:fldCharType="begin"/>
      </w:r>
      <w:r>
        <w:rPr>
          <w:rFonts w:eastAsia="Carlito"/>
        </w:rPr>
        <w:instrText xml:space="preserve"> SEQ Figure \* ARABIC </w:instrText>
      </w:r>
      <w:r>
        <w:rPr>
          <w:rFonts w:eastAsia="Carlito"/>
        </w:rPr>
        <w:fldChar w:fldCharType="separate"/>
      </w:r>
      <w:r>
        <w:rPr>
          <w:rFonts w:eastAsia="Carlito"/>
        </w:rPr>
        <w:t>2</w:t>
      </w:r>
      <w:r>
        <w:rPr>
          <w:rFonts w:eastAsia="Carlito"/>
        </w:rPr>
        <w:fldChar w:fldCharType="end"/>
      </w:r>
      <w:r>
        <w:rPr>
          <w:rFonts w:eastAsia="Carlito"/>
        </w:rPr>
        <w:t>: Incremental architecture and governed boundaries</w:t>
      </w:r>
      <w:bookmarkEnd w:id="11"/>
    </w:p>
    <w:p>
      <w:pPr>
        <w:pStyle w:val="Caption"/>
        <w:keepLines/>
        <w:jc w:val="center"/>
        <w:rPr/>
      </w:pPr>
      <w:bookmarkStart w:id="12" w:name="table6"/>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6</w:t>
      </w:r>
      <w:r>
        <w:rPr>
          <w:rFonts w:eastAsia="Carlito"/>
        </w:rPr>
        <w:fldChar w:fldCharType="end"/>
      </w:r>
      <w:r>
        <w:rPr>
          <w:rFonts w:eastAsia="Carlito"/>
        </w:rPr>
        <w:t>: Non-negotiable shared services</w:t>
      </w:r>
      <w:bookmarkEnd w:id="12"/>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26"/>
        <w:gridCol w:w="3326"/>
        <w:gridCol w:w="3327"/>
      </w:tblGrid>
      <w:tr>
        <w:trPr>
          <w:tblHeader w:val="true"/>
          <w:cantSplit w:val="true"/>
        </w:trPr>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Shared service</w:t>
            </w:r>
          </w:p>
        </w:tc>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Reason it is centralised</w:t>
            </w:r>
          </w:p>
        </w:tc>
        <w:tc>
          <w:tcPr>
            <w:tcW w:w="3327"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Forbidden duplication</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Market calendar and expiry</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Historical rules vary by effective date and holidays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Hard-coded weekday/session logic inside a strategy</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Instrument and universe identity</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Prevents survivorship and inactive-contract selection</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Current constituents applied backwards</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Feature registry</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Supports batch/incremental parity and versioning</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Separate historical and live RSI/VWAP logic</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Cost and target engine</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Determines whether ₹500/₹1,000 net objectives are actually reached</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Brokerage-only or environment-dependent formula</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Execution simulator</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Defines next-bar entry, fill/path rules and capital state</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 different fill assumption in each strategy</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Experiment ledger</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Makes runs deterministic, resumable and comparable</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Unlogged ad-hoc scripts and overwritten results</w:t>
            </w:r>
          </w:p>
        </w:tc>
      </w:tr>
    </w:tbl>
    <w:p>
      <w:pPr>
        <w:pStyle w:val="Heading1"/>
        <w:keepLines/>
        <w:rPr/>
      </w:pPr>
      <w:bookmarkStart w:id="13" w:name="__RefHeading___Toc5253_2627061606"/>
      <w:bookmarkEnd w:id="13"/>
      <w:r>
        <w:rPr>
          <w:rFonts w:eastAsia="Carlito" w:ascii="Carlito" w:hAnsi="Carlito"/>
        </w:rPr>
        <w:t>Five-Phase Programme Structure</w:t>
      </w:r>
    </w:p>
    <w:p>
      <w:pPr>
        <w:pStyle w:val="Caption"/>
        <w:keepLines/>
        <w:jc w:val="center"/>
        <w:rPr/>
      </w:pPr>
      <w:bookmarkStart w:id="14" w:name="table7"/>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7</w:t>
      </w:r>
      <w:r>
        <w:rPr>
          <w:rFonts w:eastAsia="Carlito"/>
        </w:rPr>
        <w:fldChar w:fldCharType="end"/>
      </w:r>
      <w:r>
        <w:rPr>
          <w:rFonts w:eastAsia="Carlito"/>
        </w:rPr>
        <w:t>: Phase scope, dependency and relative effort</w:t>
      </w:r>
      <w:bookmarkEnd w:id="14"/>
    </w:p>
    <w:tbl>
      <w:tblPr>
        <w:tblStyle w:val="TableGrid"/>
        <w:tblW w:w="99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2494"/>
        <w:gridCol w:w="2494"/>
        <w:gridCol w:w="2493"/>
      </w:tblGrid>
      <w:tr>
        <w:trPr>
          <w:tblHeader w:val="true"/>
          <w:cantSplit w:val="true"/>
        </w:trPr>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Phase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Primary outcome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Dependency</w:t>
            </w:r>
          </w:p>
        </w:tc>
        <w:tc>
          <w:tcPr>
            <w:tcW w:w="2493"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Relative effort</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Trusted data/time/contracts and qualification</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None</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20%</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Exact economics, strategy SDK and event simulator</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 gate</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25%</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Resumable replay, run ledger and governed results</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Phases 1–2</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20%</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Reverse discovery, walk-forward and calibrated probability</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Phases 1–3 + qualified data</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20%</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Buying-only options, parity and research packs</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Phases 1–4 + qualified premium history</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15%</w:t>
            </w:r>
          </w:p>
        </w:tc>
      </w:tr>
    </w:tbl>
    <w:p>
      <w:pPr>
        <w:pStyle w:val="Normal"/>
        <w:keepLines/>
        <w:spacing w:before="0" w:after="40"/>
        <w:jc w:val="center"/>
        <w:rPr/>
      </w:pPr>
      <w:r>
        <w:rPr/>
        <w:drawing>
          <wp:inline distT="0" distB="0" distL="0" distR="0">
            <wp:extent cx="6047740" cy="26885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047740" cy="2688590"/>
                    </a:xfrm>
                    <a:prstGeom prst="rect">
                      <a:avLst/>
                    </a:prstGeom>
                    <a:noFill/>
                  </pic:spPr>
                </pic:pic>
              </a:graphicData>
            </a:graphic>
          </wp:inline>
        </w:drawing>
      </w:r>
    </w:p>
    <w:p>
      <w:pPr>
        <w:pStyle w:val="Caption"/>
        <w:keepLines/>
        <w:jc w:val="center"/>
        <w:rPr/>
      </w:pPr>
      <w:bookmarkStart w:id="15" w:name="figure3"/>
      <w:r>
        <w:rPr>
          <w:rFonts w:eastAsia="Carlito"/>
          <w:b/>
        </w:rPr>
        <w:t xml:space="preserve">Figure </w:t>
      </w:r>
      <w:r>
        <w:rPr>
          <w:rFonts w:eastAsia="Carlito"/>
        </w:rPr>
        <w:fldChar w:fldCharType="begin"/>
      </w:r>
      <w:r>
        <w:rPr>
          <w:rFonts w:eastAsia="Carlito"/>
        </w:rPr>
        <w:instrText xml:space="preserve"> SEQ Figure \* ARABIC </w:instrText>
      </w:r>
      <w:r>
        <w:rPr>
          <w:rFonts w:eastAsia="Carlito"/>
        </w:rPr>
        <w:fldChar w:fldCharType="separate"/>
      </w:r>
      <w:r>
        <w:rPr>
          <w:rFonts w:eastAsia="Carlito"/>
        </w:rPr>
        <w:t>3</w:t>
      </w:r>
      <w:r>
        <w:rPr>
          <w:rFonts w:eastAsia="Carlito"/>
        </w:rPr>
        <w:fldChar w:fldCharType="end"/>
      </w:r>
      <w:r>
        <w:rPr>
          <w:rFonts w:eastAsia="Carlito"/>
        </w:rPr>
        <w:t>: Relative implementation effort by phase</w:t>
      </w:r>
      <w:bookmarkEnd w:id="15"/>
    </w:p>
    <w:p>
      <w:pPr>
        <w:pStyle w:val="Heading2"/>
        <w:keepLines/>
        <w:rPr/>
      </w:pPr>
      <w:bookmarkStart w:id="16" w:name="__RefHeading___Toc5255_2627061606"/>
      <w:bookmarkEnd w:id="16"/>
      <w:r>
        <w:rPr>
          <w:rFonts w:eastAsia="Carlito" w:ascii="Carlito" w:hAnsi="Carlito"/>
        </w:rPr>
        <w:t>Standard Phase Release Model</w:t>
      </w:r>
    </w:p>
    <w:p>
      <w:pPr>
        <w:pStyle w:val="Normal"/>
        <w:keepLines/>
        <w:rPr/>
      </w:pPr>
      <w:r>
        <w:rPr>
          <w:rFonts w:eastAsia="Carlito"/>
        </w:rPr>
        <w:t>Every phase follows the same controlled flow. A package can be applied in dry-run mode; its Codex prompt requires repository inspection before modification; migrations are tested against a disposable database; affected legacy tests are rerun; and the phase owner records evidence and rollback before merge.</w:t>
      </w:r>
    </w:p>
    <w:p>
      <w:pPr>
        <w:pStyle w:val="Normal"/>
        <w:keepLines/>
        <w:spacing w:before="0" w:after="40"/>
        <w:jc w:val="center"/>
        <w:rPr/>
      </w:pPr>
      <w:r>
        <w:rPr/>
        <w:drawing>
          <wp:inline distT="0" distB="0" distL="0" distR="0">
            <wp:extent cx="6047740" cy="333883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047740" cy="3338830"/>
                    </a:xfrm>
                    <a:prstGeom prst="rect">
                      <a:avLst/>
                    </a:prstGeom>
                    <a:noFill/>
                  </pic:spPr>
                </pic:pic>
              </a:graphicData>
            </a:graphic>
          </wp:inline>
        </w:drawing>
      </w:r>
    </w:p>
    <w:p>
      <w:pPr>
        <w:pStyle w:val="Caption"/>
        <w:keepLines/>
        <w:jc w:val="center"/>
        <w:rPr/>
      </w:pPr>
      <w:bookmarkStart w:id="17" w:name="figure4"/>
      <w:r>
        <w:rPr>
          <w:rFonts w:eastAsia="Carlito"/>
          <w:b/>
        </w:rPr>
        <w:t xml:space="preserve">Figure </w:t>
      </w:r>
      <w:r>
        <w:rPr>
          <w:rFonts w:eastAsia="Carlito"/>
        </w:rPr>
        <w:fldChar w:fldCharType="begin"/>
      </w:r>
      <w:r>
        <w:rPr>
          <w:rFonts w:eastAsia="Carlito"/>
        </w:rPr>
        <w:instrText xml:space="preserve"> SEQ Figure \* ARABIC </w:instrText>
      </w:r>
      <w:r>
        <w:rPr>
          <w:rFonts w:eastAsia="Carlito"/>
        </w:rPr>
        <w:fldChar w:fldCharType="separate"/>
      </w:r>
      <w:r>
        <w:rPr>
          <w:rFonts w:eastAsia="Carlito"/>
        </w:rPr>
        <w:t>4</w:t>
      </w:r>
      <w:r>
        <w:rPr>
          <w:rFonts w:eastAsia="Carlito"/>
        </w:rPr>
        <w:fldChar w:fldCharType="end"/>
      </w:r>
      <w:r>
        <w:rPr>
          <w:rFonts w:eastAsia="Carlito"/>
        </w:rPr>
        <w:t>: Standard release gate applied to each phase</w:t>
      </w:r>
      <w:bookmarkEnd w:id="17"/>
      <w:r>
        <w:br w:type="page"/>
      </w:r>
    </w:p>
    <w:p>
      <w:pPr>
        <w:pStyle w:val="Heading1"/>
        <w:keepLines/>
        <w:rPr/>
      </w:pPr>
      <w:bookmarkStart w:id="18" w:name="__RefHeading___Toc5257_2627061606"/>
      <w:bookmarkEnd w:id="18"/>
      <w:r>
        <w:rPr>
          <w:rFonts w:eastAsia="Carlito" w:ascii="Carlito" w:hAnsi="Carlito"/>
        </w:rPr>
        <w:t>Phase 1: Data Foundation, Point-in-Time Contracts and Qualification</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1F5CA9"/>
            </w:tcBorders>
            <w:shd w:fill="EAF2FC"/>
          </w:tcPr>
          <w:p>
            <w:pPr>
              <w:pStyle w:val="Normal"/>
              <w:spacing w:before="0" w:after="0"/>
              <w:rPr/>
            </w:pPr>
            <w:r>
              <w:rPr>
                <w:b/>
                <w:color w:val="1F5CA9"/>
                <w:sz w:val="21"/>
              </w:rPr>
              <w:t>Phase objective</w:t>
            </w:r>
            <w:r>
              <w:rPr/>
              <w:br/>
              <w:t>Create the trusted point-in-time data and market-rule boundary required before any strategy result can be believed.</w:t>
            </w:r>
          </w:p>
        </w:tc>
      </w:tr>
    </w:tbl>
    <w:p>
      <w:pPr>
        <w:pStyle w:val="Normal"/>
        <w:keepLines/>
        <w:rPr/>
      </w:pPr>
      <w:r>
        <w:rPr>
          <w:rFonts w:eastAsia="Carlito"/>
          <w:b/>
        </w:rPr>
        <w:t xml:space="preserve">Dependency: </w:t>
      </w:r>
      <w:r>
        <w:rPr>
          <w:rFonts w:eastAsia="Carlito"/>
        </w:rPr>
        <w:t>None. This is the mandatory first phase.</w:t>
      </w:r>
    </w:p>
    <w:p>
      <w:pPr>
        <w:pStyle w:val="Heading2"/>
        <w:keepLines/>
        <w:rPr/>
      </w:pPr>
      <w:bookmarkStart w:id="19" w:name="__RefHeading___Toc5259_2627061606"/>
      <w:bookmarkEnd w:id="19"/>
      <w:r>
        <w:rPr>
          <w:rFonts w:eastAsia="Carlito" w:ascii="Carlito" w:hAnsi="Carlito"/>
        </w:rPr>
        <w:t>Features and Work Packages</w:t>
      </w:r>
    </w:p>
    <w:p>
      <w:pPr>
        <w:pStyle w:val="ListBullet"/>
        <w:keepLines/>
        <w:numPr>
          <w:ilvl w:val="0"/>
          <w:numId w:val="2"/>
        </w:numPr>
        <w:spacing w:before="0" w:after="60"/>
        <w:ind w:hanging="102" w:left="198"/>
        <w:contextualSpacing/>
        <w:rPr/>
      </w:pPr>
      <w:r>
        <w:rPr>
          <w:rFonts w:eastAsia="Carlito"/>
        </w:rPr>
        <w:t>Contracts and calendar service</w:t>
      </w:r>
    </w:p>
    <w:p>
      <w:pPr>
        <w:pStyle w:val="ListBullet"/>
        <w:keepLines/>
        <w:numPr>
          <w:ilvl w:val="0"/>
          <w:numId w:val="2"/>
        </w:numPr>
        <w:spacing w:before="0" w:after="60"/>
        <w:ind w:hanging="102" w:left="198"/>
        <w:contextualSpacing/>
        <w:rPr/>
      </w:pPr>
      <w:r>
        <w:rPr>
          <w:rFonts w:eastAsia="Carlito"/>
        </w:rPr>
        <w:t>Historical CSV qualification and immutable manifests</w:t>
      </w:r>
    </w:p>
    <w:p>
      <w:pPr>
        <w:pStyle w:val="ListBullet"/>
        <w:keepLines/>
        <w:numPr>
          <w:ilvl w:val="0"/>
          <w:numId w:val="2"/>
        </w:numPr>
        <w:spacing w:before="0" w:after="60"/>
        <w:ind w:hanging="102" w:left="198"/>
        <w:contextualSpacing/>
        <w:rPr/>
      </w:pPr>
      <w:r>
        <w:rPr>
          <w:rFonts w:eastAsia="Carlito"/>
        </w:rPr>
        <w:t>Read-only PostgreSQL coverage and effective-dated universe adapter</w:t>
      </w:r>
    </w:p>
    <w:p>
      <w:pPr>
        <w:pStyle w:val="ListBullet"/>
        <w:keepLines/>
        <w:numPr>
          <w:ilvl w:val="0"/>
          <w:numId w:val="2"/>
        </w:numPr>
        <w:spacing w:before="0" w:after="60"/>
        <w:ind w:hanging="102" w:left="198"/>
        <w:contextualSpacing/>
        <w:rPr/>
      </w:pPr>
      <w:r>
        <w:rPr>
          <w:rFonts w:eastAsia="Carlito"/>
        </w:rPr>
        <w:t>Additive catalog migration and language-neutral schemas</w:t>
      </w:r>
    </w:p>
    <w:p>
      <w:pPr>
        <w:pStyle w:val="Caption"/>
        <w:keepLines/>
        <w:jc w:val="center"/>
        <w:rPr/>
      </w:pPr>
      <w:bookmarkStart w:id="20" w:name="table8"/>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8</w:t>
      </w:r>
      <w:r>
        <w:rPr>
          <w:rFonts w:eastAsia="Carlito"/>
        </w:rPr>
        <w:fldChar w:fldCharType="end"/>
      </w:r>
      <w:r>
        <w:rPr>
          <w:rFonts w:eastAsia="Carlito"/>
        </w:rPr>
        <w:t>: Phase 1 deliverables</w:t>
      </w:r>
      <w:bookmarkEnd w:id="20"/>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Deliverable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Implementation result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P1-D1</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Timezone-aware MarketBar/SignalIntent contracts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P1-D2</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Effective-dated CM/F&amp;O sessions and expiry resolution</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P1-D3</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PASS/WARN/FAIL source qualification with SHA-256</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P1-D4</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Point-in-time NIFTY membership queries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P1-D5</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Session/expiry golden vectors</w:t>
            </w:r>
          </w:p>
        </w:tc>
      </w:tr>
    </w:tbl>
    <w:p>
      <w:pPr>
        <w:pStyle w:val="Heading2"/>
        <w:keepLines/>
        <w:rPr/>
      </w:pPr>
      <w:bookmarkStart w:id="21" w:name="__RefHeading___Toc5261_2627061606"/>
      <w:bookmarkEnd w:id="21"/>
      <w:r>
        <w:rPr>
          <w:rFonts w:eastAsia="Carlito" w:ascii="Carlito" w:hAnsi="Carlito"/>
        </w:rPr>
        <w:t>Existing-Code Integration</w:t>
      </w:r>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Existing component</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Required treatment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archive_runner.go</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Retain discovery/parser ideas; enforce qualification before persistence</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history.go</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Replace weekday assumptions with calendar service</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nse_intraday.universe_membership</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Use effective_from/effective_to</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nifty_bhavcopy_ingest.py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Quarantine cross-symbol RSI/Williams calculation</w:t>
            </w:r>
          </w:p>
        </w:tc>
      </w:tr>
    </w:tbl>
    <w:p>
      <w:pPr>
        <w:pStyle w:val="Heading2"/>
        <w:keepLines/>
        <w:rPr/>
      </w:pPr>
      <w:bookmarkStart w:id="22" w:name="__RefHeading___Toc5263_2627061606"/>
      <w:bookmarkEnd w:id="22"/>
      <w:r>
        <w:rPr>
          <w:rFonts w:eastAsia="Carlito" w:ascii="Carlito" w:hAnsi="Carlito"/>
        </w:rPr>
        <w:t>Test and Release Gate</w:t>
      </w:r>
    </w:p>
    <w:p>
      <w:pPr>
        <w:pStyle w:val="ListBullet"/>
        <w:keepLines/>
        <w:numPr>
          <w:ilvl w:val="0"/>
          <w:numId w:val="2"/>
        </w:numPr>
        <w:spacing w:before="0" w:after="60"/>
        <w:ind w:hanging="102" w:left="198"/>
        <w:contextualSpacing/>
        <w:rPr/>
      </w:pPr>
      <w:r>
        <w:rPr>
          <w:rFonts w:eastAsia="Carlito"/>
        </w:rPr>
        <w:t>Contract validation</w:t>
      </w:r>
    </w:p>
    <w:p>
      <w:pPr>
        <w:pStyle w:val="ListBullet"/>
        <w:keepLines/>
        <w:numPr>
          <w:ilvl w:val="0"/>
          <w:numId w:val="2"/>
        </w:numPr>
        <w:spacing w:before="0" w:after="60"/>
        <w:ind w:hanging="102" w:left="198"/>
        <w:contextualSpacing/>
        <w:rPr/>
      </w:pPr>
      <w:r>
        <w:rPr>
          <w:rFonts w:eastAsia="Carlito"/>
        </w:rPr>
        <w:t>Session and holiday-adjusted expiry vectors</w:t>
      </w:r>
    </w:p>
    <w:p>
      <w:pPr>
        <w:pStyle w:val="ListBullet"/>
        <w:keepLines/>
        <w:numPr>
          <w:ilvl w:val="0"/>
          <w:numId w:val="2"/>
        </w:numPr>
        <w:spacing w:before="0" w:after="60"/>
        <w:ind w:hanging="102" w:left="198"/>
        <w:contextualSpacing/>
        <w:rPr/>
      </w:pPr>
      <w:r>
        <w:rPr>
          <w:rFonts w:eastAsia="Carlito"/>
        </w:rPr>
        <w:t>OHLC/duplicate/order/session/missing-minute qualification</w:t>
      </w:r>
    </w:p>
    <w:p>
      <w:pPr>
        <w:pStyle w:val="ListBullet"/>
        <w:keepLines/>
        <w:numPr>
          <w:ilvl w:val="0"/>
          <w:numId w:val="2"/>
        </w:numPr>
        <w:spacing w:before="0" w:after="60"/>
        <w:ind w:hanging="102" w:left="198"/>
        <w:contextualSpacing/>
        <w:rPr/>
      </w:pPr>
      <w:r>
        <w:rPr>
          <w:rFonts w:eastAsia="Carlito"/>
        </w:rPr>
        <w:t>Read-only PostgreSQL adapter tests</w:t>
      </w:r>
    </w:p>
    <w:p>
      <w:pPr>
        <w:pStyle w:val="ListBullet"/>
        <w:keepLines/>
        <w:numPr>
          <w:ilvl w:val="0"/>
          <w:numId w:val="2"/>
        </w:numPr>
        <w:spacing w:before="0" w:after="60"/>
        <w:ind w:hanging="102" w:left="198"/>
        <w:contextualSpacing/>
        <w:rPr/>
      </w:pPr>
      <w:r>
        <w:rPr>
          <w:rFonts w:eastAsia="Carlito"/>
        </w:rPr>
        <w:t>Phase 1 smoke test</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C61F2B"/>
            </w:tcBorders>
            <w:shd w:fill="FFF1F2"/>
          </w:tcPr>
          <w:p>
            <w:pPr>
              <w:pStyle w:val="Normal"/>
              <w:spacing w:before="0" w:after="0"/>
              <w:rPr/>
            </w:pPr>
            <w:r>
              <w:rPr>
                <w:b/>
                <w:color w:val="C61F2B"/>
                <w:sz w:val="21"/>
              </w:rPr>
              <w:t>Mandatory phase gate</w:t>
            </w:r>
            <w:r>
              <w:rPr/>
              <w:br/>
              <w:t>A phase may merge only when every acceptance criterion in the package has saved evidence. Synthetic tests prove the reference implementation; they do not replace real-repository, disposable-database and qualified-data validation.</w:t>
            </w:r>
          </w:p>
        </w:tc>
      </w:tr>
    </w:tbl>
    <w:p>
      <w:pPr>
        <w:pStyle w:val="Heading2"/>
        <w:keepLines/>
        <w:rPr/>
      </w:pPr>
      <w:bookmarkStart w:id="23" w:name="__RefHeading___Toc5265_2627061606"/>
      <w:bookmarkEnd w:id="23"/>
      <w:r>
        <w:rPr>
          <w:rFonts w:eastAsia="Carlito" w:ascii="Carlito" w:hAnsi="Carlito"/>
        </w:rPr>
        <w:t>Agent Execution</w:t>
      </w:r>
    </w:p>
    <w:p>
      <w:pPr>
        <w:pStyle w:val="Normal"/>
        <w:keepLines/>
        <w:rPr/>
      </w:pPr>
      <w:r>
        <w:rPr>
          <w:rFonts w:eastAsia="Carlito"/>
        </w:rPr>
        <w:t>The package includes both a full-context Codex integration contract and a short task for low-context agents. Both operate against the target repository and prohibit destructive production migrations or broker orders.</w:t>
      </w:r>
      <w:r>
        <w:br w:type="page"/>
      </w:r>
    </w:p>
    <w:p>
      <w:pPr>
        <w:pStyle w:val="Heading1"/>
        <w:keepLines/>
        <w:rPr/>
      </w:pPr>
      <w:bookmarkStart w:id="24" w:name="__RefHeading___Toc5267_2627061606"/>
      <w:bookmarkEnd w:id="24"/>
      <w:r>
        <w:rPr>
          <w:rFonts w:eastAsia="Carlito" w:ascii="Carlito" w:hAnsi="Carlito"/>
        </w:rPr>
        <w:t>Phase 2: Exact Economics, Feature Registry, Strategy SDK and Event Simulator</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0B2C6B"/>
            </w:tcBorders>
            <w:shd w:fill="EAF2FC"/>
          </w:tcPr>
          <w:p>
            <w:pPr>
              <w:pStyle w:val="Normal"/>
              <w:spacing w:before="0" w:after="0"/>
              <w:rPr/>
            </w:pPr>
            <w:r>
              <w:rPr>
                <w:b/>
                <w:color w:val="0B2C6B"/>
                <w:sz w:val="21"/>
              </w:rPr>
              <w:t>Phase objective</w:t>
            </w:r>
            <w:r>
              <w:rPr/>
              <w:br/>
              <w:t>Create one financially exact and temporally correct engine that every cash-equity strategy must reuse.</w:t>
            </w:r>
          </w:p>
        </w:tc>
      </w:tr>
    </w:tbl>
    <w:p>
      <w:pPr>
        <w:pStyle w:val="Normal"/>
        <w:keepLines/>
        <w:rPr/>
      </w:pPr>
      <w:r>
        <w:rPr>
          <w:rFonts w:eastAsia="Carlito"/>
          <w:b/>
        </w:rPr>
        <w:t xml:space="preserve">Dependency: </w:t>
      </w:r>
      <w:r>
        <w:rPr>
          <w:rFonts w:eastAsia="Carlito"/>
        </w:rPr>
        <w:t>Phase 1 must be merged and its release gate must pass.</w:t>
      </w:r>
    </w:p>
    <w:p>
      <w:pPr>
        <w:pStyle w:val="Heading2"/>
        <w:keepLines/>
        <w:rPr/>
      </w:pPr>
      <w:bookmarkStart w:id="25" w:name="__RefHeading___Toc5269_2627061606"/>
      <w:bookmarkEnd w:id="25"/>
      <w:r>
        <w:rPr>
          <w:rFonts w:eastAsia="Carlito" w:ascii="Carlito" w:hAnsi="Carlito"/>
        </w:rPr>
        <w:t>Features and Work Packages</w:t>
      </w:r>
    </w:p>
    <w:p>
      <w:pPr>
        <w:pStyle w:val="ListBullet"/>
        <w:keepLines/>
        <w:numPr>
          <w:ilvl w:val="0"/>
          <w:numId w:val="2"/>
        </w:numPr>
        <w:spacing w:before="0" w:after="60"/>
        <w:ind w:hanging="102" w:left="198"/>
        <w:contextualSpacing/>
        <w:rPr/>
      </w:pPr>
      <w:r>
        <w:rPr>
          <w:rFonts w:eastAsia="Carlito"/>
        </w:rPr>
        <w:t>Effective-dated Decimal fee engine and component rounding</w:t>
      </w:r>
    </w:p>
    <w:p>
      <w:pPr>
        <w:pStyle w:val="ListBullet"/>
        <w:keepLines/>
        <w:numPr>
          <w:ilvl w:val="0"/>
          <w:numId w:val="2"/>
        </w:numPr>
        <w:spacing w:before="0" w:after="60"/>
        <w:ind w:hanging="102" w:left="198"/>
        <w:contextualSpacing/>
        <w:rPr/>
      </w:pPr>
      <w:r>
        <w:rPr>
          <w:rFonts w:eastAsia="Carlito"/>
        </w:rPr>
        <w:t>Minimum valid-tick solver for configured net P&amp;L</w:t>
      </w:r>
    </w:p>
    <w:p>
      <w:pPr>
        <w:pStyle w:val="ListBullet"/>
        <w:keepLines/>
        <w:numPr>
          <w:ilvl w:val="0"/>
          <w:numId w:val="2"/>
        </w:numPr>
        <w:spacing w:before="0" w:after="60"/>
        <w:ind w:hanging="102" w:left="198"/>
        <w:contextualSpacing/>
        <w:rPr/>
      </w:pPr>
      <w:r>
        <w:rPr>
          <w:rFonts w:eastAsia="Carlito"/>
        </w:rPr>
        <w:t>Chronological feature registry and prefix-parity tests</w:t>
      </w:r>
    </w:p>
    <w:p>
      <w:pPr>
        <w:pStyle w:val="ListBullet"/>
        <w:keepLines/>
        <w:numPr>
          <w:ilvl w:val="0"/>
          <w:numId w:val="2"/>
        </w:numPr>
        <w:spacing w:before="0" w:after="60"/>
        <w:ind w:hanging="102" w:left="198"/>
        <w:contextualSpacing/>
        <w:rPr/>
      </w:pPr>
      <w:r>
        <w:rPr>
          <w:rFonts w:eastAsia="Carlito"/>
        </w:rPr>
        <w:t>Strategy manifest/plug-in SDK</w:t>
      </w:r>
    </w:p>
    <w:p>
      <w:pPr>
        <w:pStyle w:val="ListBullet"/>
        <w:keepLines/>
        <w:numPr>
          <w:ilvl w:val="0"/>
          <w:numId w:val="2"/>
        </w:numPr>
        <w:spacing w:before="0" w:after="60"/>
        <w:ind w:hanging="102" w:left="198"/>
        <w:contextualSpacing/>
        <w:rPr/>
      </w:pPr>
      <w:r>
        <w:rPr>
          <w:rFonts w:eastAsia="Carlito"/>
        </w:rPr>
        <w:t>Finite-cash next-bar event simulator and path policies</w:t>
      </w:r>
    </w:p>
    <w:p>
      <w:pPr>
        <w:pStyle w:val="Caption"/>
        <w:keepLines/>
        <w:jc w:val="center"/>
        <w:rPr/>
      </w:pPr>
      <w:bookmarkStart w:id="26" w:name="table9"/>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9</w:t>
      </w:r>
      <w:r>
        <w:rPr>
          <w:rFonts w:eastAsia="Carlito"/>
        </w:rPr>
        <w:fldChar w:fldCharType="end"/>
      </w:r>
      <w:r>
        <w:rPr>
          <w:rFonts w:eastAsia="Carlito"/>
        </w:rPr>
        <w:t>: Phase 2 deliverables</w:t>
      </w:r>
      <w:bookmarkEnd w:id="26"/>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Deliverable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Implementation result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P2-D1</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Brokerage/STT/exchange/SEBI/IPFT/stamp/GST/DP breakdown</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P2-D2</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t>
            </w:r>
            <w:r>
              <w:rPr>
                <w:rFonts w:cs=""/>
                <w:color w:val="172033"/>
                <w:kern w:val="0"/>
                <w:sz w:val="17"/>
                <w:szCs w:val="22"/>
                <w:lang w:val="en-US" w:eastAsia="en-US" w:bidi="ar-SA"/>
              </w:rPr>
              <w:t>500/₹1,000 target solver</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P2-D3</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RSI, Williams %R, SMA, MACD and VWAP features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P2-D4</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SignalIntent-only strategy boundary</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P2-D5</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Gross and net-liquidation equity, skipped signals and open positions</w:t>
            </w:r>
          </w:p>
        </w:tc>
      </w:tr>
    </w:tbl>
    <w:p>
      <w:pPr>
        <w:pStyle w:val="Heading2"/>
        <w:keepLines/>
        <w:rPr/>
      </w:pPr>
      <w:bookmarkStart w:id="27" w:name="__RefHeading___Toc5271_2627061606"/>
      <w:bookmarkEnd w:id="27"/>
      <w:r>
        <w:rPr>
          <w:rFonts w:eastAsia="Carlito" w:ascii="Carlito" w:hAnsi="Carlito"/>
        </w:rPr>
        <w:t>Existing-Code Integration</w:t>
      </w:r>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Existing component</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Required treatment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backtest_transaction_charges.go</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Replace calculation with canonical golden-vector-compatible wrapper</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nifty_backtesting_worker.py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Remove dynamic fee fallback and use shared engine</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runner.go target calculation</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Replace brokerage-only approximation</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strategy_backtest.go</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Reconcile next-bar and stop-first semantics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a02.go</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Quarantine same-day look-ahead path</w:t>
            </w:r>
          </w:p>
        </w:tc>
      </w:tr>
    </w:tbl>
    <w:p>
      <w:pPr>
        <w:pStyle w:val="Heading2"/>
        <w:keepLines/>
        <w:rPr/>
      </w:pPr>
      <w:bookmarkStart w:id="28" w:name="__RefHeading___Toc5273_2627061606"/>
      <w:bookmarkEnd w:id="28"/>
      <w:r>
        <w:rPr>
          <w:rFonts w:eastAsia="Carlito" w:ascii="Carlito" w:hAnsi="Carlito"/>
        </w:rPr>
        <w:t>Test and Release Gate</w:t>
      </w:r>
    </w:p>
    <w:p>
      <w:pPr>
        <w:pStyle w:val="ListBullet"/>
        <w:keepLines/>
        <w:numPr>
          <w:ilvl w:val="0"/>
          <w:numId w:val="2"/>
        </w:numPr>
        <w:spacing w:before="0" w:after="60"/>
        <w:ind w:hanging="102" w:left="198"/>
        <w:contextualSpacing/>
        <w:rPr/>
      </w:pPr>
      <w:r>
        <w:rPr>
          <w:rFonts w:eastAsia="Carlito"/>
        </w:rPr>
        <w:t>Cross-language fee vectors</w:t>
      </w:r>
    </w:p>
    <w:p>
      <w:pPr>
        <w:pStyle w:val="ListBullet"/>
        <w:keepLines/>
        <w:numPr>
          <w:ilvl w:val="0"/>
          <w:numId w:val="2"/>
        </w:numPr>
        <w:spacing w:before="0" w:after="60"/>
        <w:ind w:hanging="102" w:left="198"/>
        <w:contextualSpacing/>
        <w:rPr/>
      </w:pPr>
      <w:r>
        <w:rPr>
          <w:rFonts w:eastAsia="Carlito"/>
        </w:rPr>
        <w:t>Prior tick fails / returned tick passes target</w:t>
      </w:r>
    </w:p>
    <w:p>
      <w:pPr>
        <w:pStyle w:val="ListBullet"/>
        <w:keepLines/>
        <w:numPr>
          <w:ilvl w:val="0"/>
          <w:numId w:val="2"/>
        </w:numPr>
        <w:spacing w:before="0" w:after="60"/>
        <w:ind w:hanging="102" w:left="198"/>
        <w:contextualSpacing/>
        <w:rPr/>
      </w:pPr>
      <w:r>
        <w:rPr>
          <w:rFonts w:eastAsia="Carlito"/>
        </w:rPr>
        <w:t>No same-bar entry</w:t>
      </w:r>
    </w:p>
    <w:p>
      <w:pPr>
        <w:pStyle w:val="ListBullet"/>
        <w:keepLines/>
        <w:numPr>
          <w:ilvl w:val="0"/>
          <w:numId w:val="2"/>
        </w:numPr>
        <w:spacing w:before="0" w:after="60"/>
        <w:ind w:hanging="102" w:left="198"/>
        <w:contextualSpacing/>
        <w:rPr/>
      </w:pPr>
      <w:r>
        <w:rPr>
          <w:rFonts w:eastAsia="Carlito"/>
        </w:rPr>
        <w:t>Stop/target ambiguity policy</w:t>
      </w:r>
    </w:p>
    <w:p>
      <w:pPr>
        <w:pStyle w:val="ListBullet"/>
        <w:keepLines/>
        <w:numPr>
          <w:ilvl w:val="0"/>
          <w:numId w:val="2"/>
        </w:numPr>
        <w:spacing w:before="0" w:after="60"/>
        <w:ind w:hanging="102" w:left="198"/>
        <w:contextualSpacing/>
        <w:rPr/>
      </w:pPr>
      <w:r>
        <w:rPr>
          <w:rFonts w:eastAsia="Carlito"/>
        </w:rPr>
        <w:t>Cash/accounting invariants</w:t>
      </w:r>
    </w:p>
    <w:p>
      <w:pPr>
        <w:pStyle w:val="ListBullet"/>
        <w:keepLines/>
        <w:numPr>
          <w:ilvl w:val="0"/>
          <w:numId w:val="2"/>
        </w:numPr>
        <w:spacing w:before="0" w:after="60"/>
        <w:ind w:hanging="102" w:left="198"/>
        <w:contextualSpacing/>
        <w:rPr/>
      </w:pPr>
      <w:r>
        <w:rPr>
          <w:rFonts w:eastAsia="Carlito"/>
        </w:rPr>
        <w:t>Deterministic reference-strategy replay</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C61F2B"/>
            </w:tcBorders>
            <w:shd w:fill="FFF1F2"/>
          </w:tcPr>
          <w:p>
            <w:pPr>
              <w:pStyle w:val="Normal"/>
              <w:spacing w:before="0" w:after="0"/>
              <w:rPr/>
            </w:pPr>
            <w:r>
              <w:rPr>
                <w:b/>
                <w:color w:val="C61F2B"/>
                <w:sz w:val="21"/>
              </w:rPr>
              <w:t>Mandatory phase gate</w:t>
            </w:r>
            <w:r>
              <w:rPr/>
              <w:br/>
              <w:t>A phase may merge only when every acceptance criterion in the package has saved evidence. Synthetic tests prove the reference implementation; they do not replace real-repository, disposable-database and qualified-data validation.</w:t>
            </w:r>
          </w:p>
        </w:tc>
      </w:tr>
    </w:tbl>
    <w:p>
      <w:pPr>
        <w:pStyle w:val="Heading2"/>
        <w:keepLines/>
        <w:rPr/>
      </w:pPr>
      <w:bookmarkStart w:id="29" w:name="__RefHeading___Toc5275_2627061606"/>
      <w:bookmarkEnd w:id="29"/>
      <w:r>
        <w:rPr>
          <w:rFonts w:eastAsia="Carlito" w:ascii="Carlito" w:hAnsi="Carlito"/>
        </w:rPr>
        <w:t>Agent Execution</w:t>
      </w:r>
    </w:p>
    <w:p>
      <w:pPr>
        <w:pStyle w:val="Normal"/>
        <w:keepLines/>
        <w:rPr/>
      </w:pPr>
      <w:r>
        <w:rPr>
          <w:rFonts w:eastAsia="Carlito"/>
        </w:rPr>
        <w:t>The package includes both a full-context Codex integration contract and a short task for low-context agents. Both operate against the target repository and prohibit destructive production migrations or broker orders.</w:t>
      </w:r>
      <w:r>
        <w:br w:type="page"/>
      </w:r>
    </w:p>
    <w:p>
      <w:pPr>
        <w:pStyle w:val="Heading1"/>
        <w:keepLines/>
        <w:rPr/>
      </w:pPr>
      <w:bookmarkStart w:id="30" w:name="__RefHeading___Toc5277_2627061606"/>
      <w:bookmarkEnd w:id="30"/>
      <w:r>
        <w:rPr>
          <w:rFonts w:eastAsia="Carlito" w:ascii="Carlito" w:hAnsi="Carlito"/>
        </w:rPr>
        <w:t>Phase 3: Resumable Historical Backtesting, Experiment Ledger and Results</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6E4AA3"/>
            </w:tcBorders>
            <w:shd w:fill="EAF2FC"/>
          </w:tcPr>
          <w:p>
            <w:pPr>
              <w:pStyle w:val="Normal"/>
              <w:spacing w:before="0" w:after="0"/>
              <w:rPr/>
            </w:pPr>
            <w:r>
              <w:rPr>
                <w:b/>
                <w:color w:val="6E4AA3"/>
                <w:sz w:val="21"/>
              </w:rPr>
              <w:t>Phase objective</w:t>
            </w:r>
            <w:r>
              <w:rPr/>
              <w:br/>
              <w:t>Scale the correct simulator into a deterministic, resumable historical service with governed publication.</w:t>
            </w:r>
          </w:p>
        </w:tc>
      </w:tr>
    </w:tbl>
    <w:p>
      <w:pPr>
        <w:pStyle w:val="Normal"/>
        <w:keepLines/>
        <w:rPr/>
      </w:pPr>
      <w:r>
        <w:rPr>
          <w:rFonts w:eastAsia="Carlito"/>
          <w:b/>
        </w:rPr>
        <w:t xml:space="preserve">Dependency: </w:t>
      </w:r>
      <w:r>
        <w:rPr>
          <w:rFonts w:eastAsia="Carlito"/>
        </w:rPr>
        <w:t>Phases 1 and 2 must be merged and stable.</w:t>
      </w:r>
    </w:p>
    <w:p>
      <w:pPr>
        <w:pStyle w:val="Heading2"/>
        <w:keepLines/>
        <w:rPr/>
      </w:pPr>
      <w:bookmarkStart w:id="31" w:name="__RefHeading___Toc5279_2627061606"/>
      <w:bookmarkEnd w:id="31"/>
      <w:r>
        <w:rPr>
          <w:rFonts w:eastAsia="Carlito" w:ascii="Carlito" w:hAnsi="Carlito"/>
        </w:rPr>
        <w:t>Features and Work Packages</w:t>
      </w:r>
    </w:p>
    <w:p>
      <w:pPr>
        <w:pStyle w:val="ListBullet"/>
        <w:keepLines/>
        <w:numPr>
          <w:ilvl w:val="0"/>
          <w:numId w:val="2"/>
        </w:numPr>
        <w:spacing w:before="0" w:after="60"/>
        <w:ind w:hanging="102" w:left="198"/>
        <w:contextualSpacing/>
        <w:rPr/>
      </w:pPr>
      <w:r>
        <w:rPr>
          <w:rFonts w:eastAsia="Carlito"/>
        </w:rPr>
        <w:t>Immutable run identity and deterministic shard planning</w:t>
      </w:r>
    </w:p>
    <w:p>
      <w:pPr>
        <w:pStyle w:val="ListBullet"/>
        <w:keepLines/>
        <w:numPr>
          <w:ilvl w:val="0"/>
          <w:numId w:val="2"/>
        </w:numPr>
        <w:spacing w:before="0" w:after="60"/>
        <w:ind w:hanging="102" w:left="198"/>
        <w:contextualSpacing/>
        <w:rPr/>
      </w:pPr>
      <w:r>
        <w:rPr>
          <w:rFonts w:eastAsia="Carlito"/>
        </w:rPr>
        <w:t>Leases, heartbeats, attempts, cursors and checksums</w:t>
      </w:r>
    </w:p>
    <w:p>
      <w:pPr>
        <w:pStyle w:val="ListBullet"/>
        <w:keepLines/>
        <w:numPr>
          <w:ilvl w:val="0"/>
          <w:numId w:val="2"/>
        </w:numPr>
        <w:spacing w:before="0" w:after="60"/>
        <w:ind w:hanging="102" w:left="198"/>
        <w:contextualSpacing/>
        <w:rPr/>
      </w:pPr>
      <w:r>
        <w:rPr>
          <w:rFonts w:eastAsia="Carlito"/>
        </w:rPr>
        <w:t>Local recovery ledger and PostgreSQL SKIP LOCKED ledger</w:t>
      </w:r>
    </w:p>
    <w:p>
      <w:pPr>
        <w:pStyle w:val="ListBullet"/>
        <w:keepLines/>
        <w:numPr>
          <w:ilvl w:val="0"/>
          <w:numId w:val="2"/>
        </w:numPr>
        <w:spacing w:before="0" w:after="60"/>
        <w:ind w:hanging="102" w:left="198"/>
        <w:contextualSpacing/>
        <w:rPr/>
      </w:pPr>
      <w:r>
        <w:rPr>
          <w:rFonts w:eastAsia="Carlito"/>
        </w:rPr>
        <w:t>Idempotent trade/equity/result persistence</w:t>
      </w:r>
    </w:p>
    <w:p>
      <w:pPr>
        <w:pStyle w:val="ListBullet"/>
        <w:keepLines/>
        <w:numPr>
          <w:ilvl w:val="0"/>
          <w:numId w:val="2"/>
        </w:numPr>
        <w:spacing w:before="0" w:after="60"/>
        <w:ind w:hanging="102" w:left="198"/>
        <w:contextualSpacing/>
        <w:rPr/>
      </w:pPr>
      <w:r>
        <w:rPr>
          <w:rFonts w:eastAsia="Carlito"/>
        </w:rPr>
        <w:t>Validation-gated atomic publication and metrics</w:t>
      </w:r>
    </w:p>
    <w:p>
      <w:pPr>
        <w:pStyle w:val="Caption"/>
        <w:keepLines/>
        <w:jc w:val="center"/>
        <w:rPr/>
      </w:pPr>
      <w:bookmarkStart w:id="32" w:name="table10"/>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10</w:t>
      </w:r>
      <w:r>
        <w:rPr>
          <w:rFonts w:eastAsia="Carlito"/>
        </w:rPr>
        <w:fldChar w:fldCharType="end"/>
      </w:r>
      <w:r>
        <w:rPr>
          <w:rFonts w:eastAsia="Carlito"/>
        </w:rPr>
        <w:t>: Phase 3 deliverables</w:t>
      </w:r>
      <w:bookmarkEnd w:id="32"/>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Deliverable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Implementation result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P3-D1</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Date-block × symbol-bucket shards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P3-D2</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Restart from durable checkpoint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P3-D3</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Net P&amp;L, profit factor, drawdown, Sharpe and ambiguity metrics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P3-D4</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Failed-run publication guard</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P3-D5</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Compatibility period for legacy result readers</w:t>
            </w:r>
          </w:p>
        </w:tc>
      </w:tr>
    </w:tbl>
    <w:p>
      <w:pPr>
        <w:pStyle w:val="Heading2"/>
        <w:keepLines/>
        <w:rPr/>
      </w:pPr>
      <w:bookmarkStart w:id="33" w:name="__RefHeading___Toc5281_2627061606"/>
      <w:bookmarkEnd w:id="33"/>
      <w:r>
        <w:rPr>
          <w:rFonts w:eastAsia="Carlito" w:ascii="Carlito" w:hAnsi="Carlito"/>
        </w:rPr>
        <w:t>Existing-Code Integration</w:t>
      </w:r>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Existing component</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Required treatment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history.go</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Route date-range work through canonical RunSpec/shards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nifty_backtesting_worker.py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Split monolith into orchestration/adapters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nse_app.backtest_*</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Keep read-only compatibility until reconciliation</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batch_run_audit</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Map to validation/publish lifecycle and forbid failed publication</w:t>
            </w:r>
          </w:p>
        </w:tc>
      </w:tr>
    </w:tbl>
    <w:p>
      <w:pPr>
        <w:pStyle w:val="Heading2"/>
        <w:keepLines/>
        <w:rPr/>
      </w:pPr>
      <w:bookmarkStart w:id="34" w:name="__RefHeading___Toc5283_2627061606"/>
      <w:bookmarkEnd w:id="34"/>
      <w:r>
        <w:rPr>
          <w:rFonts w:eastAsia="Carlito" w:ascii="Carlito" w:hAnsi="Carlito"/>
        </w:rPr>
        <w:t>Test and Release Gate</w:t>
      </w:r>
    </w:p>
    <w:p>
      <w:pPr>
        <w:pStyle w:val="ListBullet"/>
        <w:keepLines/>
        <w:numPr>
          <w:ilvl w:val="0"/>
          <w:numId w:val="2"/>
        </w:numPr>
        <w:spacing w:before="0" w:after="60"/>
        <w:ind w:hanging="102" w:left="198"/>
        <w:contextualSpacing/>
        <w:rPr/>
      </w:pPr>
      <w:r>
        <w:rPr>
          <w:rFonts w:eastAsia="Carlito"/>
        </w:rPr>
        <w:t>Deterministic run/shard identifiers</w:t>
      </w:r>
    </w:p>
    <w:p>
      <w:pPr>
        <w:pStyle w:val="ListBullet"/>
        <w:keepLines/>
        <w:numPr>
          <w:ilvl w:val="0"/>
          <w:numId w:val="2"/>
        </w:numPr>
        <w:spacing w:before="0" w:after="60"/>
        <w:ind w:hanging="102" w:left="198"/>
        <w:contextualSpacing/>
        <w:rPr/>
      </w:pPr>
      <w:r>
        <w:rPr>
          <w:rFonts w:eastAsia="Carlito"/>
        </w:rPr>
        <w:t>Worker kill and resume</w:t>
      </w:r>
    </w:p>
    <w:p>
      <w:pPr>
        <w:pStyle w:val="ListBullet"/>
        <w:keepLines/>
        <w:numPr>
          <w:ilvl w:val="0"/>
          <w:numId w:val="2"/>
        </w:numPr>
        <w:spacing w:before="0" w:after="60"/>
        <w:ind w:hanging="102" w:left="198"/>
        <w:contextualSpacing/>
        <w:rPr/>
      </w:pPr>
      <w:r>
        <w:rPr>
          <w:rFonts w:eastAsia="Carlito"/>
        </w:rPr>
        <w:t>Lease expiry/reclaim</w:t>
      </w:r>
    </w:p>
    <w:p>
      <w:pPr>
        <w:pStyle w:val="ListBullet"/>
        <w:keepLines/>
        <w:numPr>
          <w:ilvl w:val="0"/>
          <w:numId w:val="2"/>
        </w:numPr>
        <w:spacing w:before="0" w:after="60"/>
        <w:ind w:hanging="102" w:left="198"/>
        <w:contextualSpacing/>
        <w:rPr/>
      </w:pPr>
      <w:r>
        <w:rPr>
          <w:rFonts w:eastAsia="Carlito"/>
        </w:rPr>
        <w:t>Idempotent writes and output checksum</w:t>
      </w:r>
    </w:p>
    <w:p>
      <w:pPr>
        <w:pStyle w:val="ListBullet"/>
        <w:keepLines/>
        <w:numPr>
          <w:ilvl w:val="0"/>
          <w:numId w:val="2"/>
        </w:numPr>
        <w:spacing w:before="0" w:after="60"/>
        <w:ind w:hanging="102" w:left="198"/>
        <w:contextualSpacing/>
        <w:rPr/>
      </w:pPr>
      <w:r>
        <w:rPr>
          <w:rFonts w:eastAsia="Carlito"/>
        </w:rPr>
        <w:t>Accounting reconciliation</w:t>
      </w:r>
    </w:p>
    <w:p>
      <w:pPr>
        <w:pStyle w:val="ListBullet"/>
        <w:keepLines/>
        <w:numPr>
          <w:ilvl w:val="0"/>
          <w:numId w:val="2"/>
        </w:numPr>
        <w:spacing w:before="0" w:after="60"/>
        <w:ind w:hanging="102" w:left="198"/>
        <w:contextualSpacing/>
        <w:rPr/>
      </w:pPr>
      <w:r>
        <w:rPr>
          <w:rFonts w:eastAsia="Carlito"/>
        </w:rPr>
        <w:t>Incomplete/failed run cannot publish</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C61F2B"/>
            </w:tcBorders>
            <w:shd w:fill="FFF1F2"/>
          </w:tcPr>
          <w:p>
            <w:pPr>
              <w:pStyle w:val="Normal"/>
              <w:spacing w:before="0" w:after="0"/>
              <w:rPr/>
            </w:pPr>
            <w:r>
              <w:rPr>
                <w:b/>
                <w:color w:val="C61F2B"/>
                <w:sz w:val="21"/>
              </w:rPr>
              <w:t>Mandatory phase gate</w:t>
            </w:r>
            <w:r>
              <w:rPr/>
              <w:br/>
              <w:t>A phase may merge only when every acceptance criterion in the package has saved evidence. Synthetic tests prove the reference implementation; they do not replace real-repository, disposable-database and qualified-data validation.</w:t>
            </w:r>
          </w:p>
        </w:tc>
      </w:tr>
    </w:tbl>
    <w:p>
      <w:pPr>
        <w:pStyle w:val="Heading2"/>
        <w:keepLines/>
        <w:rPr/>
      </w:pPr>
      <w:bookmarkStart w:id="35" w:name="__RefHeading___Toc5285_2627061606"/>
      <w:bookmarkEnd w:id="35"/>
      <w:r>
        <w:rPr>
          <w:rFonts w:eastAsia="Carlito" w:ascii="Carlito" w:hAnsi="Carlito"/>
        </w:rPr>
        <w:t>Agent Execution</w:t>
      </w:r>
    </w:p>
    <w:p>
      <w:pPr>
        <w:pStyle w:val="Normal"/>
        <w:keepLines/>
        <w:rPr/>
      </w:pPr>
      <w:r>
        <w:rPr>
          <w:rFonts w:eastAsia="Carlito"/>
        </w:rPr>
        <w:t>The package includes both a full-context Codex integration contract and a short task for low-context agents. Both operate against the target repository and prohibit destructive production migrations or broker orders.</w:t>
      </w:r>
      <w:r>
        <w:br w:type="page"/>
      </w:r>
    </w:p>
    <w:p>
      <w:pPr>
        <w:pStyle w:val="Heading1"/>
        <w:keepLines/>
        <w:rPr/>
      </w:pPr>
      <w:bookmarkStart w:id="36" w:name="__RefHeading___Toc5287_2627061606"/>
      <w:bookmarkEnd w:id="36"/>
      <w:r>
        <w:rPr>
          <w:rFonts w:eastAsia="Carlito" w:ascii="Carlito" w:hAnsi="Carlito"/>
        </w:rPr>
        <w:t>Phase 4: Reverse Opportunity Discovery, Walk-Forward Validation and Calibrated Probability</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C61F2B"/>
            </w:tcBorders>
            <w:shd w:fill="F5EEFC"/>
          </w:tcPr>
          <w:p>
            <w:pPr>
              <w:pStyle w:val="Normal"/>
              <w:spacing w:before="0" w:after="0"/>
              <w:rPr/>
            </w:pPr>
            <w:r>
              <w:rPr>
                <w:b/>
                <w:color w:val="C61F2B"/>
                <w:sz w:val="21"/>
              </w:rPr>
              <w:t>Phase objective</w:t>
            </w:r>
            <w:r>
              <w:rPr/>
              <w:br/>
              <w:t>Find stable pre-entry conditions around executable historical opportunities without leaking outcomes into features.</w:t>
            </w:r>
          </w:p>
        </w:tc>
      </w:tr>
    </w:tbl>
    <w:p>
      <w:pPr>
        <w:pStyle w:val="Normal"/>
        <w:keepLines/>
        <w:rPr/>
      </w:pPr>
      <w:r>
        <w:rPr>
          <w:rFonts w:eastAsia="Carlito"/>
          <w:b/>
        </w:rPr>
        <w:t xml:space="preserve">Dependency: </w:t>
      </w:r>
      <w:r>
        <w:rPr>
          <w:rFonts w:eastAsia="Carlito"/>
        </w:rPr>
        <w:t>Phases 1–3 and a qualified historical dataset snapshot.</w:t>
      </w:r>
    </w:p>
    <w:p>
      <w:pPr>
        <w:pStyle w:val="Heading2"/>
        <w:keepLines/>
        <w:rPr/>
      </w:pPr>
      <w:bookmarkStart w:id="37" w:name="__RefHeading___Toc5289_2627061606"/>
      <w:bookmarkEnd w:id="37"/>
      <w:r>
        <w:rPr>
          <w:rFonts w:eastAsia="Carlito" w:ascii="Carlito" w:hAnsi="Carlito"/>
        </w:rPr>
        <w:t>Features and Work Packages</w:t>
      </w:r>
    </w:p>
    <w:p>
      <w:pPr>
        <w:pStyle w:val="ListBullet"/>
        <w:keepLines/>
        <w:numPr>
          <w:ilvl w:val="0"/>
          <w:numId w:val="2"/>
        </w:numPr>
        <w:spacing w:before="0" w:after="60"/>
        <w:ind w:hanging="102" w:left="198"/>
        <w:contextualSpacing/>
        <w:rPr/>
      </w:pPr>
      <w:r>
        <w:rPr>
          <w:rFonts w:eastAsia="Carlito"/>
        </w:rPr>
        <w:t>Net-target opportunity labels using Phase 2 execution semantics</w:t>
      </w:r>
    </w:p>
    <w:p>
      <w:pPr>
        <w:pStyle w:val="ListBullet"/>
        <w:keepLines/>
        <w:numPr>
          <w:ilvl w:val="0"/>
          <w:numId w:val="2"/>
        </w:numPr>
        <w:spacing w:before="0" w:after="60"/>
        <w:ind w:hanging="102" w:left="198"/>
        <w:contextualSpacing/>
        <w:rPr/>
      </w:pPr>
      <w:r>
        <w:rPr>
          <w:rFonts w:eastAsia="Carlito"/>
        </w:rPr>
        <w:t>MFE/MAE/time-to-exit and ambiguity evidence</w:t>
      </w:r>
    </w:p>
    <w:p>
      <w:pPr>
        <w:pStyle w:val="ListBullet"/>
        <w:keepLines/>
        <w:numPr>
          <w:ilvl w:val="0"/>
          <w:numId w:val="2"/>
        </w:numPr>
        <w:spacing w:before="0" w:after="60"/>
        <w:ind w:hanging="102" w:left="198"/>
        <w:contextualSpacing/>
        <w:rPr/>
      </w:pPr>
      <w:r>
        <w:rPr>
          <w:rFonts w:eastAsia="Carlito"/>
        </w:rPr>
        <w:t>Pre-entry feature association ranking</w:t>
      </w:r>
    </w:p>
    <w:p>
      <w:pPr>
        <w:pStyle w:val="ListBullet"/>
        <w:keepLines/>
        <w:numPr>
          <w:ilvl w:val="0"/>
          <w:numId w:val="2"/>
        </w:numPr>
        <w:spacing w:before="0" w:after="60"/>
        <w:ind w:hanging="102" w:left="198"/>
        <w:contextualSpacing/>
        <w:rPr/>
      </w:pPr>
      <w:r>
        <w:rPr>
          <w:rFonts w:eastAsia="Carlito"/>
        </w:rPr>
        <w:t>Chronological expanding walk-forward with purge/embargo</w:t>
      </w:r>
    </w:p>
    <w:p>
      <w:pPr>
        <w:pStyle w:val="ListBullet"/>
        <w:keepLines/>
        <w:numPr>
          <w:ilvl w:val="0"/>
          <w:numId w:val="2"/>
        </w:numPr>
        <w:spacing w:before="0" w:after="60"/>
        <w:ind w:hanging="102" w:left="198"/>
        <w:contextualSpacing/>
        <w:rPr/>
      </w:pPr>
      <w:r>
        <w:rPr>
          <w:rFonts w:eastAsia="Carlito"/>
        </w:rPr>
        <w:t>Out-of-fold calibration and reliability evidence</w:t>
      </w:r>
    </w:p>
    <w:p>
      <w:pPr>
        <w:pStyle w:val="Caption"/>
        <w:keepLines/>
        <w:jc w:val="center"/>
        <w:rPr/>
      </w:pPr>
      <w:bookmarkStart w:id="38" w:name="table11"/>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11</w:t>
      </w:r>
      <w:r>
        <w:rPr>
          <w:rFonts w:eastAsia="Carlito"/>
        </w:rPr>
        <w:fldChar w:fldCharType="end"/>
      </w:r>
      <w:r>
        <w:rPr>
          <w:rFonts w:eastAsia="Carlito"/>
        </w:rPr>
        <w:t>: Phase 4 deliverables</w:t>
      </w:r>
      <w:bookmarkEnd w:id="38"/>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Deliverable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Implementation result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P4-D1</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Checksummed opportunity dataset</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P4-D2</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Candidate feature associations clearly labelled non-causal</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P4-D3</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Brier/log-loss/ROC AUC and probability bins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P4-D4</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Immutable model artifact and feature list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P4-D5</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Untouched-holdout workflow</w:t>
            </w:r>
          </w:p>
        </w:tc>
      </w:tr>
    </w:tbl>
    <w:p>
      <w:pPr>
        <w:pStyle w:val="Heading2"/>
        <w:keepLines/>
        <w:rPr/>
      </w:pPr>
      <w:bookmarkStart w:id="39" w:name="__RefHeading___Toc5291_2627061606"/>
      <w:bookmarkEnd w:id="39"/>
      <w:r>
        <w:rPr>
          <w:rFonts w:eastAsia="Carlito" w:ascii="Carlito" w:hAnsi="Carlito"/>
        </w:rPr>
        <w:t>Existing-Code Integration</w:t>
      </w:r>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Existing component</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Required treatment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security_daily_features.fwd_return_*</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Use as labels only, never features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security_minute_feature</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Reuse after availability and parity checks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heuristic confidence scores</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Retain as ranking only until calibrated</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event/FII-DII tables</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Join by actual availability, commonly next-session context</w:t>
            </w:r>
          </w:p>
        </w:tc>
      </w:tr>
    </w:tbl>
    <w:p>
      <w:pPr>
        <w:pStyle w:val="Heading2"/>
        <w:keepLines/>
        <w:rPr/>
      </w:pPr>
      <w:bookmarkStart w:id="40" w:name="__RefHeading___Toc5293_2627061606"/>
      <w:bookmarkEnd w:id="40"/>
      <w:r>
        <w:rPr>
          <w:rFonts w:eastAsia="Carlito" w:ascii="Carlito" w:hAnsi="Carlito"/>
        </w:rPr>
        <w:t>Test and Release Gate</w:t>
      </w:r>
    </w:p>
    <w:p>
      <w:pPr>
        <w:pStyle w:val="ListBullet"/>
        <w:keepLines/>
        <w:numPr>
          <w:ilvl w:val="0"/>
          <w:numId w:val="2"/>
        </w:numPr>
        <w:spacing w:before="0" w:after="60"/>
        <w:ind w:hanging="102" w:left="198"/>
        <w:contextualSpacing/>
        <w:rPr/>
      </w:pPr>
      <w:r>
        <w:rPr>
          <w:rFonts w:eastAsia="Carlito"/>
        </w:rPr>
        <w:t>Decision &lt; entry ≤ exit</w:t>
      </w:r>
    </w:p>
    <w:p>
      <w:pPr>
        <w:pStyle w:val="ListBullet"/>
        <w:keepLines/>
        <w:numPr>
          <w:ilvl w:val="0"/>
          <w:numId w:val="2"/>
        </w:numPr>
        <w:spacing w:before="0" w:after="60"/>
        <w:ind w:hanging="102" w:left="198"/>
        <w:contextualSpacing/>
        <w:rPr/>
      </w:pPr>
      <w:r>
        <w:rPr>
          <w:rFonts w:eastAsia="Carlito"/>
        </w:rPr>
        <w:t>No future/outcome columns in feature matrix</w:t>
      </w:r>
    </w:p>
    <w:p>
      <w:pPr>
        <w:pStyle w:val="ListBullet"/>
        <w:keepLines/>
        <w:numPr>
          <w:ilvl w:val="0"/>
          <w:numId w:val="2"/>
        </w:numPr>
        <w:spacing w:before="0" w:after="60"/>
        <w:ind w:hanging="102" w:left="198"/>
        <w:contextualSpacing/>
        <w:rPr/>
      </w:pPr>
      <w:r>
        <w:rPr>
          <w:rFonts w:eastAsia="Carlito"/>
        </w:rPr>
        <w:t>Chronological splits with purge/embargo</w:t>
      </w:r>
    </w:p>
    <w:p>
      <w:pPr>
        <w:pStyle w:val="ListBullet"/>
        <w:keepLines/>
        <w:numPr>
          <w:ilvl w:val="0"/>
          <w:numId w:val="2"/>
        </w:numPr>
        <w:spacing w:before="0" w:after="60"/>
        <w:ind w:hanging="102" w:left="198"/>
        <w:contextualSpacing/>
        <w:rPr/>
      </w:pPr>
      <w:r>
        <w:rPr>
          <w:rFonts w:eastAsia="Carlito"/>
        </w:rPr>
        <w:t>Strict out-of-fold calibration</w:t>
      </w:r>
    </w:p>
    <w:p>
      <w:pPr>
        <w:pStyle w:val="ListBullet"/>
        <w:keepLines/>
        <w:numPr>
          <w:ilvl w:val="0"/>
          <w:numId w:val="2"/>
        </w:numPr>
        <w:spacing w:before="0" w:after="60"/>
        <w:ind w:hanging="102" w:left="198"/>
        <w:contextualSpacing/>
        <w:rPr/>
      </w:pPr>
      <w:r>
        <w:rPr>
          <w:rFonts w:eastAsia="Carlito"/>
        </w:rPr>
        <w:t>Model/feature/data hashes</w:t>
      </w:r>
    </w:p>
    <w:p>
      <w:pPr>
        <w:pStyle w:val="ListBullet"/>
        <w:keepLines/>
        <w:numPr>
          <w:ilvl w:val="0"/>
          <w:numId w:val="2"/>
        </w:numPr>
        <w:spacing w:before="0" w:after="60"/>
        <w:ind w:hanging="102" w:left="198"/>
        <w:contextualSpacing/>
        <w:rPr/>
      </w:pPr>
      <w:r>
        <w:rPr>
          <w:rFonts w:eastAsia="Carlito"/>
        </w:rPr>
        <w:t>Frozen candidate replay under Phase 3 before promotion</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C61F2B"/>
            </w:tcBorders>
            <w:shd w:fill="FFF1F2"/>
          </w:tcPr>
          <w:p>
            <w:pPr>
              <w:pStyle w:val="Normal"/>
              <w:spacing w:before="0" w:after="0"/>
              <w:rPr/>
            </w:pPr>
            <w:r>
              <w:rPr>
                <w:b/>
                <w:color w:val="C61F2B"/>
                <w:sz w:val="21"/>
              </w:rPr>
              <w:t>Mandatory phase gate</w:t>
            </w:r>
            <w:r>
              <w:rPr/>
              <w:br/>
              <w:t>A phase may merge only when every acceptance criterion in the package has saved evidence. Synthetic tests prove the reference implementation; they do not replace real-repository, disposable-database and qualified-data validation.</w:t>
            </w:r>
          </w:p>
        </w:tc>
      </w:tr>
    </w:tbl>
    <w:p>
      <w:pPr>
        <w:pStyle w:val="Heading2"/>
        <w:keepLines/>
        <w:rPr/>
      </w:pPr>
      <w:bookmarkStart w:id="41" w:name="__RefHeading___Toc5295_2627061606"/>
      <w:bookmarkEnd w:id="41"/>
      <w:r>
        <w:rPr>
          <w:rFonts w:eastAsia="Carlito" w:ascii="Carlito" w:hAnsi="Carlito"/>
        </w:rPr>
        <w:t>Agent Execution</w:t>
      </w:r>
    </w:p>
    <w:p>
      <w:pPr>
        <w:pStyle w:val="Normal"/>
        <w:keepLines/>
        <w:rPr/>
      </w:pPr>
      <w:r>
        <w:rPr>
          <w:rFonts w:eastAsia="Carlito"/>
        </w:rPr>
        <w:t>The package includes both a full-context Codex integration contract and a short task for low-context agents. Both operate against the target repository and prohibit destructive production migrations or broker orders.</w:t>
      </w:r>
      <w:r>
        <w:br w:type="page"/>
      </w:r>
    </w:p>
    <w:p>
      <w:pPr>
        <w:pStyle w:val="Heading1"/>
        <w:keepLines/>
        <w:rPr/>
      </w:pPr>
      <w:bookmarkStart w:id="42" w:name="__RefHeading___Toc5297_2627061606"/>
      <w:bookmarkEnd w:id="42"/>
      <w:r>
        <w:rPr>
          <w:rFonts w:eastAsia="Carlito" w:ascii="Carlito" w:hAnsi="Carlito"/>
        </w:rPr>
        <w:t>Phase 5: Buying-Only Options Research, Historical/Online Parity and Analyst Research Packs</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18794E"/>
            </w:tcBorders>
            <w:shd w:fill="EAF7F0"/>
          </w:tcPr>
          <w:p>
            <w:pPr>
              <w:pStyle w:val="Normal"/>
              <w:spacing w:before="0" w:after="0"/>
              <w:rPr/>
            </w:pPr>
            <w:r>
              <w:rPr>
                <w:b/>
                <w:color w:val="18794E"/>
                <w:sz w:val="21"/>
              </w:rPr>
              <w:t>Phase objective</w:t>
            </w:r>
            <w:r>
              <w:rPr/>
              <w:br/>
              <w:t>Extend the governed platform to buying-only option premiums and produce parity-certified, portable analyst evidence.</w:t>
            </w:r>
          </w:p>
        </w:tc>
      </w:tr>
    </w:tbl>
    <w:p>
      <w:pPr>
        <w:pStyle w:val="Normal"/>
        <w:keepLines/>
        <w:rPr/>
      </w:pPr>
      <w:r>
        <w:rPr>
          <w:rFonts w:eastAsia="Carlito"/>
          <w:b/>
        </w:rPr>
        <w:t xml:space="preserve">Dependency: </w:t>
      </w:r>
      <w:r>
        <w:rPr>
          <w:rFonts w:eastAsia="Carlito"/>
        </w:rPr>
        <w:t>Phases 1–4; actual historical option contract and premium data must pass qualification.</w:t>
      </w:r>
    </w:p>
    <w:p>
      <w:pPr>
        <w:pStyle w:val="Heading2"/>
        <w:keepLines/>
        <w:rPr/>
      </w:pPr>
      <w:bookmarkStart w:id="43" w:name="__RefHeading___Toc5299_2627061606"/>
      <w:bookmarkEnd w:id="43"/>
      <w:r>
        <w:rPr>
          <w:rFonts w:eastAsia="Carlito" w:ascii="Carlito" w:hAnsi="Carlito"/>
        </w:rPr>
        <w:t>Features and Work Packages</w:t>
      </w:r>
    </w:p>
    <w:p>
      <w:pPr>
        <w:pStyle w:val="ListBullet"/>
        <w:keepLines/>
        <w:numPr>
          <w:ilvl w:val="0"/>
          <w:numId w:val="2"/>
        </w:numPr>
        <w:spacing w:before="0" w:after="60"/>
        <w:ind w:hanging="102" w:left="198"/>
        <w:contextualSpacing/>
        <w:rPr/>
      </w:pPr>
      <w:r>
        <w:rPr>
          <w:rFonts w:eastAsia="Carlito"/>
        </w:rPr>
        <w:t>Point-in-time active CE/PE contract selection</w:t>
      </w:r>
    </w:p>
    <w:p>
      <w:pPr>
        <w:pStyle w:val="ListBullet"/>
        <w:keepLines/>
        <w:numPr>
          <w:ilvl w:val="0"/>
          <w:numId w:val="2"/>
        </w:numPr>
        <w:spacing w:before="0" w:after="60"/>
        <w:ind w:hanging="102" w:left="198"/>
        <w:contextualSpacing/>
        <w:rPr/>
      </w:pPr>
      <w:r>
        <w:rPr>
          <w:rFonts w:eastAsia="Carlito"/>
        </w:rPr>
        <w:t>Observed premium-bar simulator and lot sizing</w:t>
      </w:r>
    </w:p>
    <w:p>
      <w:pPr>
        <w:pStyle w:val="ListBullet"/>
        <w:keepLines/>
        <w:numPr>
          <w:ilvl w:val="0"/>
          <w:numId w:val="2"/>
        </w:numPr>
        <w:spacing w:before="0" w:after="60"/>
        <w:ind w:hanging="102" w:left="198"/>
        <w:contextualSpacing/>
        <w:rPr/>
      </w:pPr>
      <w:r>
        <w:rPr>
          <w:rFonts w:eastAsia="Carlito"/>
        </w:rPr>
        <w:t>Premium target/stop/expiry/time exits and charges</w:t>
      </w:r>
    </w:p>
    <w:p>
      <w:pPr>
        <w:pStyle w:val="ListBullet"/>
        <w:keepLines/>
        <w:numPr>
          <w:ilvl w:val="0"/>
          <w:numId w:val="2"/>
        </w:numPr>
        <w:spacing w:before="0" w:after="60"/>
        <w:ind w:hanging="102" w:left="198"/>
        <w:contextualSpacing/>
        <w:rPr/>
      </w:pPr>
      <w:r>
        <w:rPr>
          <w:rFonts w:eastAsia="Carlito"/>
        </w:rPr>
        <w:t>Black–Scholes Greeks and IV diagnostics</w:t>
      </w:r>
    </w:p>
    <w:p>
      <w:pPr>
        <w:pStyle w:val="ListBullet"/>
        <w:keepLines/>
        <w:numPr>
          <w:ilvl w:val="0"/>
          <w:numId w:val="2"/>
        </w:numPr>
        <w:spacing w:before="0" w:after="60"/>
        <w:ind w:hanging="102" w:left="198"/>
        <w:contextualSpacing/>
        <w:rPr/>
      </w:pPr>
      <w:r>
        <w:rPr>
          <w:rFonts w:eastAsia="Carlito"/>
        </w:rPr>
        <w:t>Incremental replay parity oracle</w:t>
      </w:r>
    </w:p>
    <w:p>
      <w:pPr>
        <w:pStyle w:val="ListBullet"/>
        <w:keepLines/>
        <w:numPr>
          <w:ilvl w:val="0"/>
          <w:numId w:val="2"/>
        </w:numPr>
        <w:spacing w:before="0" w:after="60"/>
        <w:ind w:hanging="102" w:left="198"/>
        <w:contextualSpacing/>
        <w:rPr/>
      </w:pPr>
      <w:r>
        <w:rPr>
          <w:rFonts w:eastAsia="Carlito"/>
        </w:rPr>
        <w:t>Checksummed research packs and analyst-response contract</w:t>
      </w:r>
    </w:p>
    <w:p>
      <w:pPr>
        <w:pStyle w:val="Caption"/>
        <w:keepLines/>
        <w:jc w:val="center"/>
        <w:rPr/>
      </w:pPr>
      <w:bookmarkStart w:id="44" w:name="table12"/>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12</w:t>
      </w:r>
      <w:r>
        <w:rPr>
          <w:rFonts w:eastAsia="Carlito"/>
        </w:rPr>
        <w:fldChar w:fldCharType="end"/>
      </w:r>
      <w:r>
        <w:rPr>
          <w:rFonts w:eastAsia="Carlito"/>
        </w:rPr>
        <w:t>: Phase 5 deliverables</w:t>
      </w:r>
      <w:bookmarkEnd w:id="44"/>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Deliverable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Implementation result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P5-D1</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Contract-aware option trades using actual premiums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P5-D2</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Greeks/IV diagnostic vectors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P5-D3</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Freshness and quality gates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P5-D4</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Batch/incremental feature parity evidence</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P5-D5</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ZIP packs with manifest, summary, source data and response schema</w:t>
            </w:r>
          </w:p>
        </w:tc>
      </w:tr>
    </w:tbl>
    <w:p>
      <w:pPr>
        <w:pStyle w:val="Heading2"/>
        <w:keepLines/>
        <w:rPr/>
      </w:pPr>
      <w:bookmarkStart w:id="45" w:name="__RefHeading___Toc5301_2627061606"/>
      <w:bookmarkEnd w:id="45"/>
      <w:r>
        <w:rPr>
          <w:rFonts w:eastAsia="Carlito" w:ascii="Carlito" w:hAnsi="Carlito"/>
        </w:rPr>
        <w:t>Existing-Code Integration</w:t>
      </w:r>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Existing component</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Required treatment</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options_backtest.go</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Retain useful contract/bar selection; replace synthetic pricing</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public instruments/universe/option tables</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Create point-in-time adapters and freshness gates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public.option_greeks</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Treat stale data as a hard gate</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SmartAPI collector</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Remain ingestion owner; parity service only consumes events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API/UI routes</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Add canonical result/pack endpoints after contracts freeze</w:t>
            </w:r>
          </w:p>
        </w:tc>
      </w:tr>
    </w:tbl>
    <w:p>
      <w:pPr>
        <w:pStyle w:val="Heading2"/>
        <w:keepLines/>
        <w:rPr/>
      </w:pPr>
      <w:bookmarkStart w:id="46" w:name="__RefHeading___Toc5303_2627061606"/>
      <w:bookmarkEnd w:id="46"/>
      <w:r>
        <w:rPr>
          <w:rFonts w:eastAsia="Carlito" w:ascii="Carlito" w:hAnsi="Carlito"/>
        </w:rPr>
        <w:t>Test and Release Gate</w:t>
      </w:r>
    </w:p>
    <w:p>
      <w:pPr>
        <w:pStyle w:val="ListBullet"/>
        <w:keepLines/>
        <w:numPr>
          <w:ilvl w:val="0"/>
          <w:numId w:val="2"/>
        </w:numPr>
        <w:spacing w:before="0" w:after="60"/>
        <w:ind w:hanging="102" w:left="198"/>
        <w:contextualSpacing/>
        <w:rPr/>
      </w:pPr>
      <w:r>
        <w:rPr>
          <w:rFonts w:eastAsia="Carlito"/>
        </w:rPr>
        <w:t>Active/known contract at decision time</w:t>
      </w:r>
    </w:p>
    <w:p>
      <w:pPr>
        <w:pStyle w:val="ListBullet"/>
        <w:keepLines/>
        <w:numPr>
          <w:ilvl w:val="0"/>
          <w:numId w:val="2"/>
        </w:numPr>
        <w:spacing w:before="0" w:after="60"/>
        <w:ind w:hanging="102" w:left="198"/>
        <w:contextualSpacing/>
        <w:rPr/>
      </w:pPr>
      <w:r>
        <w:rPr>
          <w:rFonts w:eastAsia="Carlito"/>
        </w:rPr>
        <w:t>Integer lot quantity fits cash including charges</w:t>
      </w:r>
    </w:p>
    <w:p>
      <w:pPr>
        <w:pStyle w:val="ListBullet"/>
        <w:keepLines/>
        <w:numPr>
          <w:ilvl w:val="0"/>
          <w:numId w:val="2"/>
        </w:numPr>
        <w:spacing w:before="0" w:after="60"/>
        <w:ind w:hanging="102" w:left="198"/>
        <w:contextualSpacing/>
        <w:rPr/>
      </w:pPr>
      <w:r>
        <w:rPr>
          <w:rFonts w:eastAsia="Carlito"/>
        </w:rPr>
        <w:t>Actual premium bars, not theoretical prices</w:t>
      </w:r>
    </w:p>
    <w:p>
      <w:pPr>
        <w:pStyle w:val="ListBullet"/>
        <w:keepLines/>
        <w:numPr>
          <w:ilvl w:val="0"/>
          <w:numId w:val="2"/>
        </w:numPr>
        <w:spacing w:before="0" w:after="60"/>
        <w:ind w:hanging="102" w:left="198"/>
        <w:contextualSpacing/>
        <w:rPr/>
      </w:pPr>
      <w:r>
        <w:rPr>
          <w:rFonts w:eastAsia="Carlito"/>
        </w:rPr>
        <w:t>Greeks/IV golden vectors</w:t>
      </w:r>
    </w:p>
    <w:p>
      <w:pPr>
        <w:pStyle w:val="ListBullet"/>
        <w:keepLines/>
        <w:numPr>
          <w:ilvl w:val="0"/>
          <w:numId w:val="2"/>
        </w:numPr>
        <w:spacing w:before="0" w:after="60"/>
        <w:ind w:hanging="102" w:left="198"/>
        <w:contextualSpacing/>
        <w:rPr/>
      </w:pPr>
      <w:r>
        <w:rPr>
          <w:rFonts w:eastAsia="Carlito"/>
        </w:rPr>
        <w:t>Stale data fails closed</w:t>
      </w:r>
    </w:p>
    <w:p>
      <w:pPr>
        <w:pStyle w:val="ListBullet"/>
        <w:keepLines/>
        <w:numPr>
          <w:ilvl w:val="0"/>
          <w:numId w:val="2"/>
        </w:numPr>
        <w:spacing w:before="0" w:after="60"/>
        <w:ind w:hanging="102" w:left="198"/>
        <w:contextualSpacing/>
        <w:rPr/>
      </w:pPr>
      <w:r>
        <w:rPr>
          <w:rFonts w:eastAsia="Carlito"/>
        </w:rPr>
        <w:t>ZIP checksum and safe-path validation</w:t>
      </w:r>
    </w:p>
    <w:p>
      <w:pPr>
        <w:pStyle w:val="ListBullet"/>
        <w:keepLines/>
        <w:numPr>
          <w:ilvl w:val="0"/>
          <w:numId w:val="2"/>
        </w:numPr>
        <w:spacing w:before="0" w:after="60"/>
        <w:ind w:hanging="102" w:left="198"/>
        <w:contextualSpacing/>
        <w:rPr/>
      </w:pPr>
      <w:r>
        <w:rPr>
          <w:rFonts w:eastAsia="Carlito"/>
        </w:rPr>
        <w:t>Batch/online parity tolerance</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C61F2B"/>
            </w:tcBorders>
            <w:shd w:fill="FFF1F2"/>
          </w:tcPr>
          <w:p>
            <w:pPr>
              <w:pStyle w:val="Normal"/>
              <w:spacing w:before="0" w:after="0"/>
              <w:rPr/>
            </w:pPr>
            <w:r>
              <w:rPr>
                <w:b/>
                <w:color w:val="C61F2B"/>
                <w:sz w:val="21"/>
              </w:rPr>
              <w:t>Mandatory phase gate</w:t>
            </w:r>
            <w:r>
              <w:rPr/>
              <w:br/>
              <w:t>A phase may merge only when every acceptance criterion in the package has saved evidence. Synthetic tests prove the reference implementation; they do not replace real-repository, disposable-database and qualified-data validation.</w:t>
            </w:r>
          </w:p>
        </w:tc>
      </w:tr>
    </w:tbl>
    <w:p>
      <w:pPr>
        <w:pStyle w:val="Heading2"/>
        <w:keepLines/>
        <w:rPr/>
      </w:pPr>
      <w:bookmarkStart w:id="47" w:name="__RefHeading___Toc5305_2627061606"/>
      <w:bookmarkEnd w:id="47"/>
      <w:r>
        <w:rPr>
          <w:rFonts w:eastAsia="Carlito" w:ascii="Carlito" w:hAnsi="Carlito"/>
        </w:rPr>
        <w:t>Agent Execution</w:t>
      </w:r>
    </w:p>
    <w:p>
      <w:pPr>
        <w:pStyle w:val="Normal"/>
        <w:keepLines/>
        <w:rPr/>
      </w:pPr>
      <w:r>
        <w:rPr>
          <w:rFonts w:eastAsia="Carlito"/>
        </w:rPr>
        <w:t>The package includes both a full-context Codex integration contract and a short task for low-context agents. Both operate against the target repository and prohibit destructive production migrations or broker orders.</w:t>
      </w:r>
    </w:p>
    <w:p>
      <w:pPr>
        <w:pStyle w:val="Heading1"/>
        <w:keepLines/>
        <w:rPr/>
      </w:pPr>
      <w:bookmarkStart w:id="48" w:name="__RefHeading___Toc5307_2627061606"/>
      <w:bookmarkEnd w:id="48"/>
      <w:r>
        <w:rPr>
          <w:rFonts w:eastAsia="Carlito" w:ascii="Carlito" w:hAnsi="Carlito"/>
        </w:rPr>
        <w:t>Parallel Developer and Coding-Agent Operating Model</w:t>
      </w:r>
    </w:p>
    <w:p>
      <w:pPr>
        <w:pStyle w:val="Normal"/>
        <w:keepLines/>
        <w:rPr/>
      </w:pPr>
      <w:r>
        <w:rPr>
          <w:rFonts w:eastAsia="Carlito"/>
        </w:rPr>
        <w:t>The five phase gates are sequential, but bounded work packages within a phase can run concurrently after shared interfaces freeze. Ownership is enforceable through file/schema boundaries, CODEOWNERS, golden vectors and consumer tests rather than through informal coordination alone.</w:t>
      </w:r>
    </w:p>
    <w:p>
      <w:pPr>
        <w:pStyle w:val="Normal"/>
        <w:keepLines/>
        <w:spacing w:before="0" w:after="40"/>
        <w:jc w:val="center"/>
        <w:rPr/>
      </w:pPr>
      <w:r>
        <w:rPr/>
        <w:drawing>
          <wp:inline distT="0" distB="0" distL="0" distR="0">
            <wp:extent cx="6047740" cy="315341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047740" cy="3153410"/>
                    </a:xfrm>
                    <a:prstGeom prst="rect">
                      <a:avLst/>
                    </a:prstGeom>
                    <a:noFill/>
                  </pic:spPr>
                </pic:pic>
              </a:graphicData>
            </a:graphic>
          </wp:inline>
        </w:drawing>
      </w:r>
    </w:p>
    <w:p>
      <w:pPr>
        <w:pStyle w:val="Caption"/>
        <w:keepLines/>
        <w:jc w:val="center"/>
        <w:rPr/>
      </w:pPr>
      <w:bookmarkStart w:id="49" w:name="figure5"/>
      <w:r>
        <w:rPr>
          <w:rFonts w:eastAsia="Carlito"/>
          <w:b/>
        </w:rPr>
        <w:t xml:space="preserve">Figure </w:t>
      </w:r>
      <w:r>
        <w:rPr>
          <w:rFonts w:eastAsia="Carlito"/>
        </w:rPr>
        <w:fldChar w:fldCharType="begin"/>
      </w:r>
      <w:r>
        <w:rPr>
          <w:rFonts w:eastAsia="Carlito"/>
        </w:rPr>
        <w:instrText xml:space="preserve"> SEQ Figure \* ARABIC </w:instrText>
      </w:r>
      <w:r>
        <w:rPr>
          <w:rFonts w:eastAsia="Carlito"/>
        </w:rPr>
        <w:fldChar w:fldCharType="separate"/>
      </w:r>
      <w:r>
        <w:rPr>
          <w:rFonts w:eastAsia="Carlito"/>
        </w:rPr>
        <w:t>5</w:t>
      </w:r>
      <w:r>
        <w:rPr>
          <w:rFonts w:eastAsia="Carlito"/>
        </w:rPr>
        <w:fldChar w:fldCharType="end"/>
      </w:r>
      <w:r>
        <w:rPr>
          <w:rFonts w:eastAsia="Carlito"/>
        </w:rPr>
        <w:t>: Parallel work packages inside sequential phase gates</w:t>
      </w:r>
      <w:bookmarkEnd w:id="49"/>
    </w:p>
    <w:p>
      <w:pPr>
        <w:pStyle w:val="Caption"/>
        <w:keepLines/>
        <w:jc w:val="center"/>
        <w:rPr/>
      </w:pPr>
      <w:bookmarkStart w:id="50" w:name="table13"/>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13</w:t>
      </w:r>
      <w:r>
        <w:rPr>
          <w:rFonts w:eastAsia="Carlito"/>
        </w:rPr>
        <w:fldChar w:fldCharType="end"/>
      </w:r>
      <w:r>
        <w:rPr>
          <w:rFonts w:eastAsia="Carlito"/>
        </w:rPr>
        <w:t>: Parallel work-package ownership</w:t>
      </w:r>
      <w:bookmarkEnd w:id="50"/>
    </w:p>
    <w:tbl>
      <w:tblPr>
        <w:tblStyle w:val="TableGrid"/>
        <w:tblW w:w="99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996"/>
        <w:gridCol w:w="1996"/>
        <w:gridCol w:w="1996"/>
        <w:gridCol w:w="1996"/>
        <w:gridCol w:w="1996"/>
      </w:tblGrid>
      <w:tr>
        <w:trPr>
          <w:tblHeader w:val="true"/>
          <w:cantSplit w:val="true"/>
        </w:trPr>
        <w:tc>
          <w:tcPr>
            <w:tcW w:w="199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WP</w:t>
            </w:r>
          </w:p>
        </w:tc>
        <w:tc>
          <w:tcPr>
            <w:tcW w:w="199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Owner</w:t>
            </w:r>
          </w:p>
        </w:tc>
        <w:tc>
          <w:tcPr>
            <w:tcW w:w="199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Owns</w:t>
            </w:r>
          </w:p>
        </w:tc>
        <w:tc>
          <w:tcPr>
            <w:tcW w:w="199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Parallel with</w:t>
            </w:r>
          </w:p>
        </w:tc>
        <w:tc>
          <w:tcPr>
            <w:tcW w:w="199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Merge gate</w:t>
            </w:r>
          </w:p>
        </w:tc>
      </w:tr>
      <w:tr>
        <w:trPr>
          <w:cantSplit w:val="true"/>
        </w:trPr>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P1-WP1</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Platform architect</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Contracts, calendar, schemas and vectors</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P1-WP2</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Session/expiry vectors</w:t>
            </w:r>
          </w:p>
        </w:tc>
      </w:tr>
      <w:tr>
        <w:trPr>
          <w:cantSplit w:val="true"/>
        </w:trPr>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P1-WP2</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Data engineer</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Manifests, CSV qualification and PostgreSQL adapters</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P1-WP1</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Qualification report</w:t>
            </w:r>
          </w:p>
        </w:tc>
      </w:tr>
      <w:tr>
        <w:trPr>
          <w:cantSplit w:val="true"/>
        </w:trPr>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P2-WP1</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Quant/platform</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Economics, target solver and fee vectors</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P2-WP2</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Contract-note/golden parity</w:t>
            </w:r>
          </w:p>
        </w:tc>
      </w:tr>
      <w:tr>
        <w:trPr>
          <w:cantSplit w:val="true"/>
        </w:trPr>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P2-WP2</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Quant engineer</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Feature registry, SDK and reference strategy</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P2-WP1</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Prefix parity and manifests</w:t>
            </w:r>
          </w:p>
        </w:tc>
      </w:tr>
      <w:tr>
        <w:trPr>
          <w:cantSplit w:val="true"/>
        </w:trPr>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P2-WP3</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Backtest engineer</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Event simulator and portfolio state</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After P2-WP1 interface</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Event/accounting tests</w:t>
            </w:r>
          </w:p>
        </w:tc>
      </w:tr>
      <w:tr>
        <w:trPr>
          <w:cantSplit w:val="true"/>
        </w:trPr>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P3-WP1</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Platform engineer</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Run orchestration, shards and recovery</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P3-WP2</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Restart/idempotency</w:t>
            </w:r>
          </w:p>
        </w:tc>
      </w:tr>
      <w:tr>
        <w:trPr>
          <w:cantSplit w:val="true"/>
        </w:trPr>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P3-WP2</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DB/analytics</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Persistence, metrics and publication</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P3-WP1</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Reconciliation/publication guard</w:t>
            </w:r>
          </w:p>
        </w:tc>
      </w:tr>
      <w:tr>
        <w:trPr>
          <w:cantSplit w:val="true"/>
        </w:trPr>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P4-WP1</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Quant research</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Labels and pattern discovery</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P4-WP2</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Leakage audit</w:t>
            </w:r>
          </w:p>
        </w:tc>
      </w:tr>
      <w:tr>
        <w:trPr>
          <w:cantSplit w:val="true"/>
        </w:trPr>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P4-WP2</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ML/statistics</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Walk-forward and calibration</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P4-WP1</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Out-of-fold evidence</w:t>
            </w:r>
          </w:p>
        </w:tc>
      </w:tr>
      <w:tr>
        <w:trPr>
          <w:cantSplit w:val="true"/>
        </w:trPr>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P5-WP1</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Derivatives quant</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Contracts, premiums, Greeks, simulator</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P5-WP2</w:t>
            </w:r>
          </w:p>
        </w:tc>
        <w:tc>
          <w:tcPr>
            <w:tcW w:w="199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Premium/freshness tests</w:t>
            </w:r>
          </w:p>
        </w:tc>
      </w:tr>
      <w:tr>
        <w:trPr>
          <w:cantSplit w:val="true"/>
        </w:trPr>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P5-WP2</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Integration/reporting</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Parity, research packs and response contracts</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P5-WP1</w:t>
            </w:r>
          </w:p>
        </w:tc>
        <w:tc>
          <w:tcPr>
            <w:tcW w:w="199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Parity/archive verification</w:t>
            </w:r>
          </w:p>
        </w:tc>
      </w:tr>
    </w:tbl>
    <w:p>
      <w:pPr>
        <w:pStyle w:val="Heading2"/>
        <w:keepLines/>
        <w:rPr/>
      </w:pPr>
      <w:bookmarkStart w:id="51" w:name="__RefHeading___Toc5309_2627061606"/>
      <w:bookmarkEnd w:id="51"/>
      <w:r>
        <w:rPr>
          <w:rFonts w:eastAsia="Carlito" w:ascii="Carlito" w:hAnsi="Carlito"/>
        </w:rPr>
        <w:t>Repository and Contract Governance</w:t>
      </w:r>
    </w:p>
    <w:p>
      <w:pPr>
        <w:pStyle w:val="ListBullet"/>
        <w:keepLines/>
        <w:numPr>
          <w:ilvl w:val="0"/>
          <w:numId w:val="2"/>
        </w:numPr>
        <w:spacing w:before="0" w:after="60"/>
        <w:ind w:hanging="102" w:left="198"/>
        <w:contextualSpacing/>
        <w:rPr/>
      </w:pPr>
      <w:r>
        <w:rPr>
          <w:rFonts w:eastAsia="Carlito"/>
        </w:rPr>
        <w:t>Integration branch: use `DEV_PM_CODE`; use short-lived feature branches or worktrees for individual work packages and review before merge.</w:t>
      </w:r>
    </w:p>
    <w:p>
      <w:pPr>
        <w:pStyle w:val="ListBullet"/>
        <w:keepLines/>
        <w:numPr>
          <w:ilvl w:val="0"/>
          <w:numId w:val="2"/>
        </w:numPr>
        <w:spacing w:before="0" w:after="60"/>
        <w:ind w:hanging="102" w:left="198"/>
        <w:contextualSpacing/>
        <w:rPr/>
      </w:pPr>
      <w:r>
        <w:rPr>
          <w:rFonts w:eastAsia="Carlito"/>
        </w:rPr>
        <w:t>Single ownership: one named owner controls each shared contract, golden vector and migration file.</w:t>
      </w:r>
    </w:p>
    <w:p>
      <w:pPr>
        <w:pStyle w:val="ListBullet"/>
        <w:keepLines/>
        <w:numPr>
          <w:ilvl w:val="0"/>
          <w:numId w:val="2"/>
        </w:numPr>
        <w:spacing w:before="0" w:after="60"/>
        <w:ind w:hanging="102" w:left="198"/>
        <w:contextualSpacing/>
        <w:rPr/>
      </w:pPr>
      <w:r>
        <w:rPr>
          <w:rFonts w:eastAsia="Carlito"/>
        </w:rPr>
        <w:t>Contract changes: regenerate schemas/vectors and run consumer tests before merge.</w:t>
      </w:r>
    </w:p>
    <w:p>
      <w:pPr>
        <w:pStyle w:val="ListBullet"/>
        <w:keepLines/>
        <w:numPr>
          <w:ilvl w:val="0"/>
          <w:numId w:val="2"/>
        </w:numPr>
        <w:spacing w:before="0" w:after="60"/>
        <w:ind w:hanging="102" w:left="198"/>
        <w:contextualSpacing/>
        <w:rPr/>
      </w:pPr>
      <w:r>
        <w:rPr>
          <w:rFonts w:eastAsia="Carlito"/>
        </w:rPr>
        <w:t>Calculation authority: no agent independently edits equivalent fee, calendar, feature or fill logic in Python, Go and TypeScript. Canonical code plus golden vectors governs retained ports.</w:t>
      </w:r>
    </w:p>
    <w:p>
      <w:pPr>
        <w:pStyle w:val="ListBullet"/>
        <w:keepLines/>
        <w:numPr>
          <w:ilvl w:val="0"/>
          <w:numId w:val="2"/>
        </w:numPr>
        <w:spacing w:before="0" w:after="60"/>
        <w:ind w:hanging="102" w:left="198"/>
        <w:contextualSpacing/>
        <w:rPr/>
      </w:pPr>
      <w:r>
        <w:rPr>
          <w:rFonts w:eastAsia="Carlito"/>
        </w:rPr>
        <w:t>Schema boundaries: services write only their owned schemas; cross-context reads use approved views or APIs.</w:t>
      </w:r>
    </w:p>
    <w:p>
      <w:pPr>
        <w:pStyle w:val="ListBullet"/>
        <w:keepLines/>
        <w:numPr>
          <w:ilvl w:val="0"/>
          <w:numId w:val="2"/>
        </w:numPr>
        <w:spacing w:before="0" w:after="60"/>
        <w:ind w:hanging="102" w:left="198"/>
        <w:contextualSpacing/>
        <w:rPr/>
      </w:pPr>
      <w:r>
        <w:rPr>
          <w:rFonts w:eastAsia="Carlito"/>
        </w:rPr>
        <w:t>Handover: every phase writes `PHASE_X_COMPLETION.md` with baseline, changed files, commands, results, rollback and unresolved items.</w:t>
      </w:r>
    </w:p>
    <w:p>
      <w:pPr>
        <w:pStyle w:val="Heading1"/>
        <w:keepLines/>
        <w:rPr/>
      </w:pPr>
      <w:bookmarkStart w:id="52" w:name="__RefHeading___Toc5311_2627061606"/>
      <w:bookmarkEnd w:id="52"/>
      <w:r>
        <w:rPr>
          <w:rFonts w:eastAsia="Carlito" w:ascii="Carlito" w:hAnsi="Carlito"/>
        </w:rPr>
        <w:t>Integration with the Existing Application</w:t>
      </w:r>
    </w:p>
    <w:p>
      <w:pPr>
        <w:pStyle w:val="Caption"/>
        <w:keepLines/>
        <w:jc w:val="center"/>
        <w:rPr/>
      </w:pPr>
      <w:bookmarkStart w:id="53" w:name="table14"/>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14</w:t>
      </w:r>
      <w:r>
        <w:rPr>
          <w:rFonts w:eastAsia="Carlito"/>
        </w:rPr>
        <w:fldChar w:fldCharType="end"/>
      </w:r>
      <w:r>
        <w:rPr>
          <w:rFonts w:eastAsia="Carlito"/>
        </w:rPr>
        <w:t>: Existing-code disposition map</w:t>
      </w:r>
      <w:bookmarkEnd w:id="53"/>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26"/>
        <w:gridCol w:w="3326"/>
        <w:gridCol w:w="3327"/>
      </w:tblGrid>
      <w:tr>
        <w:trPr>
          <w:tblHeader w:val="true"/>
          <w:cantSplit w:val="true"/>
        </w:trPr>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Existing path/component</w:t>
            </w:r>
          </w:p>
        </w:tc>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Disposition</w:t>
            </w:r>
          </w:p>
        </w:tc>
        <w:tc>
          <w:tcPr>
            <w:tcW w:w="3327"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Target use</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backtesting/internal/backtest/history.go</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Reuse and refactor</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Date-range orchestration; route through run/shard contracts</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archive_runner.go</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Reuse and harden</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File discovery behind qualification and manifests</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strategy_backtest.go</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Reuse pattern</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Next-bar execution and explicit stop-first semantics</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a02.go::evaluateExit</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Quarantine</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Known same-day look-ahead semantics must not migrate</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options_backtest.go</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Substantial refactor</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Actual contracts/premium bars, complete economics and freshness</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nifty_backtesting_worker.py</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Split and adapt</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Retain candidate/template/finite-capital layering; remove monolithic orchestration</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_delivery_charge_breakdown</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Replace</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One effective-dated cost engine; no silent fallback</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_publish_batch</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Fix immediately</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Failed validation cannot publish</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indicator_strategy_registry.yml</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Promote</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Immutable strategy manifests and changelog</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nse_app.backtest_*</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Compatibility period</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Read-only comparison until canonical reconciliation</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TypeScript backtesting routes</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Consume only</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Canonical results and packs; no business-calculation duplication</w:t>
            </w:r>
          </w:p>
        </w:tc>
      </w:tr>
    </w:tbl>
    <w:p>
      <w:pPr>
        <w:pStyle w:val="Heading2"/>
        <w:keepLines/>
        <w:rPr/>
      </w:pPr>
      <w:bookmarkStart w:id="54" w:name="__RefHeading___Toc5313_2627061606"/>
      <w:bookmarkEnd w:id="54"/>
      <w:r>
        <w:rPr>
          <w:rFonts w:eastAsia="Carlito" w:ascii="Carlito" w:hAnsi="Carlito"/>
        </w:rPr>
        <w:t>Sequential Overlay Method</w:t>
      </w:r>
    </w:p>
    <w:p>
      <w:pPr>
        <w:pStyle w:val="Normal"/>
        <w:keepLines/>
        <w:spacing w:before="0" w:after="60"/>
        <w:ind w:hanging="255" w:left="312"/>
        <w:rPr/>
      </w:pPr>
      <w:r>
        <w:rPr>
          <w:rFonts w:eastAsia="Carlito"/>
          <w:b/>
        </w:rPr>
        <w:t xml:space="preserve">1. </w:t>
      </w:r>
      <w:r>
        <w:rPr>
          <w:rFonts w:eastAsia="Carlito"/>
        </w:rPr>
        <w:t>Inspect the actual repository, branch, manifests, service topology, current migrations and baseline tests.</w:t>
      </w:r>
    </w:p>
    <w:p>
      <w:pPr>
        <w:pStyle w:val="Normal"/>
        <w:keepLines/>
        <w:spacing w:before="0" w:after="60"/>
        <w:ind w:hanging="255" w:left="312"/>
        <w:rPr/>
      </w:pPr>
      <w:r>
        <w:rPr>
          <w:rFonts w:eastAsia="Carlito"/>
          <w:b/>
        </w:rPr>
        <w:t xml:space="preserve">2. </w:t>
      </w:r>
      <w:r>
        <w:rPr>
          <w:rFonts w:eastAsia="Carlito"/>
        </w:rPr>
        <w:t>Dry-run the package overlay and review every file that would be added or overwritten.</w:t>
      </w:r>
    </w:p>
    <w:p>
      <w:pPr>
        <w:pStyle w:val="Normal"/>
        <w:keepLines/>
        <w:spacing w:before="0" w:after="60"/>
        <w:ind w:hanging="255" w:left="312"/>
        <w:rPr/>
      </w:pPr>
      <w:r>
        <w:rPr>
          <w:rFonts w:eastAsia="Carlito"/>
          <w:b/>
        </w:rPr>
        <w:t xml:space="preserve">3. </w:t>
      </w:r>
      <w:r>
        <w:rPr>
          <w:rFonts w:eastAsia="Carlito"/>
        </w:rPr>
        <w:t>Apply the phase overlay into `platform/nifty_stratlab`; backups are created for overwritten files.</w:t>
      </w:r>
    </w:p>
    <w:p>
      <w:pPr>
        <w:pStyle w:val="Normal"/>
        <w:keepLines/>
        <w:spacing w:before="0" w:after="60"/>
        <w:ind w:hanging="255" w:left="312"/>
        <w:rPr/>
      </w:pPr>
      <w:r>
        <w:rPr>
          <w:rFonts w:eastAsia="Carlito"/>
          <w:b/>
        </w:rPr>
        <w:t xml:space="preserve">4. </w:t>
      </w:r>
      <w:r>
        <w:rPr>
          <w:rFonts w:eastAsia="Carlito"/>
        </w:rPr>
        <w:t>Implement only the documented legacy adapters and preserve compatibility until reconciliation passes.</w:t>
      </w:r>
    </w:p>
    <w:p>
      <w:pPr>
        <w:pStyle w:val="Normal"/>
        <w:keepLines/>
        <w:spacing w:before="0" w:after="60"/>
        <w:ind w:hanging="255" w:left="312"/>
        <w:rPr/>
      </w:pPr>
      <w:r>
        <w:rPr>
          <w:rFonts w:eastAsia="Carlito"/>
          <w:b/>
        </w:rPr>
        <w:t xml:space="preserve">5. </w:t>
      </w:r>
      <w:r>
        <w:rPr>
          <w:rFonts w:eastAsia="Carlito"/>
        </w:rPr>
        <w:t>Test additive migrations against `TRADING_TEST_DATABASE_URL`; do not apply production migrations automatically.</w:t>
      </w:r>
    </w:p>
    <w:p>
      <w:pPr>
        <w:pStyle w:val="Normal"/>
        <w:keepLines/>
        <w:spacing w:before="0" w:after="60"/>
        <w:ind w:hanging="255" w:left="312"/>
        <w:rPr/>
      </w:pPr>
      <w:r>
        <w:rPr>
          <w:rFonts w:eastAsia="Carlito"/>
          <w:b/>
        </w:rPr>
        <w:t xml:space="preserve">6. </w:t>
      </w:r>
      <w:r>
        <w:rPr>
          <w:rFonts w:eastAsia="Carlito"/>
        </w:rPr>
        <w:t>Run phase tests, smoke test, affected legacy tests and cross-language vectors where applicable.</w:t>
      </w:r>
    </w:p>
    <w:p>
      <w:pPr>
        <w:pStyle w:val="Normal"/>
        <w:keepLines/>
        <w:spacing w:before="0" w:after="60"/>
        <w:ind w:hanging="255" w:left="312"/>
        <w:rPr/>
      </w:pPr>
      <w:r>
        <w:rPr>
          <w:rFonts w:eastAsia="Carlito"/>
          <w:b/>
        </w:rPr>
        <w:t xml:space="preserve">7. </w:t>
      </w:r>
      <w:r>
        <w:rPr>
          <w:rFonts w:eastAsia="Carlito"/>
        </w:rPr>
        <w:t>Save evidence, complete the phase report, commit and merge only after release approval.</w:t>
      </w:r>
    </w:p>
    <w:p>
      <w:pPr>
        <w:pStyle w:val="CodeBlock"/>
        <w:keepLines/>
        <w:spacing w:before="60" w:after="120"/>
        <w:rPr/>
      </w:pPr>
      <w:r>
        <w:rPr>
          <w:rFonts w:eastAsia="Carlito" w:ascii="Carlito" w:hAnsi="Carlito"/>
        </w:rPr>
        <w:t># inspect only</w:t>
        <w:br/>
        <w:t>bash APPLY_OVERLAY.sh /path/to/repo --dry-run</w:t>
        <w:br/>
        <w:br/>
        <w:t># full Codex integration</w:t>
        <w:br/>
        <w:t>bash RUN_CODEX.sh /path/to/repo</w:t>
        <w:br/>
        <w:br/>
        <w:t># concise low-context task</w:t>
        <w:br/>
        <w:t>bash RUN_LOW_CONTEXT_AGENT.sh /path/to/repo</w:t>
        <w:br/>
        <w:br/>
        <w:t># verification after integration</w:t>
        <w:br/>
        <w:t>bash VERIFY_PHASE.sh /path/to/repo</w:t>
      </w:r>
    </w:p>
    <w:p>
      <w:pPr>
        <w:pStyle w:val="Heading1"/>
        <w:keepLines/>
        <w:rPr/>
      </w:pPr>
      <w:bookmarkStart w:id="55" w:name="__RefHeading___Toc5315_2627061606"/>
      <w:bookmarkEnd w:id="55"/>
      <w:r>
        <w:rPr>
          <w:rFonts w:eastAsia="Carlito" w:ascii="Carlito" w:hAnsi="Carlito"/>
        </w:rPr>
        <w:t>Testing, Validation and Acceptance Strategy</w:t>
      </w:r>
    </w:p>
    <w:p>
      <w:pPr>
        <w:pStyle w:val="Normal"/>
        <w:keepLines/>
        <w:rPr/>
      </w:pPr>
      <w:r>
        <w:rPr>
          <w:rFonts w:eastAsia="Carlito"/>
        </w:rPr>
        <w:t>Testing is layered so developers receive fast calculation feedback while release confidence grows through database, historical, recovery and later paper/shadow evidence. No single synthetic test is treated as deployment proof.</w:t>
      </w:r>
    </w:p>
    <w:p>
      <w:pPr>
        <w:pStyle w:val="Normal"/>
        <w:keepLines/>
        <w:spacing w:before="0" w:after="40"/>
        <w:jc w:val="center"/>
        <w:rPr/>
      </w:pPr>
      <w:r>
        <w:rPr/>
        <w:drawing>
          <wp:inline distT="0" distB="0" distL="0" distR="0">
            <wp:extent cx="6047740" cy="319722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047740" cy="3197225"/>
                    </a:xfrm>
                    <a:prstGeom prst="rect">
                      <a:avLst/>
                    </a:prstGeom>
                    <a:noFill/>
                  </pic:spPr>
                </pic:pic>
              </a:graphicData>
            </a:graphic>
          </wp:inline>
        </w:drawing>
      </w:r>
    </w:p>
    <w:p>
      <w:pPr>
        <w:pStyle w:val="Caption"/>
        <w:keepLines/>
        <w:jc w:val="center"/>
        <w:rPr/>
      </w:pPr>
      <w:bookmarkStart w:id="56" w:name="figure6"/>
      <w:r>
        <w:rPr>
          <w:rFonts w:eastAsia="Carlito"/>
          <w:b/>
        </w:rPr>
        <w:t xml:space="preserve">Figure </w:t>
      </w:r>
      <w:r>
        <w:rPr>
          <w:rFonts w:eastAsia="Carlito"/>
        </w:rPr>
        <w:fldChar w:fldCharType="begin"/>
      </w:r>
      <w:r>
        <w:rPr>
          <w:rFonts w:eastAsia="Carlito"/>
        </w:rPr>
        <w:instrText xml:space="preserve"> SEQ Figure \* ARABIC </w:instrText>
      </w:r>
      <w:r>
        <w:rPr>
          <w:rFonts w:eastAsia="Carlito"/>
        </w:rPr>
        <w:fldChar w:fldCharType="separate"/>
      </w:r>
      <w:r>
        <w:rPr>
          <w:rFonts w:eastAsia="Carlito"/>
        </w:rPr>
        <w:t>6</w:t>
      </w:r>
      <w:r>
        <w:rPr>
          <w:rFonts w:eastAsia="Carlito"/>
        </w:rPr>
        <w:fldChar w:fldCharType="end"/>
      </w:r>
      <w:r>
        <w:rPr>
          <w:rFonts w:eastAsia="Carlito"/>
        </w:rPr>
        <w:t>: Verification stack and deployment-confidence boundary</w:t>
      </w:r>
      <w:bookmarkEnd w:id="56"/>
    </w:p>
    <w:p>
      <w:pPr>
        <w:pStyle w:val="Caption"/>
        <w:keepLines/>
        <w:jc w:val="center"/>
        <w:rPr/>
      </w:pPr>
      <w:bookmarkStart w:id="57" w:name="table15"/>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15</w:t>
      </w:r>
      <w:r>
        <w:rPr>
          <w:rFonts w:eastAsia="Carlito"/>
        </w:rPr>
        <w:fldChar w:fldCharType="end"/>
      </w:r>
      <w:r>
        <w:rPr>
          <w:rFonts w:eastAsia="Carlito"/>
        </w:rPr>
        <w:t>: Automated test layers and required evidence</w:t>
      </w:r>
      <w:bookmarkEnd w:id="57"/>
    </w:p>
    <w:tbl>
      <w:tblPr>
        <w:tblStyle w:val="TableGrid"/>
        <w:tblW w:w="99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2494"/>
        <w:gridCol w:w="2494"/>
        <w:gridCol w:w="2493"/>
      </w:tblGrid>
      <w:tr>
        <w:trPr>
          <w:tblHeader w:val="true"/>
          <w:cantSplit w:val="true"/>
        </w:trPr>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Layer</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Purpose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Examples</w:t>
            </w:r>
          </w:p>
        </w:tc>
        <w:tc>
          <w:tcPr>
            <w:tcW w:w="2493"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Release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Unit</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Calculation and state-transition correctness</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Fee rounding, indicators, Greeks, state machines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Deterministic pass/fail and edge cases</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Golden/property</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Cross-language and invariant parity</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Session/expiry, fees, Greeks, target tick, OHLC/accounting</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Pinned vectors and checksums</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PostgreSQL integration</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Migration, SQL and locking behaviour</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Idempotent migration, SKIP LOCKED, publish guard</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Disposable DB log and rollback</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Qualified replay</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Real historical semantics and compatibility</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Pinned sessions, legacy trade/result comparison</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Data snapshot hash and reconciliation</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Failure/recovery</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Operational restart and fail closed</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Kill worker, expire lease, stale source, failed validation</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Recovery and no-publication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Performance</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Full-host feasibility and collector isolation</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Ten-year benchmark, memory, DB load, collector latency</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Measured baseline and thresholds</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Later paper/shadow</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Historical/live execution fidelity</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Actual fills, slippage, parity and drift</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Separate deployment approval</w:t>
            </w:r>
          </w:p>
        </w:tc>
      </w:tr>
    </w:tbl>
    <w:p>
      <w:pPr>
        <w:pStyle w:val="Heading2"/>
        <w:keepLines/>
        <w:rPr/>
      </w:pPr>
      <w:bookmarkStart w:id="58" w:name="__RefHeading___Toc5317_2627061606"/>
      <w:bookmarkEnd w:id="58"/>
      <w:r>
        <w:rPr>
          <w:rFonts w:eastAsia="Carlito" w:ascii="Carlito" w:hAnsi="Carlito"/>
        </w:rPr>
        <w:t>Mandatory Invariants</w:t>
      </w:r>
    </w:p>
    <w:p>
      <w:pPr>
        <w:pStyle w:val="ListBullet"/>
        <w:keepLines/>
        <w:numPr>
          <w:ilvl w:val="0"/>
          <w:numId w:val="2"/>
        </w:numPr>
        <w:spacing w:before="0" w:after="60"/>
        <w:ind w:hanging="102" w:left="198"/>
        <w:contextualSpacing/>
        <w:rPr/>
      </w:pPr>
      <w:r>
        <w:rPr>
          <w:rFonts w:eastAsia="Carlito"/>
        </w:rPr>
        <w:t>`available_at` never precedes the source event and a strategy never observes a feature before availability.</w:t>
      </w:r>
    </w:p>
    <w:p>
      <w:pPr>
        <w:pStyle w:val="ListBullet"/>
        <w:keepLines/>
        <w:numPr>
          <w:ilvl w:val="0"/>
          <w:numId w:val="2"/>
        </w:numPr>
        <w:spacing w:before="0" w:after="60"/>
        <w:ind w:hanging="102" w:left="198"/>
        <w:contextualSpacing/>
        <w:rPr/>
      </w:pPr>
      <w:r>
        <w:rPr>
          <w:rFonts w:eastAsia="Carlito"/>
        </w:rPr>
        <w:t>A completed-bar signal cannot fill before the next executable event.</w:t>
      </w:r>
    </w:p>
    <w:p>
      <w:pPr>
        <w:pStyle w:val="ListBullet"/>
        <w:keepLines/>
        <w:numPr>
          <w:ilvl w:val="0"/>
          <w:numId w:val="2"/>
        </w:numPr>
        <w:spacing w:before="0" w:after="60"/>
        <w:ind w:hanging="102" w:left="198"/>
        <w:contextualSpacing/>
        <w:rPr/>
      </w:pPr>
      <w:r>
        <w:rPr>
          <w:rFonts w:eastAsia="Carlito"/>
        </w:rPr>
        <w:t>`net_pnl = gross_pnl − total_cost` and gross equity equals cash plus market value.</w:t>
      </w:r>
    </w:p>
    <w:p>
      <w:pPr>
        <w:pStyle w:val="ListBullet"/>
        <w:keepLines/>
        <w:numPr>
          <w:ilvl w:val="0"/>
          <w:numId w:val="2"/>
        </w:numPr>
        <w:spacing w:before="0" w:after="60"/>
        <w:ind w:hanging="102" w:left="198"/>
        <w:contextualSpacing/>
        <w:rPr/>
      </w:pPr>
      <w:r>
        <w:rPr>
          <w:rFonts w:eastAsia="Carlito"/>
        </w:rPr>
        <w:t>Net liquidation value includes estimated exit costs and does not exceed gross equity under non-negative costs.</w:t>
      </w:r>
    </w:p>
    <w:p>
      <w:pPr>
        <w:pStyle w:val="ListBullet"/>
        <w:keepLines/>
        <w:numPr>
          <w:ilvl w:val="0"/>
          <w:numId w:val="2"/>
        </w:numPr>
        <w:spacing w:before="0" w:after="60"/>
        <w:ind w:hanging="102" w:left="198"/>
        <w:contextualSpacing/>
        <w:rPr/>
      </w:pPr>
      <w:r>
        <w:rPr>
          <w:rFonts w:eastAsia="Carlito"/>
        </w:rPr>
        <w:t>Historical universe and option-contract membership are effective-dated.</w:t>
      </w:r>
    </w:p>
    <w:p>
      <w:pPr>
        <w:pStyle w:val="ListBullet"/>
        <w:keepLines/>
        <w:numPr>
          <w:ilvl w:val="0"/>
          <w:numId w:val="2"/>
        </w:numPr>
        <w:spacing w:before="0" w:after="60"/>
        <w:ind w:hanging="102" w:left="198"/>
        <w:contextualSpacing/>
        <w:rPr/>
      </w:pPr>
      <w:r>
        <w:rPr>
          <w:rFonts w:eastAsia="Carlito"/>
        </w:rPr>
        <w:t>A run cannot publish unless every expected shard is complete and every mandatory validation passes.</w:t>
      </w:r>
    </w:p>
    <w:p>
      <w:pPr>
        <w:pStyle w:val="ListBullet"/>
        <w:keepLines/>
        <w:numPr>
          <w:ilvl w:val="0"/>
          <w:numId w:val="2"/>
        </w:numPr>
        <w:spacing w:before="0" w:after="60"/>
        <w:ind w:hanging="102" w:left="198"/>
        <w:contextualSpacing/>
        <w:rPr/>
      </w:pPr>
      <w:r>
        <w:rPr>
          <w:rFonts w:eastAsia="Carlito"/>
        </w:rPr>
        <w:t>Model calibration uses strictly chronological out-of-fold predictions and an untouched final holdout is frozen before selection.</w:t>
      </w:r>
    </w:p>
    <w:p>
      <w:pPr>
        <w:pStyle w:val="Heading1"/>
        <w:keepLines/>
        <w:rPr/>
      </w:pPr>
      <w:bookmarkStart w:id="59" w:name="__RefHeading___Toc5319_2627061606"/>
      <w:bookmarkEnd w:id="59"/>
      <w:r>
        <w:rPr>
          <w:rFonts w:eastAsia="Carlito" w:ascii="Carlito" w:hAnsi="Carlito"/>
        </w:rPr>
        <w:t>Stepwise Implementation Roadmap</w:t>
      </w:r>
    </w:p>
    <w:p>
      <w:pPr>
        <w:pStyle w:val="Caption"/>
        <w:keepLines/>
        <w:jc w:val="center"/>
        <w:rPr/>
      </w:pPr>
      <w:bookmarkStart w:id="60" w:name="table16"/>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16</w:t>
      </w:r>
      <w:r>
        <w:rPr>
          <w:rFonts w:eastAsia="Carlito"/>
        </w:rPr>
        <w:fldChar w:fldCharType="end"/>
      </w:r>
      <w:r>
        <w:rPr>
          <w:rFonts w:eastAsia="Carlito"/>
        </w:rPr>
        <w:t>: Implementation sequence and exit evidence</w:t>
      </w:r>
      <w:bookmarkEnd w:id="60"/>
    </w:p>
    <w:tbl>
      <w:tblPr>
        <w:tblStyle w:val="TableGrid"/>
        <w:tblW w:w="99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2494"/>
        <w:gridCol w:w="2494"/>
        <w:gridCol w:w="2493"/>
      </w:tblGrid>
      <w:tr>
        <w:trPr>
          <w:tblHeader w:val="true"/>
          <w:cantSplit w:val="true"/>
        </w:trPr>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Step</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Action</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Owner</w:t>
            </w:r>
          </w:p>
        </w:tc>
        <w:tc>
          <w:tcPr>
            <w:tcW w:w="2493"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Exit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Assign Phase 1 owners; run historical file and PostgreSQL preflight</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Platform + data</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Qualification report and source manifest</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Freeze session/expiry/data contracts</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Platform architect</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Golden vectors and approved contract version</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Integrate Phase 2 costs/features/SDK/simulator</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Quant + backtest</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Contract-note reconciliation and event tests</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Run a narrow qualified historical vertical slice</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Backtest + QA</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Trades, equity, metrics and reproducible checksum</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Integrate Phase 3 sharding/restart/publication</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Platform + DB</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Kill/restart and failed-publish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6</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Expand to full qualified equity scope and benchmark host</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Data + platform</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Performance and collector-latency report</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7</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Freeze an untouched holdout; begin Phase 4 discovery</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Quant + ML</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Split registry and leakage audit</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8</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Replay frozen candidates through Phase 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Quant + QA</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Out-of-sample metrics and calibration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9</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Qualify actual option contracts/premium history</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Derivatives + data</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Coverage/freshness report</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10</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Integrate Phase 5 option/parity/pack services</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Derivatives + reporting</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Actual-premium, parity and archive tests</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11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Open separate paper/shadow programme</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Risk + live integration</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Independent approval; outside this delivery</w:t>
            </w:r>
          </w:p>
        </w:tc>
      </w:tr>
    </w:tbl>
    <w:p>
      <w:pPr>
        <w:pStyle w:val="Heading2"/>
        <w:keepLines/>
        <w:rPr/>
      </w:pPr>
      <w:bookmarkStart w:id="61" w:name="__RefHeading___Toc5321_2627061606"/>
      <w:bookmarkEnd w:id="61"/>
      <w:r>
        <w:rPr>
          <w:rFonts w:eastAsia="Carlito" w:ascii="Carlito" w:hAnsi="Carlito"/>
        </w:rPr>
        <w:t>Programme Success Criteria</w:t>
      </w:r>
    </w:p>
    <w:p>
      <w:pPr>
        <w:pStyle w:val="Caption"/>
        <w:keepLines/>
        <w:jc w:val="center"/>
        <w:rPr/>
      </w:pPr>
      <w:bookmarkStart w:id="62" w:name="table17"/>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17</w:t>
      </w:r>
      <w:r>
        <w:rPr>
          <w:rFonts w:eastAsia="Carlito"/>
        </w:rPr>
        <w:fldChar w:fldCharType="end"/>
      </w:r>
      <w:r>
        <w:rPr>
          <w:rFonts w:eastAsia="Carlito"/>
        </w:rPr>
        <w:t>: Programme-level success measures</w:t>
      </w:r>
      <w:bookmarkEnd w:id="62"/>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Quality attribute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Success measure</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Correctness</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 known look-ahead, survivorship, cross-symbol indicator or fee inconsistency</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Reproducibility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Same run identity and pinned inputs produce identical output checksums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Recovery</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Interrupted work resumes from the last durable shard/checkpoint</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Financial fidelity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Charges reconcile to approved broker vectors and targets use exchange-valid ticks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Research validity</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Walk-forward, holdout, calibration and complete trial history are retained</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Operational safety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Failed quality, freshness or validation gates fail closed and cannot publish</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Extensibility</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 new strategy requires a manifest, plug-in and tests rather than an engine rewrite</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Parity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Historical and incremental replay match for certified features and signals</w:t>
            </w:r>
          </w:p>
        </w:tc>
      </w:tr>
    </w:tbl>
    <w:p>
      <w:pPr>
        <w:pStyle w:val="Heading1"/>
        <w:keepLines/>
        <w:rPr/>
      </w:pPr>
      <w:bookmarkStart w:id="63" w:name="__RefHeading___Toc5323_2627061606"/>
      <w:bookmarkEnd w:id="63"/>
      <w:r>
        <w:rPr>
          <w:rFonts w:eastAsia="Carlito" w:ascii="Carlito" w:hAnsi="Carlito"/>
        </w:rPr>
        <w:t>Code Delivery and Package Guide</w:t>
      </w:r>
    </w:p>
    <w:p>
      <w:pPr>
        <w:pStyle w:val="Normal"/>
        <w:keepLines/>
        <w:rPr/>
      </w:pPr>
      <w:r>
        <w:rPr>
          <w:rFonts w:eastAsia="Carlito"/>
        </w:rPr>
        <w:t>The code is delivered both as five sequential phase ZIPs and as one cumulative reference implementation. Each phase ZIP contains only that phase delta and is applied after its predecessor. It also contains a complete integration contract for a high-context Codex session and a short task that a low-context coding agent can execute directly.</w:t>
      </w:r>
    </w:p>
    <w:p>
      <w:pPr>
        <w:pStyle w:val="Caption"/>
        <w:keepLines/>
        <w:jc w:val="center"/>
        <w:rPr/>
      </w:pPr>
      <w:bookmarkStart w:id="64" w:name="table18"/>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18</w:t>
      </w:r>
      <w:r>
        <w:rPr>
          <w:rFonts w:eastAsia="Carlito"/>
        </w:rPr>
        <w:fldChar w:fldCharType="end"/>
      </w:r>
      <w:r>
        <w:rPr>
          <w:rFonts w:eastAsia="Carlito"/>
        </w:rPr>
        <w:t>: Delivery package catalogue</w:t>
      </w:r>
      <w:bookmarkEnd w:id="64"/>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26"/>
        <w:gridCol w:w="3326"/>
        <w:gridCol w:w="3327"/>
      </w:tblGrid>
      <w:tr>
        <w:trPr>
          <w:tblHeader w:val="true"/>
          <w:cantSplit w:val="true"/>
        </w:trPr>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File</w:t>
            </w:r>
          </w:p>
        </w:tc>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Purpose</w:t>
            </w:r>
          </w:p>
        </w:tc>
        <w:tc>
          <w:tcPr>
            <w:tcW w:w="3327"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Order</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NIFTY_BACKTEST_PHASE_01_DATA_FOUNDATION_V1.0.zip</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 overlay, migration 001, qualification tests, prompts and runners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First</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NIFTY_BACKTEST_PHASE_02_ECONOMICS_SIMULATOR_V1.0.zip</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 overlay, migration 002, fee/feature/simulator tests</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After Phase 1</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NIFTY_BACKTEST_PHASE_03_RESUMABLE_REPLAY_V1.0.zip</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 overlay, migration 003, run/restart/result tests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After Phase 2</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NIFTY_BACKTEST_PHASE_04_DISCOVERY_CALIBRATION_V1.0.zip</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 overlay, migration 004, discovery/calibration tests</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After Phase 3</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NIFTY_BACKTEST_PHASE_05_OPTIONS_PARITY_PACKS_V1.0.zip</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 overlay, migration 005, options/parity/pack tests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After Phase 4</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NIFTY_BACKTEST_INTEGRATED_REFERENCE_V1.0.zip</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Cumulative package with all source, migrations, schemas, vectors and tests</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Reference/review</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NIFTY_BACKTESTING_FIVE_PHASE_COMPLETE_DELIVERY_V1.0.zip</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Roadmap, all phase ZIPs, cumulative ZIP and checksum manifest</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Archive/handover</w:t>
            </w:r>
          </w:p>
        </w:tc>
      </w:tr>
    </w:tbl>
    <w:p>
      <w:pPr>
        <w:pStyle w:val="Heading2"/>
        <w:keepLines/>
        <w:rPr/>
      </w:pPr>
      <w:bookmarkStart w:id="65" w:name="__RefHeading___Toc5325_2627061606"/>
      <w:bookmarkEnd w:id="65"/>
      <w:r>
        <w:rPr>
          <w:rFonts w:eastAsia="Carlito" w:ascii="Carlito" w:hAnsi="Carlito"/>
        </w:rPr>
        <w:t>Contents of Every Phase ZIP</w:t>
      </w:r>
    </w:p>
    <w:p>
      <w:pPr>
        <w:pStyle w:val="ListBullet"/>
        <w:keepLines/>
        <w:numPr>
          <w:ilvl w:val="0"/>
          <w:numId w:val="2"/>
        </w:numPr>
        <w:spacing w:before="0" w:after="60"/>
        <w:ind w:hanging="102" w:left="198"/>
        <w:contextualSpacing/>
        <w:rPr/>
      </w:pPr>
      <w:r>
        <w:rPr>
          <w:rFonts w:eastAsia="Carlito"/>
        </w:rPr>
        <w:t>`overlay/platform/nifty_stratlab/`: phase-specific source, migration, schemas/vectors and tests.</w:t>
      </w:r>
    </w:p>
    <w:p>
      <w:pPr>
        <w:pStyle w:val="ListBullet"/>
        <w:keepLines/>
        <w:numPr>
          <w:ilvl w:val="0"/>
          <w:numId w:val="2"/>
        </w:numPr>
        <w:spacing w:before="0" w:after="60"/>
        <w:ind w:hanging="102" w:left="198"/>
        <w:contextualSpacing/>
        <w:rPr/>
      </w:pPr>
      <w:r>
        <w:rPr>
          <w:rFonts w:eastAsia="Carlito"/>
        </w:rPr>
        <w:t>`CODEX_PROMPT.md`: full repository-inspection, integration, migration, test, review and handover contract.</w:t>
      </w:r>
    </w:p>
    <w:p>
      <w:pPr>
        <w:pStyle w:val="ListBullet"/>
        <w:keepLines/>
        <w:numPr>
          <w:ilvl w:val="0"/>
          <w:numId w:val="2"/>
        </w:numPr>
        <w:spacing w:before="0" w:after="60"/>
        <w:ind w:hanging="102" w:left="198"/>
        <w:contextualSpacing/>
        <w:rPr/>
      </w:pPr>
      <w:r>
        <w:rPr>
          <w:rFonts w:eastAsia="Carlito"/>
        </w:rPr>
        <w:t>`LOW_CONTEXT_TASK.md`: concise bounded task for a low-context agent.</w:t>
      </w:r>
    </w:p>
    <w:p>
      <w:pPr>
        <w:pStyle w:val="ListBullet"/>
        <w:keepLines/>
        <w:numPr>
          <w:ilvl w:val="0"/>
          <w:numId w:val="2"/>
        </w:numPr>
        <w:spacing w:before="0" w:after="60"/>
        <w:ind w:hanging="102" w:left="198"/>
        <w:contextualSpacing/>
        <w:rPr/>
      </w:pPr>
      <w:r>
        <w:rPr>
          <w:rFonts w:eastAsia="Carlito"/>
        </w:rPr>
        <w:t>`RUN_CODEX.sh/.ps1` and `RUN_LOW_CONTEXT_AGENT.sh/.ps1`: direct non-interactive execution wrappers.</w:t>
      </w:r>
    </w:p>
    <w:p>
      <w:pPr>
        <w:pStyle w:val="ListBullet"/>
        <w:keepLines/>
        <w:numPr>
          <w:ilvl w:val="0"/>
          <w:numId w:val="2"/>
        </w:numPr>
        <w:spacing w:before="0" w:after="60"/>
        <w:ind w:hanging="102" w:left="198"/>
        <w:contextualSpacing/>
        <w:rPr/>
      </w:pPr>
      <w:r>
        <w:rPr>
          <w:rFonts w:eastAsia="Carlito"/>
        </w:rPr>
        <w:t>`APPLY_OVERLAY.py/.sh/.ps1`: dry-run-capable copier with timestamped backup of overwritten files.</w:t>
      </w:r>
    </w:p>
    <w:p>
      <w:pPr>
        <w:pStyle w:val="ListBullet"/>
        <w:keepLines/>
        <w:numPr>
          <w:ilvl w:val="0"/>
          <w:numId w:val="2"/>
        </w:numPr>
        <w:spacing w:before="0" w:after="60"/>
        <w:ind w:hanging="102" w:left="198"/>
        <w:contextualSpacing/>
        <w:rPr/>
      </w:pPr>
      <w:r>
        <w:rPr>
          <w:rFonts w:eastAsia="Carlito"/>
        </w:rPr>
        <w:t>`VERIFY_PHASE.sh/.ps1`: compile, phase tests and smoke test.</w:t>
      </w:r>
    </w:p>
    <w:p>
      <w:pPr>
        <w:pStyle w:val="ListBullet"/>
        <w:keepLines/>
        <w:numPr>
          <w:ilvl w:val="0"/>
          <w:numId w:val="2"/>
        </w:numPr>
        <w:spacing w:before="0" w:after="60"/>
        <w:ind w:hanging="102" w:left="198"/>
        <w:contextualSpacing/>
        <w:rPr/>
      </w:pPr>
      <w:r>
        <w:rPr>
          <w:rFonts w:eastAsia="Carlito"/>
        </w:rPr>
        <w:t>`PHASE_PLAN.md`, `INTEGRATION_MAP.md`, `ACCEPTANCE_CRITERIA.md`, `SOURCE_BASIS.md` and `MANIFEST.json`.</w:t>
      </w:r>
    </w:p>
    <w:p>
      <w:pPr>
        <w:pStyle w:val="Heading2"/>
        <w:keepLines/>
        <w:rPr/>
      </w:pPr>
      <w:bookmarkStart w:id="66" w:name="__RefHeading___Toc5327_2627061606"/>
      <w:bookmarkEnd w:id="66"/>
      <w:r>
        <w:rPr>
          <w:rFonts w:eastAsia="Carlito" w:ascii="Carlito" w:hAnsi="Carlito"/>
        </w:rPr>
        <w:t>Reference Implementation Verification</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18794E"/>
            </w:tcBorders>
            <w:shd w:fill="EAF7F0"/>
          </w:tcPr>
          <w:p>
            <w:pPr>
              <w:pStyle w:val="Normal"/>
              <w:spacing w:before="0" w:after="0"/>
              <w:rPr/>
            </w:pPr>
            <w:r>
              <w:rPr>
                <w:b/>
                <w:color w:val="18794E"/>
                <w:sz w:val="21"/>
              </w:rPr>
              <w:t>Verified in this delivery</w:t>
            </w:r>
            <w:r>
              <w:rPr/>
              <w:br/>
              <w:t>Python source compiled successfully; 22 automated tests passed; all five phase smoke tests passed; the five overlays were applied sequentially to a clean mock Git repository; every cumulative phase verifier passed; and CLI demonstrations completed for equity replay, deterministic run planning, reverse discovery/calibration, option simulation, parity, research packs and the net-target solver.</w:t>
            </w:r>
          </w:p>
        </w:tc>
      </w:tr>
    </w:tbl>
    <w:p>
      <w:pPr>
        <w:pStyle w:val="Normal"/>
        <w:keepLines/>
        <w:rPr/>
      </w:pPr>
      <w:r>
        <w:rPr>
          <w:rFonts w:eastAsia="Carlito"/>
        </w:rPr>
        <w:t>This evidence validates the reference code and packaging only. It does not prove deployment into the actual repository, operation against the real PostgreSQL server, qualification of the complete eight-plus-gigabyte historical estate, or production readiness of fee schedules and option history.</w:t>
      </w:r>
    </w:p>
    <w:p>
      <w:pPr>
        <w:pStyle w:val="Heading1"/>
        <w:keepLines/>
        <w:rPr/>
      </w:pPr>
      <w:bookmarkStart w:id="67" w:name="__RefHeading___Toc5329_2627061606"/>
      <w:bookmarkEnd w:id="67"/>
      <w:r>
        <w:rPr>
          <w:rFonts w:eastAsia="Carlito" w:ascii="Carlito" w:hAnsi="Carlito"/>
        </w:rPr>
        <w:t>Risks, Assumptions and Open Decisions</w:t>
      </w:r>
    </w:p>
    <w:p>
      <w:pPr>
        <w:pStyle w:val="Caption"/>
        <w:keepLines/>
        <w:jc w:val="center"/>
        <w:rPr/>
      </w:pPr>
      <w:bookmarkStart w:id="68" w:name="table19"/>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19</w:t>
      </w:r>
      <w:r>
        <w:rPr>
          <w:rFonts w:eastAsia="Carlito"/>
        </w:rPr>
        <w:fldChar w:fldCharType="end"/>
      </w:r>
      <w:r>
        <w:rPr>
          <w:rFonts w:eastAsia="Carlito"/>
        </w:rPr>
        <w:t>: Principal implementation risks and controls</w:t>
      </w:r>
      <w:bookmarkEnd w:id="68"/>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26"/>
        <w:gridCol w:w="3326"/>
        <w:gridCol w:w="3327"/>
      </w:tblGrid>
      <w:tr>
        <w:trPr>
          <w:tblHeader w:val="true"/>
          <w:cantSplit w:val="true"/>
        </w:trPr>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Risk</w:t>
            </w:r>
          </w:p>
        </w:tc>
        <w:tc>
          <w:tcPr>
            <w:tcW w:w="3326"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Impact</w:t>
            </w:r>
          </w:p>
        </w:tc>
        <w:tc>
          <w:tcPr>
            <w:tcW w:w="3327"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Control / decision</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Historical file quality unknown</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False signals, missing sessions or corporate-action discontinuities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Mandatory qualification, quarantine and overlapping-source reconciliation</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Options history too short</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Overconfident expiry/Greek conclusions</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Qualify actual contracts/premiums; restrict evidence window until backfill exists</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Market-rule changes</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Wrong session or expiry in historical replay</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Effective-dated calendar/expiry master and golden vectors</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Execution edge smaller than friction</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t>
            </w:r>
            <w:r>
              <w:rPr>
                <w:rFonts w:cs=""/>
                <w:color w:val="172033"/>
                <w:kern w:val="0"/>
                <w:sz w:val="17"/>
                <w:szCs w:val="22"/>
                <w:lang w:val="en-US" w:eastAsia="en-US" w:bidi="ar-SA"/>
              </w:rPr>
              <w:t>500 target consumed by charges/slippage</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Complete costs, tick solver and execution sensitivity</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Automatic carry adverse selection</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Losing intraday positions become overnight risk</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Separate conditional carry policy in later strategy work; compare force-close versus carry</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Overfitting across many ideas</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Best historical result may be luck</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Complete trial ledger, walk-forward, untouched holdout and later multiple-testing controls</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Concurrent developer divergence</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Duplicate calculations and incompatible schemas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Bounded ownership, ADRs, contracts, vectors and consumer tests</w:t>
            </w:r>
          </w:p>
        </w:tc>
      </w:tr>
      <w:tr>
        <w:trPr>
          <w:cantSplit w:val="true"/>
        </w:trPr>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Operational DB overload</w:t>
            </w:r>
          </w:p>
        </w:tc>
        <w:tc>
          <w:tcPr>
            <w:tcW w:w="3326"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Research affects live collector writes</w:t>
            </w:r>
          </w:p>
        </w:tc>
        <w:tc>
          <w:tcPr>
            <w:tcW w:w="3327"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Partition pruning, query budgets, benchmark, optional analytical cache/replica</w:t>
            </w:r>
          </w:p>
        </w:tc>
      </w:tr>
      <w:tr>
        <w:trPr>
          <w:cantSplit w:val="true"/>
        </w:trPr>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Broker/API mismatch in later programme</w:t>
            </w:r>
          </w:p>
        </w:tc>
        <w:tc>
          <w:tcPr>
            <w:tcW w:w="3326"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Duplicate or unmanaged positions</w:t>
            </w:r>
          </w:p>
        </w:tc>
        <w:tc>
          <w:tcPr>
            <w:tcW w:w="3327"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Outside this delivery: reconciliation, idempotency, fail closed and kill switch</w:t>
            </w:r>
          </w:p>
        </w:tc>
      </w:tr>
    </w:tbl>
    <w:p>
      <w:pPr>
        <w:pStyle w:val="Heading2"/>
        <w:keepLines/>
        <w:rPr/>
      </w:pPr>
      <w:bookmarkStart w:id="69" w:name="__RefHeading___Toc5331_2627061606"/>
      <w:bookmarkEnd w:id="69"/>
      <w:r>
        <w:rPr>
          <w:rFonts w:eastAsia="Carlito" w:ascii="Carlito" w:hAnsi="Carlito"/>
        </w:rPr>
        <w:t>Decisions Requiring Target-Environment Confirmation</w:t>
      </w:r>
    </w:p>
    <w:p>
      <w:pPr>
        <w:pStyle w:val="ListBullet"/>
        <w:keepLines/>
        <w:numPr>
          <w:ilvl w:val="0"/>
          <w:numId w:val="2"/>
        </w:numPr>
        <w:spacing w:before="0" w:after="60"/>
        <w:ind w:hanging="102" w:left="198"/>
        <w:contextualSpacing/>
        <w:rPr/>
      </w:pPr>
      <w:r>
        <w:rPr>
          <w:rFonts w:eastAsia="Carlito"/>
        </w:rPr>
        <w:t>Actual target repository path, service topology and dependency-management convention.</w:t>
      </w:r>
    </w:p>
    <w:p>
      <w:pPr>
        <w:pStyle w:val="ListBullet"/>
        <w:keepLines/>
        <w:numPr>
          <w:ilvl w:val="0"/>
          <w:numId w:val="2"/>
        </w:numPr>
        <w:spacing w:before="0" w:after="60"/>
        <w:ind w:hanging="102" w:left="198"/>
        <w:contextualSpacing/>
        <w:rPr/>
      </w:pPr>
      <w:r>
        <w:rPr>
          <w:rFonts w:eastAsia="Carlito"/>
        </w:rPr>
        <w:t>Reference compute host and measured full-scope runtime/memory/database-load target.</w:t>
      </w:r>
    </w:p>
    <w:p>
      <w:pPr>
        <w:pStyle w:val="ListBullet"/>
        <w:keepLines/>
        <w:numPr>
          <w:ilvl w:val="0"/>
          <w:numId w:val="2"/>
        </w:numPr>
        <w:spacing w:before="0" w:after="60"/>
        <w:ind w:hanging="102" w:left="198"/>
        <w:contextualSpacing/>
        <w:rPr/>
      </w:pPr>
      <w:r>
        <w:rPr>
          <w:rFonts w:eastAsia="Carlito"/>
        </w:rPr>
        <w:t>Historical source precedence when community CSV and exchange/verified data disagree.</w:t>
      </w:r>
    </w:p>
    <w:p>
      <w:pPr>
        <w:pStyle w:val="ListBullet"/>
        <w:keepLines/>
        <w:numPr>
          <w:ilvl w:val="0"/>
          <w:numId w:val="2"/>
        </w:numPr>
        <w:spacing w:before="0" w:after="60"/>
        <w:ind w:hanging="102" w:left="198"/>
        <w:contextualSpacing/>
        <w:rPr/>
      </w:pPr>
      <w:r>
        <w:rPr>
          <w:rFonts w:eastAsia="Carlito"/>
        </w:rPr>
        <w:t>Production-approved fee schedules and effective dates reconciled against contract notes.</w:t>
      </w:r>
    </w:p>
    <w:p>
      <w:pPr>
        <w:pStyle w:val="ListBullet"/>
        <w:keepLines/>
        <w:numPr>
          <w:ilvl w:val="0"/>
          <w:numId w:val="2"/>
        </w:numPr>
        <w:spacing w:before="0" w:after="60"/>
        <w:ind w:hanging="102" w:left="198"/>
        <w:contextualSpacing/>
        <w:rPr/>
      </w:pPr>
      <w:r>
        <w:rPr>
          <w:rFonts w:eastAsia="Carlito"/>
        </w:rPr>
        <w:t>Initial point-in-time universe, liquidity and eligibility filters.</w:t>
      </w:r>
    </w:p>
    <w:p>
      <w:pPr>
        <w:pStyle w:val="ListBullet"/>
        <w:keepLines/>
        <w:numPr>
          <w:ilvl w:val="0"/>
          <w:numId w:val="2"/>
        </w:numPr>
        <w:spacing w:before="0" w:after="60"/>
        <w:ind w:hanging="102" w:left="198"/>
        <w:contextualSpacing/>
        <w:rPr/>
      </w:pPr>
      <w:r>
        <w:rPr>
          <w:rFonts w:eastAsia="Carlito"/>
        </w:rPr>
        <w:t>Swing stop/horizon policy and intraday-to-swing carry criteria for each strategy version.</w:t>
      </w:r>
    </w:p>
    <w:p>
      <w:pPr>
        <w:pStyle w:val="ListBullet"/>
        <w:keepLines/>
        <w:numPr>
          <w:ilvl w:val="0"/>
          <w:numId w:val="2"/>
        </w:numPr>
        <w:spacing w:before="0" w:after="60"/>
        <w:ind w:hanging="102" w:left="198"/>
        <w:contextualSpacing/>
        <w:rPr/>
      </w:pPr>
      <w:r>
        <w:rPr>
          <w:rFonts w:eastAsia="Carlito"/>
        </w:rPr>
        <w:t>Authoritative/licensed source for historical option contracts and premium bars.</w:t>
      </w:r>
    </w:p>
    <w:p>
      <w:pPr>
        <w:pStyle w:val="ListBullet"/>
        <w:keepLines/>
        <w:numPr>
          <w:ilvl w:val="0"/>
          <w:numId w:val="2"/>
        </w:numPr>
        <w:spacing w:before="0" w:after="60"/>
        <w:ind w:hanging="102" w:left="198"/>
        <w:contextualSpacing/>
        <w:rPr/>
      </w:pPr>
      <w:r>
        <w:rPr>
          <w:rFonts w:eastAsia="Carlito"/>
        </w:rPr>
        <w:t>Separate approval path for paper, shadow and any later constrained-live authority.</w:t>
      </w:r>
    </w:p>
    <w:p>
      <w:pPr>
        <w:pStyle w:val="Heading1"/>
        <w:keepLines/>
        <w:rPr/>
      </w:pPr>
      <w:bookmarkStart w:id="70" w:name="__RefHeading___Toc5333_2627061606"/>
      <w:bookmarkEnd w:id="70"/>
      <w:r>
        <w:rPr>
          <w:rFonts w:eastAsia="Carlito" w:ascii="Carlito" w:hAnsi="Carlito"/>
        </w:rPr>
        <w:t>Conclusion and Immediate Next Action</w:t>
      </w:r>
    </w:p>
    <w:p>
      <w:pPr>
        <w:pStyle w:val="Normal"/>
        <w:keepLines/>
        <w:rPr/>
      </w:pPr>
      <w:r>
        <w:rPr>
          <w:rFonts w:eastAsia="Carlito"/>
        </w:rPr>
        <w:t>The correct next action is not to add another isolated indicator or strategy script. It is to integrate Phase 1 into the actual repository, run its source and database qualification against the real paths, and freeze the calendar/data contracts. Phase 2 then creates the economic and execution truth on which all later strategies depend. Only after resumable Phase 3 replay is stable should reverse discovery begin, and only after actual option premium history passes qualification should Phase 5 option claims be considered.</w:t>
      </w:r>
    </w:p>
    <w:tbl>
      <w:tblPr>
        <w:tblW w:w="9524" w:type="dxa"/>
        <w:jc w:val="center"/>
        <w:tblInd w:w="0" w:type="dxa"/>
        <w:tblLayout w:type="fixed"/>
        <w:tblCellMar>
          <w:top w:w="110" w:type="dxa"/>
          <w:left w:w="160" w:type="dxa"/>
          <w:bottom w:w="110" w:type="dxa"/>
          <w:right w:w="160" w:type="dxa"/>
        </w:tblCellMar>
        <w:tblLook w:val="04a0" w:noHBand="0" w:noVBand="1" w:firstColumn="1" w:lastRow="0" w:lastColumn="0" w:firstRow="1"/>
      </w:tblPr>
      <w:tblGrid>
        <w:gridCol w:w="9524"/>
      </w:tblGrid>
      <w:tr>
        <w:trPr/>
        <w:tc>
          <w:tcPr>
            <w:tcW w:w="9524" w:type="dxa"/>
            <w:tcBorders>
              <w:left w:val="single" w:sz="12" w:space="0" w:color="0B2C6B"/>
            </w:tcBorders>
            <w:shd w:fill="EAF2FC"/>
          </w:tcPr>
          <w:p>
            <w:pPr>
              <w:pStyle w:val="Normal"/>
              <w:spacing w:before="0" w:after="0"/>
              <w:rPr/>
            </w:pPr>
            <w:r>
              <w:rPr>
                <w:b/>
                <w:color w:val="0B2C6B"/>
                <w:sz w:val="21"/>
              </w:rPr>
              <w:t>Recommended programme start</w:t>
            </w:r>
            <w:r>
              <w:rPr/>
              <w:br/>
              <w:t>Assign one Phase 1 owner, one data-qualification workstream and one contract/calendar workstream. Run the Phase 1 Codex integration script against the target repository, review its dry-run and qualification evidence, and do not open Phase 2 for merge until the Phase 1 acceptance register is complete.</w:t>
            </w:r>
          </w:p>
        </w:tc>
      </w:tr>
    </w:tbl>
    <w:p>
      <w:pPr>
        <w:pStyle w:val="Heading1"/>
        <w:keepLines/>
        <w:rPr/>
      </w:pPr>
      <w:bookmarkStart w:id="71" w:name="__RefHeading___Toc5335_2627061606"/>
      <w:bookmarkEnd w:id="71"/>
      <w:r>
        <w:rPr>
          <w:rFonts w:eastAsia="Carlito" w:ascii="Carlito" w:hAnsi="Carlito"/>
        </w:rPr>
        <w:t>Appendix: Complete Phase Acceptance Register</w:t>
      </w:r>
    </w:p>
    <w:p>
      <w:pPr>
        <w:pStyle w:val="Caption"/>
        <w:keepLines/>
        <w:jc w:val="center"/>
        <w:rPr/>
      </w:pPr>
      <w:bookmarkStart w:id="72" w:name="table20"/>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20</w:t>
      </w:r>
      <w:r>
        <w:rPr>
          <w:rFonts w:eastAsia="Carlito"/>
        </w:rPr>
        <w:fldChar w:fldCharType="end"/>
      </w:r>
      <w:r>
        <w:rPr>
          <w:rFonts w:eastAsia="Carlito"/>
        </w:rPr>
        <w:t>: Complete acceptance register</w:t>
      </w:r>
      <w:bookmarkEnd w:id="72"/>
    </w:p>
    <w:tbl>
      <w:tblPr>
        <w:tblStyle w:val="TableGrid"/>
        <w:tblW w:w="99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2494"/>
        <w:gridCol w:w="2494"/>
        <w:gridCol w:w="2493"/>
      </w:tblGrid>
      <w:tr>
        <w:trPr>
          <w:tblHeader w:val="true"/>
          <w:cantSplit w:val="true"/>
        </w:trPr>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ID</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Phase</w:t>
            </w:r>
          </w:p>
        </w:tc>
        <w:tc>
          <w:tcPr>
            <w:tcW w:w="2494"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Mandatory criterion</w:t>
            </w:r>
          </w:p>
        </w:tc>
        <w:tc>
          <w:tcPr>
            <w:tcW w:w="2493"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Initial status</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AC-01-01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All Phase 1 tests and smoke test pass from a clean virtual environment.</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AC-01-02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Every admitted source file has SHA-256, schema profile, timestamp range and explicit PASS/WARN/FAIL status.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AC-01-03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Conflicting duplicate bars and invalid OHLC rows force quarantine.</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AC-01-04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 historical query can resolve the universe as of a supplied date rather than current constituents.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AC-01-05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NSE CM resolves 375 one-minute bars for 09:15–15:30; configured F&amp;O session changes resolve by effective date.</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AC-01-06</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1</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 production database write occurs during qualification; migration execution is separately authorised.</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AC-02-01</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Every golden fee vector matches in Python and any retained Go/TypeScript implementation.</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The returned target is the first exchange-valid tick meeting the configured net P&amp;L; the prior tick fails.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 signal generated at a completed bar cannot enter on that same bar.</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Same-bar stop/target conflicts are counted and follow the declared path policy.</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Cash never becomes negative and ticket size includes entry charges.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AC-02-06</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Open-position reporting includes estimated exit costs in net liquidation value.</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AC-02-07</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The reference strategy runs end to end on deterministic synthetic bars and produces reproducible checksums.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AC-03-01</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Killing a worker after a durable checkpoint reruns only the uncompleted shard.</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AC-03-02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Expired leases can be reclaimed; completed shards are never silently recomputed.</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AC-03-03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The same run specification produces the same run/shard IDs and checksummed outputs.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AC-03-04</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All accounting identities reconcile: net P&amp;L = gross P&amp;L − total cost; gross equity = cash + market value.</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AC-03-05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 run with any incomplete shard or failed mandatory validation cannot publish.</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AC-03-06</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3</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Full-scope performance is benchmarked on the actual host without affecting collector/live-write latency.</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AC-04-01</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Every label has decision_ts &lt; entry_ts ≤ exit_ts and uses observed future bars only for the label.</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AC-04-02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 forward-return, future high/low, final-day or outcome column enters the model feature matrix.</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AC-04-03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Walk-forward splits are chronological and respect declared label horizon through purge/embargo.</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AC-04-04</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Displayed probabilities are derived from strictly out-of-fold predictions and include sample counts/reliability bins.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AC-04-05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An untouched final holdout is reserved before strategy selection in the production workflow.</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AC-04-06</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4</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Candidate rules remain research artefacts until replayed as frozen strategy versions under Phase 3.</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AC-05-01</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Option backtests use actual option premium bars and a contract that was active/known at decision time.</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AC-05-02</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Order quantity is an integer multiple of the effective lot size and fits the cash ticket including charges.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AC-05-03</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Greeks/IV calculations pass golden vectors and are clearly diagnostic rather than substitutes for market premiums.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AC-05-04</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Stale or absent option chain/Greeks/contract data fails closed and is visible in result quality.</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Batch and incremental replay features match within declared tolerance for all parity-certified features.</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AC-05-06</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Every research ZIP verifies its own file checksums and contains no unsafe archive paths.</w:t>
            </w:r>
          </w:p>
        </w:tc>
        <w:tc>
          <w:tcPr>
            <w:tcW w:w="2493"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r>
        <w:trPr>
          <w:cantSplit w:val="true"/>
        </w:trPr>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AC-05-07</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Phase 5</w:t>
            </w:r>
          </w:p>
        </w:tc>
        <w:tc>
          <w:tcPr>
            <w:tcW w:w="2494"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 broker order placement is added; the output is ready for later paper/shadow integration only.</w:t>
            </w:r>
          </w:p>
        </w:tc>
        <w:tc>
          <w:tcPr>
            <w:tcW w:w="2493"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Pending target evidence</w:t>
            </w:r>
          </w:p>
        </w:tc>
      </w:tr>
    </w:tbl>
    <w:p>
      <w:pPr>
        <w:pStyle w:val="Heading1"/>
        <w:keepLines/>
        <w:rPr/>
      </w:pPr>
      <w:bookmarkStart w:id="73" w:name="__RefHeading___Toc5337_2627061606"/>
      <w:bookmarkEnd w:id="73"/>
      <w:r>
        <w:rPr>
          <w:rFonts w:eastAsia="Carlito" w:ascii="Carlito" w:hAnsi="Carlito"/>
        </w:rPr>
        <w:t>Appendix: Target-Environment Validation Checklist</w:t>
      </w:r>
    </w:p>
    <w:p>
      <w:pPr>
        <w:pStyle w:val="Normal"/>
        <w:keepLines/>
        <w:spacing w:before="0" w:after="60"/>
        <w:ind w:hanging="255" w:left="312"/>
        <w:rPr/>
      </w:pPr>
      <w:r>
        <w:rPr>
          <w:rFonts w:eastAsia="Carlito"/>
          <w:b/>
        </w:rPr>
        <w:t xml:space="preserve">1. </w:t>
      </w:r>
      <w:r>
        <w:rPr>
          <w:rFonts w:eastAsia="Carlito"/>
        </w:rPr>
        <w:t>Confirm actual target repository paths and dependency topology; record any divergence from the supplied archive.</w:t>
      </w:r>
    </w:p>
    <w:p>
      <w:pPr>
        <w:pStyle w:val="Normal"/>
        <w:keepLines/>
        <w:spacing w:before="0" w:after="60"/>
        <w:ind w:hanging="255" w:left="312"/>
        <w:rPr/>
      </w:pPr>
      <w:r>
        <w:rPr>
          <w:rFonts w:eastAsia="Carlito"/>
          <w:b/>
        </w:rPr>
        <w:t xml:space="preserve">2. </w:t>
      </w:r>
      <w:r>
        <w:rPr>
          <w:rFonts w:eastAsia="Carlito"/>
        </w:rPr>
        <w:t>Run Phase 1 against `/home/novius2/data/nifty-50-minute-data/aaditya555` and `/home/novius2/data/nifty-50-minute-data/debashis74017` and review every FAIL/WARN.</w:t>
      </w:r>
    </w:p>
    <w:p>
      <w:pPr>
        <w:pStyle w:val="Normal"/>
        <w:keepLines/>
        <w:spacing w:before="0" w:after="60"/>
        <w:ind w:hanging="255" w:left="312"/>
        <w:rPr/>
      </w:pPr>
      <w:r>
        <w:rPr>
          <w:rFonts w:eastAsia="Carlito"/>
          <w:b/>
        </w:rPr>
        <w:t xml:space="preserve">3. </w:t>
      </w:r>
      <w:r>
        <w:rPr>
          <w:rFonts w:eastAsia="Carlito"/>
        </w:rPr>
        <w:t>Profile the FII/DII workbook sheets, columns, date coverage and publication timing before feature use.</w:t>
      </w:r>
    </w:p>
    <w:p>
      <w:pPr>
        <w:pStyle w:val="Normal"/>
        <w:keepLines/>
        <w:spacing w:before="0" w:after="60"/>
        <w:ind w:hanging="255" w:left="312"/>
        <w:rPr/>
      </w:pPr>
      <w:r>
        <w:rPr>
          <w:rFonts w:eastAsia="Carlito"/>
          <w:b/>
        </w:rPr>
        <w:t xml:space="preserve">4. </w:t>
      </w:r>
      <w:r>
        <w:rPr>
          <w:rFonts w:eastAsia="Carlito"/>
        </w:rPr>
        <w:t>Run all five migrations against a disposable clone of `tradingdb`; prove idempotency or migration-framework equivalence.</w:t>
      </w:r>
    </w:p>
    <w:p>
      <w:pPr>
        <w:pStyle w:val="Normal"/>
        <w:keepLines/>
        <w:spacing w:before="0" w:after="60"/>
        <w:ind w:hanging="255" w:left="312"/>
        <w:rPr/>
      </w:pPr>
      <w:r>
        <w:rPr>
          <w:rFonts w:eastAsia="Carlito"/>
          <w:b/>
        </w:rPr>
        <w:t xml:space="preserve">5. </w:t>
      </w:r>
      <w:r>
        <w:rPr>
          <w:rFonts w:eastAsia="Carlito"/>
        </w:rPr>
        <w:t>Reconcile equity and option fee vectors against actual contract notes and approved effective dates.</w:t>
      </w:r>
    </w:p>
    <w:p>
      <w:pPr>
        <w:pStyle w:val="Normal"/>
        <w:keepLines/>
        <w:spacing w:before="0" w:after="60"/>
        <w:ind w:hanging="255" w:left="312"/>
        <w:rPr/>
      </w:pPr>
      <w:r>
        <w:rPr>
          <w:rFonts w:eastAsia="Carlito"/>
          <w:b/>
        </w:rPr>
        <w:t xml:space="preserve">6. </w:t>
      </w:r>
      <w:r>
        <w:rPr>
          <w:rFonts w:eastAsia="Carlito"/>
        </w:rPr>
        <w:t>Reconcile canonical outputs against legacy backtests for checksum-pinned samples; explain differences rather than forcing equality.</w:t>
      </w:r>
    </w:p>
    <w:p>
      <w:pPr>
        <w:pStyle w:val="Normal"/>
        <w:keepLines/>
        <w:spacing w:before="0" w:after="60"/>
        <w:ind w:hanging="255" w:left="312"/>
        <w:rPr/>
      </w:pPr>
      <w:r>
        <w:rPr>
          <w:rFonts w:eastAsia="Carlito"/>
          <w:b/>
        </w:rPr>
        <w:t xml:space="preserve">7. </w:t>
      </w:r>
      <w:r>
        <w:rPr>
          <w:rFonts w:eastAsia="Carlito"/>
        </w:rPr>
        <w:t>Benchmark full qualified history, memory, PostgreSQL load and impact on collector/live-write latency.</w:t>
      </w:r>
    </w:p>
    <w:p>
      <w:pPr>
        <w:pStyle w:val="Normal"/>
        <w:keepLines/>
        <w:spacing w:before="0" w:after="60"/>
        <w:ind w:hanging="255" w:left="312"/>
        <w:rPr/>
      </w:pPr>
      <w:r>
        <w:rPr>
          <w:rFonts w:eastAsia="Carlito"/>
          <w:b/>
        </w:rPr>
        <w:t xml:space="preserve">8. </w:t>
      </w:r>
      <w:r>
        <w:rPr>
          <w:rFonts w:eastAsia="Carlito"/>
        </w:rPr>
        <w:t>Qualify actual option contracts/premium coverage and Greeks freshness; do not infer ten-year coverage from current snapshots.</w:t>
      </w:r>
    </w:p>
    <w:p>
      <w:pPr>
        <w:pStyle w:val="Normal"/>
        <w:keepLines/>
        <w:spacing w:before="0" w:after="60"/>
        <w:ind w:hanging="255" w:left="312"/>
        <w:rPr/>
      </w:pPr>
      <w:r>
        <w:rPr>
          <w:rFonts w:eastAsia="Carlito"/>
          <w:b/>
        </w:rPr>
        <w:t xml:space="preserve">9. </w:t>
      </w:r>
      <w:r>
        <w:rPr>
          <w:rFonts w:eastAsia="Carlito"/>
        </w:rPr>
        <w:t>Keep broker order placement disabled until a separate paper/shadow/live programme is approved.</w:t>
      </w:r>
    </w:p>
    <w:p>
      <w:pPr>
        <w:pStyle w:val="Heading1"/>
        <w:keepLines/>
        <w:rPr/>
      </w:pPr>
      <w:bookmarkStart w:id="74" w:name="__RefHeading___Toc5339_2627061606"/>
      <w:bookmarkEnd w:id="74"/>
      <w:r>
        <w:rPr>
          <w:rFonts w:eastAsia="Carlito" w:ascii="Carlito" w:hAnsi="Carlito"/>
        </w:rPr>
        <w:t>Appendix: Source Register</w:t>
      </w:r>
    </w:p>
    <w:p>
      <w:pPr>
        <w:pStyle w:val="Caption"/>
        <w:keepLines/>
        <w:jc w:val="center"/>
        <w:rPr/>
      </w:pPr>
      <w:bookmarkStart w:id="75" w:name="table21"/>
      <w:r>
        <w:rPr>
          <w:rFonts w:eastAsia="Carlito"/>
          <w:b/>
        </w:rPr>
        <w:t xml:space="preserve">Table </w:t>
      </w:r>
      <w:r>
        <w:rPr>
          <w:rFonts w:eastAsia="Carlito"/>
        </w:rPr>
        <w:fldChar w:fldCharType="begin"/>
      </w:r>
      <w:r>
        <w:rPr>
          <w:rFonts w:eastAsia="Carlito"/>
        </w:rPr>
        <w:instrText xml:space="preserve"> SEQ Table \* ARABIC </w:instrText>
      </w:r>
      <w:r>
        <w:rPr>
          <w:rFonts w:eastAsia="Carlito"/>
        </w:rPr>
        <w:fldChar w:fldCharType="separate"/>
      </w:r>
      <w:r>
        <w:rPr>
          <w:rFonts w:eastAsia="Carlito"/>
        </w:rPr>
        <w:t>21</w:t>
      </w:r>
      <w:r>
        <w:rPr>
          <w:rFonts w:eastAsia="Carlito"/>
        </w:rPr>
        <w:fldChar w:fldCharType="end"/>
      </w:r>
      <w:r>
        <w:rPr>
          <w:rFonts w:eastAsia="Carlito"/>
        </w:rPr>
        <w:t>: Source register used for the roadmap</w:t>
      </w:r>
      <w:bookmarkEnd w:id="75"/>
    </w:p>
    <w:tbl>
      <w:tblPr>
        <w:tblStyle w:val="TableGrid"/>
        <w:tblW w:w="9979"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89"/>
        <w:gridCol w:w="4989"/>
      </w:tblGrid>
      <w:tr>
        <w:trPr>
          <w:tblHeader w:val="true"/>
          <w:cantSplit w:val="true"/>
        </w:trPr>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Source</w:t>
            </w:r>
          </w:p>
        </w:tc>
        <w:tc>
          <w:tcPr>
            <w:tcW w:w="4989" w:type="dxa"/>
            <w:tcBorders/>
            <w:shd w:fill="0B2C6B"/>
            <w:vAlign w:val="center"/>
          </w:tcPr>
          <w:p>
            <w:pPr>
              <w:pStyle w:val="Normal"/>
              <w:widowControl/>
              <w:spacing w:before="0" w:after="120"/>
              <w:jc w:val="center"/>
              <w:rPr>
                <w:rFonts w:cs=""/>
                <w:kern w:val="0"/>
                <w:szCs w:val="22"/>
                <w:lang w:val="en-US" w:eastAsia="en-US" w:bidi="ar-SA"/>
              </w:rPr>
            </w:pPr>
            <w:r>
              <w:rPr>
                <w:rFonts w:cs=""/>
                <w:b/>
                <w:color w:val="FFFFFF"/>
                <w:kern w:val="0"/>
                <w:sz w:val="18"/>
                <w:szCs w:val="22"/>
                <w:lang w:val="en-US" w:eastAsia="en-US" w:bidi="ar-SA"/>
              </w:rPr>
              <w:t>Use in this roadmap</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 Strategy Research, Backtesting and Live Decision Intelligence Platform — Architecture V1.0</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Target architecture, modules, contracts, work ownership, roadmap and acceptance basis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 50 Intraday and Swing Strategy Platform — Technical Review</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Existing-code defects, economic model, consolidation and implementation priorities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Novius2 Trading Stack PostgreSQL Data Audit</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Current schemas, row counts, temporal coverage, options freshness and database footprint</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Novius2 Trading Stack PostgreSQL Column Dictionary</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Existing feature, universe, backtest, options and operational column contracts</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NIFTY-50 Minute-Data File Inventory</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Historical stock/index/sector/VIX paths, file counts, sizes and checksums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FII, DII and Nifty Historical Study — Download Record</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Workbook location and integrity evidence; internal profiling remains required</w:t>
            </w:r>
          </w:p>
        </w:tc>
      </w:tr>
      <w:tr>
        <w:trPr>
          <w:cantSplit w:val="true"/>
        </w:trPr>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Major Events That Moved India’s Nifty 50, 2016–2026</w:t>
            </w:r>
          </w:p>
        </w:tc>
        <w:tc>
          <w:tcPr>
            <w:tcW w:w="4989" w:type="dxa"/>
            <w:tcBorders/>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Event/regime stress periods suitable for later validation slices</w:t>
            </w:r>
          </w:p>
        </w:tc>
      </w:tr>
      <w:tr>
        <w:trPr>
          <w:cantSplit w:val="true"/>
        </w:trPr>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Universal Browser Chat Execution and Microsoft Word Report Contract</w:t>
            </w:r>
          </w:p>
        </w:tc>
        <w:tc>
          <w:tcPr>
            <w:tcW w:w="4989" w:type="dxa"/>
            <w:tcBorders/>
            <w:shd w:fill="F3F5F8"/>
            <w:tcMar>
              <w:top w:w="55" w:type="dxa"/>
              <w:bottom w:w="55" w:type="dxa"/>
            </w:tcMar>
          </w:tcPr>
          <w:p>
            <w:pPr>
              <w:pStyle w:val="Normal"/>
              <w:widowControl/>
              <w:spacing w:before="0" w:after="0"/>
              <w:jc w:val="left"/>
              <w:rPr>
                <w:rFonts w:cs=""/>
                <w:kern w:val="0"/>
                <w:szCs w:val="22"/>
                <w:lang w:val="en-US" w:eastAsia="en-US" w:bidi="ar-SA"/>
              </w:rPr>
            </w:pPr>
            <w:r>
              <w:rPr>
                <w:rFonts w:cs=""/>
                <w:color w:val="172033"/>
                <w:kern w:val="0"/>
                <w:sz w:val="17"/>
                <w:szCs w:val="22"/>
                <w:lang w:val="en-US" w:eastAsia="en-US" w:bidi="ar-SA"/>
              </w:rPr>
              <w:t>Report structure, evidence, assumption and Word-quality requirements</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964" w:right="964" w:gutter="0" w:header="454" w:top="964" w:footer="454" w:bottom="90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rlito">
    <w:altName w:val="Calibri"/>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7085"/>
        <w:sz w:val="16"/>
      </w:rPr>
      <w:t xml:space="preserve">Confidential — Internal Engineering and Trading Research   |   </w:t>
    </w:r>
    <w:r>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7085"/>
        <w:sz w:val="16"/>
      </w:rPr>
      <w:t xml:space="preserve">Confidential — Internal Engineering and Trading Research   |   </w:t>
    </w:r>
    <w:r>
      <w:rPr/>
      <w:t xml:space="preserve">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7085"/>
        <w:sz w:val="17"/>
      </w:rPr>
      <w:t>NIFTY Backtesting Platform — Five-Phase Roadmap</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7085"/>
        <w:sz w:val="17"/>
      </w:rPr>
      <w:t>NIFTY Backtesting Platform — Five-Phase Roadmap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360" w:hanging="300"/>
      </w:pPr>
      <w:rPr/>
    </w:lvl>
    <w:lvl w:ilvl="1">
      <w:start w:val="1"/>
      <w:pStyle w:val="Heading2"/>
      <w:numFmt w:val="decimal"/>
      <w:suff w:val="space"/>
      <w:lvlText w:val="%1.%2"/>
      <w:lvlJc w:val="left"/>
      <w:pPr>
        <w:tabs>
          <w:tab w:val="num" w:pos="0"/>
        </w:tabs>
        <w:ind w:left="720" w:hanging="300"/>
      </w:pPr>
      <w:rPr/>
    </w:lvl>
    <w:lvl w:ilvl="2">
      <w:start w:val="1"/>
      <w:pStyle w:val="Heading3"/>
      <w:numFmt w:val="decimal"/>
      <w:suff w:val="space"/>
      <w:lvlText w:val="%1.%2.%3"/>
      <w:lvlJc w:val="left"/>
      <w:pPr>
        <w:tabs>
          <w:tab w:val="num" w:pos="0"/>
        </w:tabs>
        <w:ind w:left="1080" w:hanging="300"/>
      </w:pPr>
      <w:rPr/>
    </w:lvl>
    <w:lvl w:ilvl="3">
      <w:start w:val="1"/>
      <w:pStyle w:val="Heading4"/>
      <w:numFmt w:val="decimal"/>
      <w:suff w:val="space"/>
      <w:lvlText w:val="%1.%2.%3.%4"/>
      <w:lvlJc w:val="left"/>
      <w:pPr>
        <w:tabs>
          <w:tab w:val="num" w:pos="0"/>
        </w:tabs>
        <w:ind w:left="1440" w:hanging="300"/>
      </w:pPr>
      <w:r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Carlito" w:hAnsi="Carlito" w:eastAsia="Carlito" w:cs=""/>
      <w:color w:val="1720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numPr>
        <w:ilvl w:val="0"/>
        <w:numId w:val="1"/>
      </w:numPr>
      <w:spacing w:before="240" w:after="120"/>
      <w:outlineLvl w:val="0"/>
    </w:pPr>
    <w:rPr>
      <w:rFonts w:ascii="Calibri" w:hAnsi="Calibri" w:eastAsia="ＭＳ ゴシック" w:cs="" w:asciiTheme="majorHAnsi" w:cstheme="majorBidi" w:eastAsiaTheme="majorEastAsia" w:hAnsiTheme="majorHAnsi"/>
      <w:b/>
      <w:bCs/>
      <w:color w:val="0B2C6B"/>
      <w:sz w:val="33"/>
      <w:szCs w:val="28"/>
    </w:rPr>
  </w:style>
  <w:style w:type="paragraph" w:styleId="Heading2">
    <w:name w:val="heading 2"/>
    <w:basedOn w:val="Normal"/>
    <w:next w:val="Normal"/>
    <w:link w:val="Heading2Char"/>
    <w:uiPriority w:val="9"/>
    <w:unhideWhenUsed/>
    <w:qFormat/>
    <w:rsid w:val="00fc693f"/>
    <w:pPr>
      <w:keepNext w:val="true"/>
      <w:keepLines/>
      <w:numPr>
        <w:ilvl w:val="1"/>
        <w:numId w:val="1"/>
      </w:numPr>
      <w:spacing w:before="180" w:after="80"/>
      <w:outlineLvl w:val="1"/>
    </w:pPr>
    <w:rPr>
      <w:rFonts w:ascii="Calibri" w:hAnsi="Calibri" w:eastAsia="ＭＳ ゴシック" w:cs="" w:asciiTheme="majorHAnsi" w:cstheme="majorBidi" w:eastAsiaTheme="majorEastAsia" w:hAnsiTheme="majorHAnsi"/>
      <w:b/>
      <w:bCs/>
      <w:color w:val="1F5CA9"/>
      <w:sz w:val="26"/>
      <w:szCs w:val="26"/>
    </w:rPr>
  </w:style>
  <w:style w:type="paragraph" w:styleId="Heading3">
    <w:name w:val="heading 3"/>
    <w:basedOn w:val="Normal"/>
    <w:next w:val="Normal"/>
    <w:link w:val="Heading3Char"/>
    <w:uiPriority w:val="9"/>
    <w:unhideWhenUsed/>
    <w:qFormat/>
    <w:rsid w:val="00fc693f"/>
    <w:pPr>
      <w:keepNext w:val="true"/>
      <w:keepLines/>
      <w:numPr>
        <w:ilvl w:val="2"/>
        <w:numId w:val="1"/>
      </w:numPr>
      <w:spacing w:before="140" w:after="60"/>
      <w:outlineLvl w:val="2"/>
    </w:pPr>
    <w:rPr>
      <w:rFonts w:ascii="Calibri" w:hAnsi="Calibri" w:eastAsia="ＭＳ ゴシック" w:cs="" w:asciiTheme="majorHAnsi" w:cstheme="majorBidi" w:eastAsiaTheme="majorEastAsia" w:hAnsiTheme="majorHAnsi"/>
      <w:b/>
      <w:bCs/>
      <w:color w:val="172033"/>
      <w:sz w:val="23"/>
    </w:rPr>
  </w:style>
  <w:style w:type="paragraph" w:styleId="Heading4">
    <w:name w:val="heading 4"/>
    <w:basedOn w:val="Normal"/>
    <w:next w:val="Normal"/>
    <w:link w:val="Heading4Char"/>
    <w:uiPriority w:val="9"/>
    <w:semiHidden/>
    <w:unhideWhenUsed/>
    <w:qFormat/>
    <w:rsid w:val="00fc693f"/>
    <w:pPr>
      <w:keepNext w:val="true"/>
      <w:keepLines/>
      <w:numPr>
        <w:ilvl w:val="3"/>
        <w:numId w:val="1"/>
      </w:numPr>
      <w:spacing w:before="100" w:after="40"/>
      <w:outlineLvl w:val="3"/>
    </w:pPr>
    <w:rPr>
      <w:rFonts w:ascii="Calibri" w:hAnsi="Calibri" w:eastAsia="ＭＳ ゴシック" w:cs="" w:asciiTheme="majorHAnsi" w:cstheme="majorBidi" w:eastAsiaTheme="majorEastAsia" w:hAnsiTheme="majorHAnsi"/>
      <w:b/>
      <w:bCs/>
      <w:i/>
      <w:iCs/>
      <w:color w:val="667085"/>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before="0" w:after="140"/>
    </w:pPr>
    <w:rPr>
      <w:rFonts w:ascii="Carlito" w:hAnsi="Carlito"/>
      <w:b/>
      <w:bCs/>
      <w:i/>
      <w:color w:val="667085"/>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2"/>
      </w:numPr>
      <w:spacing w:before="0" w:after="120"/>
      <w:contextualSpacing/>
    </w:pPr>
    <w:rPr/>
  </w:style>
  <w:style w:type="paragraph" w:styleId="ListBullet2">
    <w:name w:val="List Bullet 2"/>
    <w:basedOn w:val="Normal"/>
    <w:uiPriority w:val="99"/>
    <w:unhideWhenUsed/>
    <w:rsid w:val="00326f90"/>
    <w:pPr>
      <w:numPr>
        <w:ilvl w:val="0"/>
        <w:numId w:val="3"/>
      </w:numPr>
      <w:spacing w:before="0" w:after="120"/>
      <w:contextualSpacing/>
    </w:pPr>
    <w:rPr/>
  </w:style>
  <w:style w:type="paragraph" w:styleId="ListBullet3">
    <w:name w:val="List Bullet 3"/>
    <w:basedOn w:val="Normal"/>
    <w:uiPriority w:val="99"/>
    <w:unhideWhenUsed/>
    <w:rsid w:val="00326f90"/>
    <w:pPr>
      <w:numPr>
        <w:ilvl w:val="0"/>
        <w:numId w:val="4"/>
      </w:numPr>
      <w:spacing w:before="0" w:after="120"/>
      <w:contextualSpacing/>
    </w:pPr>
    <w:rPr/>
  </w:style>
  <w:style w:type="paragraph" w:styleId="ListNumber">
    <w:name w:val="List Number"/>
    <w:basedOn w:val="Normal"/>
    <w:uiPriority w:val="99"/>
    <w:unhideWhenUsed/>
    <w:rsid w:val="00326f90"/>
    <w:pPr>
      <w:numPr>
        <w:ilvl w:val="0"/>
        <w:numId w:val="5"/>
      </w:numPr>
      <w:spacing w:before="0" w:after="120"/>
      <w:contextualSpacing/>
    </w:pPr>
    <w:rPr/>
  </w:style>
  <w:style w:type="paragraph" w:styleId="ListNumber2">
    <w:name w:val="List Number 2"/>
    <w:basedOn w:val="Normal"/>
    <w:uiPriority w:val="99"/>
    <w:unhideWhenUsed/>
    <w:rsid w:val="0029639d"/>
    <w:pPr>
      <w:numPr>
        <w:ilvl w:val="0"/>
        <w:numId w:val="6"/>
      </w:numPr>
      <w:spacing w:before="0" w:after="120"/>
      <w:contextualSpacing/>
    </w:pPr>
    <w:rPr/>
  </w:style>
  <w:style w:type="paragraph" w:styleId="ListNumber3">
    <w:name w:val="List Number 3"/>
    <w:basedOn w:val="Normal"/>
    <w:uiPriority w:val="99"/>
    <w:unhideWhenUsed/>
    <w:rsid w:val="0029639d"/>
    <w:pPr>
      <w:numPr>
        <w:ilvl w:val="0"/>
        <w:numId w:val="7"/>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numPr>
        <w:ilvl w:val="0"/>
        <w:numId w:val="1"/>
      </w:numPr>
      <w:outlineLvl w:val="9"/>
    </w:pPr>
    <w:rPr/>
  </w:style>
  <w:style w:type="paragraph" w:styleId="FrontHeading" w:customStyle="1">
    <w:name w:val="Front Heading"/>
    <w:qFormat/>
    <w:pPr>
      <w:keepNext w:val="true"/>
      <w:widowControl/>
      <w:bidi w:val="0"/>
      <w:spacing w:lineRule="auto" w:line="276" w:before="200" w:after="100"/>
      <w:jc w:val="left"/>
    </w:pPr>
    <w:rPr>
      <w:rFonts w:ascii="Carlito" w:hAnsi="Carlito" w:eastAsia="ＭＳ 明朝" w:cs=""/>
      <w:b/>
      <w:color w:val="0B2C6B"/>
      <w:kern w:val="0"/>
      <w:sz w:val="30"/>
      <w:szCs w:val="22"/>
      <w:lang w:val="en-US" w:eastAsia="en-US" w:bidi="ar-SA"/>
    </w:rPr>
  </w:style>
  <w:style w:type="paragraph" w:styleId="PhaseTag" w:customStyle="1">
    <w:name w:val="Phase Tag"/>
    <w:qFormat/>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ourceNote" w:customStyle="1">
    <w:name w:val="Source Note"/>
    <w:qFormat/>
    <w:pPr>
      <w:widowControl/>
      <w:bidi w:val="0"/>
      <w:spacing w:lineRule="auto" w:line="276" w:before="0" w:after="140"/>
      <w:jc w:val="left"/>
    </w:pPr>
    <w:rPr>
      <w:rFonts w:ascii="Carlito" w:hAnsi="Carlito" w:eastAsia="ＭＳ 明朝" w:cs=""/>
      <w:i/>
      <w:color w:val="667085"/>
      <w:kern w:val="0"/>
      <w:sz w:val="17"/>
      <w:szCs w:val="22"/>
      <w:lang w:val="en-US" w:eastAsia="en-US" w:bidi="ar-SA"/>
    </w:rPr>
  </w:style>
  <w:style w:type="paragraph" w:styleId="CodeBlock" w:customStyle="1">
    <w:name w:val="Code Block"/>
    <w:qFormat/>
    <w:pPr>
      <w:widowControl/>
      <w:bidi w:val="0"/>
      <w:spacing w:lineRule="auto" w:line="276" w:before="60" w:after="120"/>
      <w:ind w:left="198" w:right="198"/>
      <w:jc w:val="left"/>
    </w:pPr>
    <w:rPr>
      <w:rFonts w:ascii="Liberation Mono" w:hAnsi="Liberation Mono" w:eastAsia="Liberation Mono" w:cs=""/>
      <w:color w:val="172033"/>
      <w:kern w:val="0"/>
      <w:sz w:val="16"/>
      <w:szCs w:val="22"/>
      <w:lang w:val="en-US" w:eastAsia="en-US" w:bidi="ar-SA"/>
    </w:rPr>
  </w:style>
  <w:style w:type="paragraph" w:styleId="TOC1">
    <w:name w:val="toc 1"/>
    <w:basedOn w:val="Index"/>
    <w:pPr>
      <w:tabs>
        <w:tab w:val="clear" w:pos="720"/>
        <w:tab w:val="right" w:pos="9978" w:leader="dot"/>
      </w:tabs>
      <w:ind w:hanging="0" w:left="0"/>
    </w:pPr>
    <w:rPr/>
  </w:style>
  <w:style w:type="paragraph" w:styleId="TOC2">
    <w:name w:val="toc 2"/>
    <w:basedOn w:val="Index"/>
    <w:pPr>
      <w:tabs>
        <w:tab w:val="clear" w:pos="720"/>
        <w:tab w:val="right" w:pos="9695" w:leader="dot"/>
      </w:tabs>
      <w:ind w:hanging="0" w:left="283"/>
    </w:pPr>
    <w:rPr/>
  </w:style>
  <w:style w:type="paragraph" w:styleId="TableofFigures">
    <w:name w:val="table of figures"/>
    <w:basedOn w:val="Index"/>
    <w:pPr>
      <w:tabs>
        <w:tab w:val="clear" w:pos="720"/>
        <w:tab w:val="right" w:pos="9978"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22</Pages>
  <Words>5423</Words>
  <Characters>37006</Characters>
  <CharactersWithSpaces>41401</CharactersWithSpaces>
  <Paragraphs>902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Internal Platform Architecture and Quantitative Engineering</dc:creator>
  <dc:description>Reference implementation complete; target integration pending.</dc:description>
  <cp:keywords>NIFTY backtesting PostgreSQL strategy options Codex roadmap</cp:keywords>
  <dc:language>en-US</dc:language>
  <cp:lastModifiedBy/>
  <dcterms:modified xsi:type="dcterms:W3CDTF">2026-08-02T10:38:52Z</dcterms:modified>
  <cp:revision>2</cp:revision>
  <dc:subject>Code delivery, integration contracts, test gates and multi-agent execution plan</dc:subject>
  <dc:title>NIFTY Strategy Research and Backtesting Platform — Five-Phase Implementation Roadmap</dc:title>
</cp:coreProperties>
</file>

<file path=docProps/custom.xml><?xml version="1.0" encoding="utf-8"?>
<Properties xmlns="http://schemas.openxmlformats.org/officeDocument/2006/custom-properties" xmlns:vt="http://schemas.openxmlformats.org/officeDocument/2006/docPropsVTypes"/>
</file>