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360"/>
        <w:jc w:val="center"/>
        <w:rPr>
          <w:rFonts w:ascii="Open Sans" w:hAnsi="Open Sans"/>
        </w:rPr>
      </w:pPr>
      <w:r>
        <w:rPr>
          <w:b/>
          <w:bCs/>
          <w:color w:val="00000A"/>
          <w:sz w:val="24"/>
          <w:szCs w:val="24"/>
        </w:rPr>
        <w:t>TITLE</w:t>
      </w:r>
    </w:p>
    <w:p>
      <w:pPr>
        <w:pStyle w:val="Normal"/>
        <w:spacing w:lineRule="auto" w:line="360" w:before="0" w:after="360"/>
        <w:jc w:val="center"/>
        <w:rPr>
          <w:rFonts w:ascii="Open Sans" w:hAnsi="Open Sans"/>
          <w:color w:val="00000A"/>
          <w:sz w:val="24"/>
          <w:szCs w:val="24"/>
        </w:rPr>
      </w:pPr>
      <w:r>
        <w:rPr>
          <w:color w:val="00000A"/>
          <w:sz w:val="24"/>
          <w:szCs w:val="24"/>
        </w:rPr>
      </w:r>
    </w:p>
    <w:p>
      <w:pPr>
        <w:pStyle w:val="Normal"/>
        <w:spacing w:lineRule="auto" w:line="360" w:before="0" w:after="360"/>
        <w:jc w:val="center"/>
        <w:rPr>
          <w:rFonts w:ascii="Open Sans" w:hAnsi="Open Sans"/>
        </w:rPr>
      </w:pPr>
      <w:r>
        <w:rPr>
          <w:color w:val="00000A"/>
          <w:sz w:val="24"/>
          <w:szCs w:val="24"/>
        </w:rPr>
        <w:t>Philippe Massicotte</w:t>
      </w:r>
      <w:r>
        <w:rPr>
          <w:color w:val="00000A"/>
          <w:sz w:val="24"/>
          <w:szCs w:val="24"/>
          <w:vertAlign w:val="superscript"/>
        </w:rPr>
        <w:t>*</w:t>
      </w:r>
      <w:r>
        <w:rPr>
          <w:color w:val="00000A"/>
          <w:sz w:val="24"/>
          <w:szCs w:val="24"/>
        </w:rPr>
        <w:t>, Eero Asmala</w:t>
      </w:r>
      <w:r>
        <w:rPr>
          <w:color w:val="00000A"/>
          <w:sz w:val="24"/>
          <w:szCs w:val="24"/>
          <w:vertAlign w:val="superscript"/>
        </w:rPr>
        <w:t>*</w:t>
      </w:r>
      <w:r>
        <w:rPr>
          <w:color w:val="00000A"/>
          <w:sz w:val="24"/>
          <w:szCs w:val="24"/>
        </w:rPr>
        <w:t>, Colin Stedmon</w:t>
      </w:r>
      <w:r>
        <w:rPr>
          <w:color w:val="00000A"/>
          <w:sz w:val="24"/>
          <w:szCs w:val="24"/>
          <w:vertAlign w:val="superscript"/>
        </w:rPr>
        <w:t>#</w:t>
      </w:r>
      <w:r>
        <w:rPr>
          <w:color w:val="00000A"/>
          <w:sz w:val="24"/>
          <w:szCs w:val="24"/>
        </w:rPr>
        <w:t>, Stiig Markager</w:t>
      </w:r>
      <w:r>
        <w:rPr>
          <w:color w:val="00000A"/>
          <w:sz w:val="24"/>
          <w:szCs w:val="24"/>
          <w:vertAlign w:val="superscript"/>
        </w:rPr>
        <w:t>*</w:t>
      </w:r>
    </w:p>
    <w:p>
      <w:pPr>
        <w:pStyle w:val="Normal"/>
        <w:spacing w:lineRule="auto" w:line="360" w:before="0" w:after="360"/>
        <w:jc w:val="left"/>
        <w:rPr>
          <w:rFonts w:ascii="Open Sans" w:hAnsi="Open Sans"/>
          <w:color w:val="00000A"/>
          <w:position w:val="0"/>
          <w:sz w:val="24"/>
          <w:sz w:val="24"/>
          <w:szCs w:val="24"/>
          <w:vertAlign w:val="baseline"/>
        </w:rPr>
      </w:pPr>
      <w:r>
        <w:rPr>
          <w:color w:val="00000A"/>
          <w:position w:val="0"/>
          <w:sz w:val="24"/>
          <w:sz w:val="24"/>
          <w:szCs w:val="24"/>
          <w:vertAlign w:val="baseline"/>
        </w:rPr>
      </w:r>
    </w:p>
    <w:p>
      <w:pPr>
        <w:pStyle w:val="Normal"/>
        <w:spacing w:lineRule="auto" w:line="360" w:before="0" w:after="360"/>
        <w:jc w:val="left"/>
        <w:rPr>
          <w:rFonts w:ascii="Open Sans" w:hAnsi="Open Sans"/>
        </w:rPr>
      </w:pPr>
      <w:r>
        <w:rPr>
          <w:color w:val="00000A"/>
          <w:sz w:val="24"/>
          <w:szCs w:val="24"/>
          <w:vertAlign w:val="superscript"/>
        </w:rPr>
        <w:t>*</w:t>
      </w:r>
      <w:r>
        <w:rPr>
          <w:color w:val="00000A"/>
          <w:position w:val="0"/>
          <w:sz w:val="24"/>
          <w:sz w:val="24"/>
          <w:szCs w:val="24"/>
          <w:vertAlign w:val="baseline"/>
          <w:lang w:val="en-US"/>
        </w:rPr>
        <w:t xml:space="preserve">Aarhus university, </w:t>
      </w:r>
      <w:r>
        <w:rPr>
          <w:color w:val="00000A"/>
          <w:sz w:val="24"/>
          <w:szCs w:val="24"/>
          <w:lang w:val="en-US"/>
        </w:rPr>
        <w:t xml:space="preserve">Department of Biosciences, </w:t>
      </w:r>
      <w:r>
        <w:rPr>
          <w:color w:val="00000A"/>
          <w:position w:val="0"/>
          <w:sz w:val="24"/>
          <w:sz w:val="24"/>
          <w:szCs w:val="24"/>
          <w:vertAlign w:val="baseline"/>
          <w:lang w:val="en-US"/>
        </w:rPr>
        <w:t>DK-4000 Roskilde, Denmark</w:t>
      </w:r>
    </w:p>
    <w:p>
      <w:pPr>
        <w:pStyle w:val="Normal"/>
        <w:spacing w:lineRule="auto" w:line="360" w:before="0" w:after="360"/>
        <w:jc w:val="left"/>
        <w:rPr>
          <w:rFonts w:ascii="Open Sans" w:hAnsi="Open Sans"/>
          <w:color w:val="00000A"/>
          <w:position w:val="0"/>
          <w:sz w:val="24"/>
          <w:sz w:val="24"/>
          <w:szCs w:val="24"/>
          <w:vertAlign w:val="baseline"/>
          <w:lang w:val="en-US"/>
        </w:rPr>
      </w:pPr>
      <w:r>
        <w:rPr>
          <w:color w:val="00000A"/>
          <w:position w:val="0"/>
          <w:sz w:val="24"/>
          <w:sz w:val="24"/>
          <w:szCs w:val="24"/>
          <w:vertAlign w:val="baseline"/>
          <w:lang w:val="en-US"/>
        </w:rPr>
      </w:r>
    </w:p>
    <w:p>
      <w:pPr>
        <w:pStyle w:val="Normal"/>
        <w:spacing w:lineRule="auto" w:line="360" w:before="0" w:after="360"/>
        <w:jc w:val="left"/>
        <w:rPr>
          <w:rFonts w:ascii="Open Sans" w:hAnsi="Open Sans"/>
        </w:rPr>
      </w:pPr>
      <w:r>
        <w:rPr>
          <w:color w:val="00000A"/>
          <w:sz w:val="24"/>
          <w:szCs w:val="24"/>
          <w:vertAlign w:val="superscript"/>
          <w:lang w:val="en-US"/>
        </w:rPr>
        <w:t>#</w:t>
      </w:r>
      <w:r>
        <w:rPr>
          <w:color w:val="00000A"/>
          <w:position w:val="0"/>
          <w:sz w:val="24"/>
          <w:sz w:val="24"/>
          <w:szCs w:val="24"/>
          <w:vertAlign w:val="baseline"/>
          <w:lang w:val="en-US"/>
        </w:rPr>
        <w:t>National Institute for Aquatic Resources, Technical University of Denmark, Charlottenlund, Denmark</w:t>
      </w:r>
    </w:p>
    <w:p>
      <w:pPr>
        <w:pStyle w:val="Normal"/>
        <w:spacing w:lineRule="auto" w:line="360" w:before="0" w:after="360"/>
        <w:jc w:val="left"/>
        <w:rPr>
          <w:rFonts w:ascii="Open Sans" w:hAnsi="Open Sans"/>
          <w:color w:val="00000A"/>
          <w:position w:val="0"/>
          <w:sz w:val="24"/>
          <w:sz w:val="24"/>
          <w:szCs w:val="24"/>
          <w:vertAlign w:val="baseline"/>
          <w:lang w:val="en-US"/>
        </w:rPr>
      </w:pPr>
      <w:r>
        <w:rPr>
          <w:color w:val="00000A"/>
          <w:position w:val="0"/>
          <w:sz w:val="24"/>
          <w:sz w:val="24"/>
          <w:szCs w:val="24"/>
          <w:vertAlign w:val="baseline"/>
          <w:lang w:val="en-US"/>
        </w:rPr>
      </w:r>
    </w:p>
    <w:p>
      <w:pPr>
        <w:pStyle w:val="TextBody"/>
        <w:spacing w:lineRule="auto" w:line="360" w:before="0" w:after="360"/>
        <w:jc w:val="both"/>
        <w:rPr>
          <w:rFonts w:ascii="Open Sans" w:hAnsi="Open Sans"/>
        </w:rPr>
      </w:pPr>
      <w:r>
        <w:rPr>
          <w:b/>
          <w:bCs/>
          <w:color w:val="00000A"/>
          <w:sz w:val="24"/>
          <w:szCs w:val="24"/>
          <w:lang w:val="en-US"/>
        </w:rPr>
        <w:t>Corresponding author</w:t>
      </w:r>
    </w:p>
    <w:p>
      <w:pPr>
        <w:pStyle w:val="TextBody"/>
        <w:spacing w:lineRule="auto" w:line="360" w:before="0" w:after="360"/>
        <w:jc w:val="both"/>
        <w:rPr>
          <w:rFonts w:ascii="Open Sans" w:hAnsi="Open Sans"/>
        </w:rPr>
      </w:pPr>
      <w:r>
        <w:rPr>
          <w:color w:val="00000A"/>
          <w:sz w:val="24"/>
          <w:szCs w:val="24"/>
          <w:lang w:val="en-US"/>
        </w:rPr>
        <w:t>Philippe Massicotte</w:t>
      </w:r>
    </w:p>
    <w:p>
      <w:pPr>
        <w:pStyle w:val="TextBody"/>
        <w:spacing w:lineRule="auto" w:line="360" w:before="0" w:after="360"/>
        <w:jc w:val="both"/>
        <w:rPr>
          <w:rFonts w:ascii="Open Sans" w:hAnsi="Open Sans"/>
        </w:rPr>
      </w:pPr>
      <w:r>
        <w:rPr>
          <w:color w:val="00000A"/>
          <w:sz w:val="24"/>
          <w:szCs w:val="24"/>
          <w:lang w:val="en-US"/>
        </w:rPr>
        <w:t>Aarhus university</w:t>
      </w:r>
    </w:p>
    <w:p>
      <w:pPr>
        <w:pStyle w:val="TextBody"/>
        <w:spacing w:lineRule="auto" w:line="360" w:before="0" w:after="360"/>
        <w:jc w:val="both"/>
        <w:rPr>
          <w:rFonts w:ascii="Open Sans" w:hAnsi="Open Sans"/>
        </w:rPr>
      </w:pPr>
      <w:r>
        <w:rPr>
          <w:color w:val="00000A"/>
          <w:sz w:val="24"/>
          <w:szCs w:val="24"/>
          <w:lang w:val="en-US"/>
        </w:rPr>
        <w:t>Department of Biosciences</w:t>
      </w:r>
    </w:p>
    <w:p>
      <w:pPr>
        <w:pStyle w:val="TextBody"/>
        <w:spacing w:lineRule="auto" w:line="360" w:before="0" w:after="360"/>
        <w:jc w:val="both"/>
        <w:rPr>
          <w:rFonts w:ascii="Open Sans" w:hAnsi="Open Sans"/>
        </w:rPr>
      </w:pPr>
      <w:r>
        <w:rPr>
          <w:color w:val="00000A"/>
          <w:sz w:val="24"/>
          <w:szCs w:val="24"/>
          <w:lang w:val="en-US"/>
        </w:rPr>
        <w:t>DK-4000 Roskilde, Denmark</w:t>
      </w:r>
    </w:p>
    <w:p>
      <w:pPr>
        <w:pStyle w:val="TextBody"/>
        <w:spacing w:lineRule="auto" w:line="360" w:before="0" w:after="360"/>
        <w:jc w:val="both"/>
        <w:rPr>
          <w:rFonts w:ascii="Open Sans" w:hAnsi="Open Sans"/>
        </w:rPr>
      </w:pPr>
      <w:r>
        <w:rPr>
          <w:color w:val="00000A"/>
          <w:sz w:val="24"/>
          <w:szCs w:val="24"/>
          <w:lang w:val="en-US"/>
        </w:rPr>
        <w:t xml:space="preserve">Phone: +45 871 58 472 #59003 </w:t>
      </w:r>
    </w:p>
    <w:p>
      <w:pPr>
        <w:pStyle w:val="TextBody"/>
        <w:spacing w:lineRule="auto" w:line="360" w:before="0" w:after="360"/>
        <w:jc w:val="both"/>
        <w:rPr/>
      </w:pPr>
      <w:r>
        <w:rPr>
          <w:color w:val="00000A"/>
          <w:position w:val="0"/>
          <w:sz w:val="24"/>
          <w:sz w:val="24"/>
          <w:szCs w:val="24"/>
          <w:vertAlign w:val="baseline"/>
          <w:lang w:val="en-US"/>
        </w:rPr>
        <w:t xml:space="preserve">E-mail: </w:t>
      </w:r>
      <w:r>
        <w:rPr>
          <w:rStyle w:val="InternetLink1"/>
          <w:color w:val="00000A"/>
          <w:position w:val="0"/>
          <w:sz w:val="24"/>
          <w:sz w:val="24"/>
          <w:szCs w:val="24"/>
          <w:u w:val="none"/>
          <w:vertAlign w:val="baseline"/>
        </w:rPr>
        <w:t>pm@bios.au.dk</w:t>
      </w:r>
    </w:p>
    <w:p>
      <w:pPr>
        <w:pStyle w:val="Normal"/>
        <w:spacing w:lineRule="auto" w:line="360" w:before="0" w:after="360"/>
        <w:jc w:val="left"/>
        <w:rPr>
          <w:rFonts w:ascii="Open Sans" w:hAnsi="Open Sans"/>
          <w:color w:val="00000A"/>
          <w:position w:val="0"/>
          <w:sz w:val="24"/>
          <w:sz w:val="24"/>
          <w:szCs w:val="24"/>
          <w:vertAlign w:val="baseline"/>
          <w:lang w:val="en-US"/>
        </w:rPr>
      </w:pPr>
      <w:r>
        <w:rPr>
          <w:color w:val="00000A"/>
          <w:position w:val="0"/>
          <w:sz w:val="24"/>
          <w:sz w:val="24"/>
          <w:szCs w:val="24"/>
          <w:vertAlign w:val="baseline"/>
          <w:lang w:val="en-US"/>
        </w:rPr>
      </w:r>
    </w:p>
    <w:p>
      <w:pPr>
        <w:pStyle w:val="Normal"/>
        <w:spacing w:lineRule="auto" w:line="360" w:before="0" w:after="360"/>
        <w:jc w:val="left"/>
        <w:rPr>
          <w:rFonts w:ascii="Open Sans" w:hAnsi="Open Sans"/>
        </w:rPr>
      </w:pPr>
      <w:commentRangeStart w:id="0"/>
      <w:r>
        <w:rPr>
          <w:b/>
          <w:bCs/>
          <w:i w:val="false"/>
          <w:caps w:val="false"/>
          <w:smallCaps w:val="false"/>
          <w:color w:val="00000A"/>
          <w:spacing w:val="0"/>
          <w:sz w:val="24"/>
          <w:szCs w:val="24"/>
        </w:rPr>
        <w:t>Running head</w:t>
      </w:r>
      <w:r>
        <w:rPr>
          <w:b/>
          <w:bCs/>
          <w:i w:val="false"/>
          <w:caps w:val="false"/>
          <w:smallCaps w:val="false"/>
          <w:color w:val="00000A"/>
          <w:spacing w:val="0"/>
          <w:sz w:val="24"/>
          <w:szCs w:val="24"/>
        </w:rPr>
      </w:r>
      <w:commentRangeEnd w:id="0"/>
      <w:r>
        <w:commentReference w:id="0"/>
      </w:r>
      <w:r>
        <w:rPr>
          <w:b/>
          <w:bCs/>
          <w:i w:val="false"/>
          <w:caps w:val="false"/>
          <w:smallCaps w:val="false"/>
          <w:color w:val="00000A"/>
          <w:spacing w:val="0"/>
          <w:sz w:val="24"/>
          <w:szCs w:val="24"/>
        </w:rPr>
        <w:t>:</w:t>
      </w:r>
    </w:p>
    <w:p>
      <w:pPr>
        <w:pStyle w:val="Normal"/>
        <w:spacing w:lineRule="auto" w:line="360" w:before="0" w:after="360"/>
        <w:jc w:val="left"/>
        <w:rPr>
          <w:rFonts w:ascii="Open Sans" w:hAnsi="Open Sans"/>
          <w:b w:val="false"/>
          <w:b w:val="false"/>
          <w:i w:val="false"/>
          <w:i w:val="false"/>
          <w:caps w:val="false"/>
          <w:smallCaps w:val="false"/>
          <w:color w:val="00000A"/>
          <w:spacing w:val="0"/>
          <w:sz w:val="24"/>
          <w:szCs w:val="24"/>
        </w:rPr>
      </w:pPr>
      <w:r>
        <w:rPr>
          <w:b w:val="false"/>
          <w:i w:val="false"/>
          <w:caps w:val="false"/>
          <w:smallCaps w:val="false"/>
          <w:color w:val="00000A"/>
          <w:spacing w:val="0"/>
          <w:sz w:val="24"/>
          <w:szCs w:val="24"/>
        </w:rPr>
      </w:r>
    </w:p>
    <w:p>
      <w:pPr>
        <w:pStyle w:val="Normal"/>
        <w:widowControl/>
        <w:numPr>
          <w:ilvl w:val="0"/>
          <w:numId w:val="0"/>
        </w:numPr>
        <w:spacing w:lineRule="auto" w:line="360" w:before="0" w:after="360"/>
        <w:jc w:val="left"/>
        <w:rPr/>
      </w:pPr>
      <w:commentRangeStart w:id="1"/>
      <w:r>
        <w:rPr>
          <w:b/>
          <w:bCs/>
          <w:i w:val="false"/>
          <w:caps w:val="false"/>
          <w:smallCaps w:val="false"/>
          <w:color w:val="00000A"/>
          <w:spacing w:val="0"/>
          <w:sz w:val="24"/>
          <w:szCs w:val="24"/>
        </w:rPr>
        <w:t>Keywords</w:t>
      </w:r>
      <w:r>
        <w:rPr>
          <w:b/>
          <w:bCs/>
          <w:i w:val="false"/>
          <w:caps w:val="false"/>
          <w:smallCaps w:val="false"/>
          <w:color w:val="00000A"/>
          <w:spacing w:val="0"/>
          <w:sz w:val="24"/>
          <w:szCs w:val="24"/>
        </w:rPr>
      </w:r>
      <w:commentRangeEnd w:id="1"/>
      <w:r>
        <w:commentReference w:id="1"/>
      </w:r>
      <w:r>
        <w:rPr>
          <w:b/>
          <w:bCs/>
          <w:i w:val="false"/>
          <w:caps w:val="false"/>
          <w:smallCaps w:val="false"/>
          <w:color w:val="00000A"/>
          <w:spacing w:val="0"/>
          <w:sz w:val="24"/>
          <w:szCs w:val="24"/>
        </w:rPr>
        <w:t>:</w:t>
      </w:r>
      <w:r>
        <w:rPr>
          <w:b w:val="false"/>
          <w:i w:val="false"/>
          <w:caps w:val="false"/>
          <w:smallCaps w:val="false"/>
          <w:color w:val="00000A"/>
          <w:spacing w:val="0"/>
          <w:sz w:val="24"/>
          <w:szCs w:val="24"/>
        </w:rPr>
        <w:t xml:space="preserve"> Dissolved organic matter (DOM), Absorption, Chromophoric dissolved organic matter (CDOM), Dissolved organic carbon (DOC), SUVA...</w:t>
      </w:r>
      <w:r>
        <w:br w:type="page"/>
      </w:r>
    </w:p>
    <w:p>
      <w:pPr>
        <w:pStyle w:val="Standard"/>
        <w:numPr>
          <w:ilvl w:val="0"/>
          <w:numId w:val="1"/>
        </w:numPr>
        <w:spacing w:lineRule="auto" w:line="360" w:before="0" w:after="360"/>
        <w:rPr>
          <w:rFonts w:ascii="Open Sans" w:hAnsi="Open Sans"/>
        </w:rPr>
      </w:pPr>
      <w:commentRangeStart w:id="2"/>
      <w:r>
        <w:rPr/>
        <w:t xml:space="preserve">Global </w:t>
      </w:r>
      <w:r>
        <w:rPr>
          <w:shd w:fill="FFFF00" w:val="clear"/>
        </w:rPr>
        <w:t>patterns</w:t>
      </w:r>
      <w:r>
        <w:rPr/>
        <w:t xml:space="preserve"> in dissolved organic matter </w:t>
      </w:r>
      <w:r>
        <w:rPr/>
      </w:r>
      <w:commentRangeEnd w:id="2"/>
      <w:r>
        <w:commentReference w:id="2"/>
      </w:r>
      <w:r>
        <w:rPr/>
        <w:t>along the aquatic continuum: from lakes to oceans</w:t>
      </w:r>
    </w:p>
    <w:p>
      <w:pPr>
        <w:pStyle w:val="Standard"/>
        <w:numPr>
          <w:ilvl w:val="0"/>
          <w:numId w:val="1"/>
        </w:numPr>
        <w:spacing w:lineRule="auto" w:line="360" w:before="0" w:after="360"/>
        <w:rPr>
          <w:rFonts w:ascii="Open Sans" w:hAnsi="Open Sans"/>
        </w:rPr>
      </w:pPr>
      <w:r>
        <w:rPr/>
        <w:t>Global relationships between dissolved organic carbon and CDOM spectral absorption along the aquatic continuum: from headwaters to oceans (we only have 1 graph about DOC/CDOM in the paper, I think the paper is more about the spatial distribution and fate of DOM)</w:t>
      </w:r>
    </w:p>
    <w:p>
      <w:pPr>
        <w:pStyle w:val="Standard"/>
        <w:numPr>
          <w:ilvl w:val="0"/>
          <w:numId w:val="1"/>
        </w:numPr>
        <w:spacing w:lineRule="auto" w:line="360" w:before="0" w:after="360"/>
        <w:rPr>
          <w:rFonts w:ascii="Open Sans" w:hAnsi="Open Sans"/>
        </w:rPr>
      </w:pPr>
      <w:r>
        <w:rPr/>
        <w:t xml:space="preserve">Spatial distribution and </w:t>
      </w:r>
      <w:del w:id="0" w:author="Asmala, Eero" w:date="2016-08-26T11:30:00Z">
        <w:r>
          <w:rPr/>
          <w:delText xml:space="preserve">fate </w:delText>
        </w:r>
      </w:del>
      <w:r>
        <w:rPr/>
        <w:commentReference w:id="3"/>
      </w:r>
      <w:ins w:id="1" w:author="Asmala, Eero" w:date="2016-08-26T11:30:00Z">
        <w:r>
          <w:rPr/>
          <w:t xml:space="preserve">transformation </w:t>
        </w:r>
      </w:ins>
      <w:r>
        <w:rPr/>
        <w:t>of dissolved organic matter along the aquatic continuum: from lakes to oceans</w:t>
      </w:r>
      <w:r>
        <w:br w:type="page"/>
      </w:r>
    </w:p>
    <w:p>
      <w:pPr>
        <w:pStyle w:val="Standard"/>
        <w:spacing w:lineRule="auto" w:line="360" w:before="0" w:after="360"/>
        <w:jc w:val="both"/>
        <w:rPr>
          <w:rFonts w:ascii="Open Sans" w:hAnsi="Open Sans"/>
        </w:rPr>
      </w:pPr>
      <w:r>
        <w:rPr>
          <w:b/>
          <w:bCs/>
        </w:rPr>
        <w:t>Abstract</w:t>
      </w:r>
    </w:p>
    <w:p>
      <w:pPr>
        <w:pStyle w:val="Standard"/>
        <w:spacing w:lineRule="auto" w:line="360" w:before="0" w:after="360"/>
        <w:jc w:val="both"/>
        <w:rPr>
          <w:rFonts w:ascii="Open Sans" w:hAnsi="Open Sans"/>
        </w:rPr>
      </w:pPr>
      <w:r>
        <w:rPr/>
        <w:t>We performed an extensive survey to highlight the global patterns in DOM along the aquatic continuum from lakes to oceans.</w:t>
      </w:r>
      <w:r>
        <w:br w:type="page"/>
      </w:r>
    </w:p>
    <w:p>
      <w:pPr>
        <w:pStyle w:val="Standard"/>
        <w:spacing w:lineRule="auto" w:line="360" w:before="0" w:after="360"/>
        <w:jc w:val="both"/>
        <w:rPr>
          <w:rFonts w:ascii="Open Sans" w:hAnsi="Open Sans"/>
        </w:rPr>
      </w:pPr>
      <w:r>
        <w:rPr>
          <w:b/>
          <w:bCs/>
        </w:rPr>
        <w:t>Introduction</w:t>
      </w:r>
    </w:p>
    <w:p>
      <w:pPr>
        <w:pStyle w:val="Standard"/>
        <w:spacing w:lineRule="auto" w:line="360" w:before="0" w:after="360"/>
        <w:jc w:val="both"/>
        <w:rPr>
          <w:rFonts w:ascii="Open Sans" w:hAnsi="Open Sans"/>
        </w:rPr>
      </w:pPr>
      <w:r>
        <w:rPr/>
        <w:t>Physico-chemical characteristic of dissolved organic matter (DOM) are important parameters that drive the functioning of aquatic ecosystems at different levels. For example, dissolved organic carbon (DOC) is the major fraction of the DOM pool and represents the main source of metabolic substrates for heterotrophic bacteria and influences the composition of aquatic microbial communities (Findlay2003). Additionally, the chromophoric fraction of the DOM pool (CDOM) is a major driver of underwater light characteristics (Kirk1994) which modulate many bio-optical processes such as primary production (Thrane2014, Seekell2015) and also constitute a natural screen protecting aquatic organisms against harmful ultraviolet (UV) radiations (Boily2012).</w:t>
      </w:r>
    </w:p>
    <w:p>
      <w:pPr>
        <w:pStyle w:val="Standard"/>
        <w:spacing w:lineRule="auto" w:line="360" w:before="0" w:after="360"/>
        <w:jc w:val="both"/>
        <w:rPr>
          <w:rFonts w:ascii="Open Sans" w:hAnsi="Open Sans"/>
        </w:rPr>
      </w:pPr>
      <w:r>
        <w:rPr/>
        <w:t>In recent decades, climate changes, eutrophication and rapid transformations in land use have contributed to increase inputs of colored terrestrial DOM in aquatic ecosystems (Roulet2006, Massicotte2013RSE, Weyhenmeyer2014, Haaland2010). This has important consequences since transformations of even a small fraction of the DOM pool can potentially have large impacts on ecosystem functioning (Prairie2008). Increases in CO</w:t>
      </w:r>
      <w:r>
        <w:rPr>
          <w:vertAlign w:val="subscript"/>
        </w:rPr>
        <w:t>2</w:t>
      </w:r>
      <w:r>
        <w:rPr/>
        <w:t xml:space="preserve"> emissions (Lapierre2013) and reduction in primary production due to light shading (Seekell2015, Thrane2014) have been already identified as consequences of this generalized increase in terrestrial DOM at local and regional scales. However,  generalizing the effects of this </w:t>
      </w:r>
      <w:r>
        <w:rPr>
          <w:i/>
          <w:iCs/>
        </w:rPr>
        <w:t>brownification</w:t>
      </w:r>
      <w:r>
        <w:rPr/>
        <w:t xml:space="preserve"> from local to global scales is a difficult task because our current understanding on the fate and dynamics of DOM along the aquatic continuum gradient (from headwater streams to oceans) is limited. Since most studies about the fate of DOM are either ecosystem or site specific, there is an indisputable need for integrative studies that will unify existing knowledge to better understand the fate and the dynamic of DOM from a broader perspective during its transport from headwaters lakes to oceans.</w:t>
      </w:r>
    </w:p>
    <w:p>
      <w:pPr>
        <w:pStyle w:val="Standard"/>
        <w:spacing w:lineRule="auto" w:line="360" w:before="0" w:after="360"/>
        <w:jc w:val="both"/>
        <w:pPrChange w:id="0" w:author="Asmala, Eero" w:date="2016-08-26T11:42:00Z">
          <w:pPr>
            <w:jc w:val="both"/>
            <w:spacing w:lineRule="auto" w:line="360" w:before="0" w:after="360"/>
          </w:pPr>
        </w:pPrChange>
        <w:rPr>
          <w:rFonts w:ascii="Open Sans" w:hAnsi="Open Sans"/>
        </w:rPr>
      </w:pPr>
      <w:r>
        <w:rPr/>
        <w:t xml:space="preserve">DOC and CDOM properties are now routinely measured in most ecological studies. This creates an opportunity to explore the factors regulating the spatial distribution, the fate and the dynamics of the DOM pool during its transition along the complete aquatic continuum from lakes and oceans. We performed an extensive literature survey (n = </w:t>
      </w:r>
      <w:r>
        <w:rPr>
          <w:b/>
          <w:bCs/>
        </w:rPr>
        <w:t>xxx</w:t>
      </w:r>
      <w:r>
        <w:rPr/>
        <w:t>) to extract datasets containing both DOC and CDOM absorption measurements at global scale to gain insights about the spatial distribution and the compositional characteristics of the DOM in different ecosystems along the aquatic continuum in connection with potential key drivers such as salinity. We hypothesized that a strong relationship between DOC and absorption properties of CDOM would be a common characteristic in aquatic ecosystems receiving large amount of colored DOM from their surrounding terrestrial environments. Because photochemical processes are known to remove CDOM preferentially over DOC, we further expected that the robustness of the observed relationship would waken as DOM is gradually degraded by photo and biological processes during its transition toward ocean. A second objective of this was to gather and harmonize available data that could profit the community for further analysis.</w:t>
      </w:r>
    </w:p>
    <w:p>
      <w:pPr>
        <w:pStyle w:val="Standard"/>
        <w:numPr>
          <w:ilvl w:val="0"/>
          <w:numId w:val="3"/>
        </w:numPr>
        <w:spacing w:lineRule="auto" w:line="360" w:before="0" w:after="360"/>
        <w:jc w:val="both"/>
        <w:pPrChange w:id="0" w:author="Asmala, Eero" w:date="2016-08-26T11:42:00Z">
          <w:pPr>
            <w:jc w:val="both"/>
            <w:spacing w:lineRule="auto" w:line="360" w:before="0" w:after="360"/>
          </w:pPr>
        </w:pPrChange>
        <w:rPr>
          <w:rFonts w:ascii="Open Sans" w:hAnsi="Open Sans"/>
        </w:rPr>
      </w:pPr>
      <w:r>
        <w:rPr/>
        <w:t>Utilize spectral CDOM information to derive algorithms for predicting both CDOM</w:t>
      </w:r>
      <w:ins w:id="2" w:author="Asmala, Eero" w:date="2016-08-26T11:50:00Z">
        <w:r>
          <w:rPr/>
          <w:t xml:space="preserve"> and DOC.</w:t>
        </w:r>
      </w:ins>
      <w:ins w:id="3" w:author="Asmala, Eero" w:date="2016-08-26T11:49:00Z">
        <w:r>
          <w:rPr/>
          <w:t xml:space="preserve"> </w:t>
        </w:r>
      </w:ins>
      <w:r>
        <w:br w:type="page"/>
      </w:r>
    </w:p>
    <w:p>
      <w:pPr>
        <w:pStyle w:val="Standard"/>
        <w:spacing w:lineRule="auto" w:line="360" w:before="0" w:after="360"/>
        <w:jc w:val="both"/>
        <w:rPr>
          <w:rFonts w:ascii="Open Sans" w:hAnsi="Open Sans"/>
        </w:rPr>
      </w:pPr>
      <w:r>
        <w:rPr>
          <w:b/>
          <w:bCs/>
        </w:rPr>
        <w:t>Methods</w:t>
      </w:r>
    </w:p>
    <w:p>
      <w:pPr>
        <w:pStyle w:val="Standard"/>
        <w:spacing w:lineRule="auto" w:line="360" w:before="0" w:after="360"/>
        <w:jc w:val="both"/>
        <w:rPr>
          <w:rFonts w:ascii="Open Sans" w:hAnsi="Open Sans"/>
        </w:rPr>
      </w:pPr>
      <w:r>
        <w:rPr>
          <w:b/>
          <w:bCs/>
        </w:rPr>
        <w:t>Literature survey and spatial coverage</w:t>
      </w:r>
    </w:p>
    <w:p>
      <w:pPr>
        <w:pStyle w:val="Standard"/>
        <w:spacing w:lineRule="auto" w:line="360" w:before="0" w:after="360"/>
        <w:jc w:val="both"/>
        <w:rPr>
          <w:rFonts w:ascii="Open Sans" w:hAnsi="Open Sans"/>
        </w:rPr>
      </w:pPr>
      <w:r>
        <w:rPr/>
        <w:t xml:space="preserve">Web of science, Google Scholar as well as public data repositories were searched using terms “cdom”, “doc”, “dissolved organic carbon”, “absorption” for datasets presenting raw (i.e. not summarized) values of DOC and optical properties of CDOM. The minimum variables required to be included in the dataset were DOC, absorbance or absorption of CDOM, geographical coordinates and time of the sampling. When not explicitly provided, geographical coordinates were estimated by hand using available sampling map in each study. For CDOM data, wavelengths and cuvette size used for the optical measurements were also required. Using these criteria, we compiled </w:t>
      </w:r>
      <w:r>
        <w:rPr>
          <w:shd w:fill="FFFF00" w:val="clear"/>
        </w:rPr>
        <w:t>43</w:t>
      </w:r>
      <w:r>
        <w:rPr/>
        <w:t xml:space="preserve"> datasets containing </w:t>
      </w:r>
      <w:r>
        <w:rPr>
          <w:shd w:fill="FFFF00" w:val="clear"/>
        </w:rPr>
        <w:t>11920</w:t>
      </w:r>
      <w:r>
        <w:rPr/>
        <w:t xml:space="preserve"> unique observations of simultaneous DOC and absorption properties of DOM measured between </w:t>
      </w:r>
      <w:r>
        <w:rPr>
          <w:b/>
          <w:bCs/>
        </w:rPr>
        <w:t>1991</w:t>
      </w:r>
      <w:r>
        <w:rPr/>
        <w:t xml:space="preserve"> and </w:t>
      </w:r>
      <w:r>
        <w:rPr>
          <w:b/>
          <w:bCs/>
        </w:rPr>
        <w:t>2014</w:t>
      </w:r>
      <w:r>
        <w:rPr/>
        <w:t xml:space="preserve"> (Fig. 1, Table 1). A total of </w:t>
      </w:r>
      <w:r>
        <w:rPr>
          <w:shd w:fill="FFFF00" w:val="clear"/>
        </w:rPr>
        <w:t>4308</w:t>
      </w:r>
      <w:r>
        <w:rPr/>
        <w:t xml:space="preserve"> observations with complete CDOM spectra (ie continuous measurements along a range of wavelengths) and </w:t>
      </w:r>
      <w:r>
        <w:rPr>
          <w:shd w:fill="FFFF00" w:val="clear"/>
        </w:rPr>
        <w:t>6518</w:t>
      </w:r>
      <w:r>
        <w:rPr/>
        <w:t xml:space="preserve"> observations with CDOM absorption measurement at discrete wavelengths were extracted.</w:t>
      </w:r>
    </w:p>
    <w:p>
      <w:pPr>
        <w:pStyle w:val="Standard"/>
        <w:spacing w:lineRule="auto" w:line="360" w:before="0" w:after="360"/>
        <w:jc w:val="both"/>
        <w:rPr>
          <w:rFonts w:ascii="Open Sans" w:hAnsi="Open Sans"/>
        </w:rPr>
      </w:pPr>
      <w:r>
        <w:rPr/>
        <w:t xml:space="preserve">Observations were localized all around the world distributed on </w:t>
      </w:r>
      <w:r>
        <w:rPr>
          <w:shd w:fill="FFFF00" w:val="clear"/>
        </w:rPr>
        <w:t>five</w:t>
      </w:r>
      <w:r>
        <w:rPr/>
        <w:t xml:space="preserve"> different continents and </w:t>
      </w:r>
      <w:r>
        <w:rPr>
          <w:shd w:fill="FFFF00" w:val="clear"/>
        </w:rPr>
        <w:t>in seven</w:t>
      </w:r>
      <w:r>
        <w:rPr/>
        <w:t xml:space="preserve"> oceans (Fig. 1, Supplementary Fig. 1A). A large proportion of the data were located in river and ocean ecosystems and to a lesser extend in estuaries, wetlands and lakes regions (Supplementary Fig. 1B). Oceanic observations were spread all around the North Atlantic, North Pacific, South Pacific, Arctic, South Atlantic, Southern and Indian oceans. In North America, dense clusters of observations were mostly located in large river estuaries of the East Coast and along the Gulf of Mexico from the Rio Grande, Texas, to Anclote Island, Florida (Fig. 1B). In northern America, observations were mostly located in Alaska along the Mackenzie river delta and the Tanana river. Few observations were also extracted in the St-Lawrence river, around the Great Lakes, and in the Hudson Bay. In Europe, a large fraction of the samples were located in Baltic sea, North sea, and Kattegat sea as well as in main rivers of Sweden. Few observations were also located around Greenland. In Russia, observations were mostly located in the Lana and Kolyma rivers as well as around the Laptev and Siberia seas. In Asia, observations were for the most part located in South Korea rivers, in lake Taihu in China and on west coast of Taiwan. In Africa, most of the observations were located in Congo, Niger, Zambezi and the Ogooué rivers.</w:t>
      </w:r>
    </w:p>
    <w:p>
      <w:pPr>
        <w:pStyle w:val="Standard"/>
        <w:spacing w:lineRule="auto" w:line="360" w:before="0" w:after="360"/>
        <w:jc w:val="both"/>
        <w:rPr>
          <w:rFonts w:ascii="Open Sans" w:hAnsi="Open Sans"/>
        </w:rPr>
      </w:pPr>
      <w:r>
        <w:rPr>
          <w:shd w:fill="FFFF00" w:val="clear"/>
        </w:rPr>
        <w:t>Few observations were also located in Australia...</w:t>
      </w:r>
    </w:p>
    <w:p>
      <w:pPr>
        <w:pStyle w:val="Standard"/>
        <w:spacing w:lineRule="auto" w:line="360" w:before="0" w:after="360"/>
        <w:jc w:val="both"/>
        <w:rPr>
          <w:rFonts w:ascii="Open Sans" w:hAnsi="Open Sans"/>
        </w:rPr>
      </w:pPr>
      <w:r>
        <w:rPr>
          <w:b/>
          <w:bCs/>
        </w:rPr>
        <w:t>Ecosystem classification</w:t>
      </w:r>
    </w:p>
    <w:p>
      <w:pPr>
        <w:pStyle w:val="Standard"/>
        <w:spacing w:lineRule="auto" w:line="360" w:before="0" w:after="360"/>
        <w:jc w:val="both"/>
        <w:rPr>
          <w:rFonts w:ascii="Open Sans" w:hAnsi="Open Sans"/>
        </w:rPr>
      </w:pPr>
      <w:r>
        <w:rPr/>
        <w:t>Each observation were assigned to a defined ecosystem using either the sampling location or the salinity when available (supplementary Fig. 1B). Observations presenting salinity values were classified as follows: river (salinity &lt; 0.5), estuary (0.5 &lt; salinity &lt;= 5), coastal (5 &lt; salinity &lt;= 30), ocean (salinity &gt; 30). Based available information, observations were classified as follows (Supplementary Fig. 1A): river (</w:t>
      </w:r>
      <w:r>
        <w:rPr>
          <w:i/>
          <w:iCs/>
        </w:rPr>
        <w:t>n</w:t>
      </w:r>
      <w:r>
        <w:rPr/>
        <w:t xml:space="preserve"> = </w:t>
      </w:r>
      <w:r>
        <w:rPr>
          <w:b/>
          <w:bCs/>
        </w:rPr>
        <w:t>4527</w:t>
      </w:r>
      <w:r>
        <w:rPr/>
        <w:t>), ocean (</w:t>
      </w:r>
      <w:r>
        <w:rPr>
          <w:i/>
          <w:iCs/>
        </w:rPr>
        <w:t>n</w:t>
      </w:r>
      <w:r>
        <w:rPr/>
        <w:t xml:space="preserve"> = </w:t>
      </w:r>
      <w:r>
        <w:rPr>
          <w:b/>
          <w:bCs/>
        </w:rPr>
        <w:t>3143</w:t>
      </w:r>
      <w:r>
        <w:rPr/>
        <w:t>), estuary (</w:t>
      </w:r>
      <w:r>
        <w:rPr>
          <w:i/>
          <w:iCs/>
        </w:rPr>
        <w:t>n</w:t>
      </w:r>
      <w:r>
        <w:rPr/>
        <w:t xml:space="preserve"> = </w:t>
      </w:r>
      <w:r>
        <w:rPr>
          <w:b/>
          <w:bCs/>
        </w:rPr>
        <w:t>1273</w:t>
      </w:r>
      <w:r>
        <w:rPr/>
        <w:t>), wetlands (</w:t>
      </w:r>
      <w:r>
        <w:rPr>
          <w:i/>
          <w:iCs/>
        </w:rPr>
        <w:t>n</w:t>
      </w:r>
      <w:r>
        <w:rPr/>
        <w:t xml:space="preserve"> = </w:t>
      </w:r>
      <w:r>
        <w:rPr>
          <w:b/>
          <w:bCs/>
        </w:rPr>
        <w:t>954</w:t>
      </w:r>
      <w:r>
        <w:rPr/>
        <w:t>), coastal (</w:t>
      </w:r>
      <w:r>
        <w:rPr>
          <w:i/>
          <w:iCs/>
        </w:rPr>
        <w:t>n</w:t>
      </w:r>
      <w:r>
        <w:rPr/>
        <w:t xml:space="preserve"> = 866), lake (</w:t>
      </w:r>
      <w:r>
        <w:rPr>
          <w:i/>
          <w:iCs/>
        </w:rPr>
        <w:t>n</w:t>
      </w:r>
      <w:r>
        <w:rPr/>
        <w:t xml:space="preserve"> = </w:t>
      </w:r>
      <w:r>
        <w:rPr>
          <w:b/>
          <w:bCs/>
        </w:rPr>
        <w:t>627</w:t>
      </w:r>
      <w:r>
        <w:rPr/>
        <w:t>), pond (</w:t>
      </w:r>
      <w:r>
        <w:rPr>
          <w:i/>
          <w:iCs/>
        </w:rPr>
        <w:t>n</w:t>
      </w:r>
      <w:r>
        <w:rPr/>
        <w:t xml:space="preserve"> = </w:t>
      </w:r>
      <w:r>
        <w:rPr>
          <w:b/>
          <w:bCs/>
        </w:rPr>
        <w:t>84</w:t>
      </w:r>
      <w:r>
        <w:rPr/>
        <w:t>), brines (</w:t>
      </w:r>
      <w:r>
        <w:rPr>
          <w:i/>
          <w:iCs/>
        </w:rPr>
        <w:t>n</w:t>
      </w:r>
      <w:r>
        <w:rPr/>
        <w:t xml:space="preserve"> = </w:t>
      </w:r>
      <w:r>
        <w:rPr>
          <w:b/>
          <w:bCs/>
        </w:rPr>
        <w:t>58</w:t>
      </w:r>
      <w:r>
        <w:rPr/>
        <w:t>) and sewage (</w:t>
      </w:r>
      <w:r>
        <w:rPr>
          <w:i/>
          <w:iCs/>
        </w:rPr>
        <w:t>n</w:t>
      </w:r>
      <w:r>
        <w:rPr/>
        <w:t xml:space="preserve"> = </w:t>
      </w:r>
      <w:r>
        <w:rPr>
          <w:b/>
          <w:bCs/>
        </w:rPr>
        <w:t>32</w:t>
      </w:r>
      <w:r>
        <w:rPr/>
        <w:t>). Brines and sewage have categorized as ecosystems because they represent systems which are outside the typical hydrological continuum freshwater-oceans.</w:t>
      </w:r>
    </w:p>
    <w:p>
      <w:pPr>
        <w:pStyle w:val="Standard"/>
        <w:spacing w:lineRule="auto" w:line="360" w:before="0" w:after="360"/>
        <w:jc w:val="both"/>
        <w:rPr>
          <w:rFonts w:ascii="Open Sans" w:hAnsi="Open Sans"/>
        </w:rPr>
      </w:pPr>
      <w:r>
        <w:rPr>
          <w:b/>
          <w:bCs/>
        </w:rPr>
        <w:t>Data processing and metrics calculation</w:t>
      </w:r>
    </w:p>
    <w:p>
      <w:pPr>
        <w:pStyle w:val="Standard"/>
        <w:spacing w:lineRule="auto" w:line="360" w:before="0" w:after="360"/>
        <w:jc w:val="both"/>
        <w:rPr>
          <w:rFonts w:ascii="Open Sans" w:hAnsi="Open Sans"/>
        </w:rPr>
      </w:pPr>
      <w:r>
        <w:rPr/>
        <w:t>Absorbance by CDOM were converted to absorption coefficients and expressed per meter using equation 1 (Kirk1994):</w:t>
      </w:r>
    </w:p>
    <w:p>
      <w:pPr>
        <w:pStyle w:val="Standard"/>
        <w:spacing w:lineRule="auto" w:line="360" w:before="0" w:after="360"/>
        <w:jc w:val="center"/>
        <w:rPr>
          <w:rFonts w:ascii="Open Sans" w:hAnsi="Open Sans"/>
        </w:rPr>
      </w:pPr>
      <w:r>
        <w:rPr/>
        <w:t>EQ1 HERE</w:t>
      </w:r>
    </w:p>
    <w:p>
      <w:pPr>
        <w:pStyle w:val="Standard"/>
        <w:spacing w:lineRule="auto" w:line="360" w:before="0" w:after="360"/>
        <w:jc w:val="both"/>
        <w:rPr>
          <w:rFonts w:ascii="Open Sans" w:hAnsi="Open Sans"/>
        </w:rPr>
      </w:pPr>
      <w:r>
        <w:rPr/>
        <w:t>where a</w:t>
      </w:r>
      <w:r>
        <w:rPr>
          <w:vertAlign w:val="subscript"/>
        </w:rPr>
        <w:t>CDOM</w:t>
      </w:r>
      <w:r>
        <w:rPr/>
        <w:t>(λ) is the absorption coefficient (m</w:t>
      </w:r>
      <w:r>
        <w:rPr>
          <w:vertAlign w:val="superscript"/>
        </w:rPr>
        <w:t>−1</w:t>
      </w:r>
      <w:r>
        <w:rPr/>
        <w:t>) at wavelength λ, A(λ) the absorbance at wavelength λ and L the path length of the optical cell in meters. Given that UV–visible absorption spectra of CDOM decrease approximately exponentially with increasing wavelength, a simple exponential model (equation 2) has been used to extract quantitative information about optical properties of CDOM (Jerlov1968, Bricaud1981, Stedmon2001).</w:t>
      </w:r>
    </w:p>
    <w:p>
      <w:pPr>
        <w:pStyle w:val="Standard"/>
        <w:spacing w:lineRule="auto" w:line="360" w:before="0" w:after="360"/>
        <w:jc w:val="center"/>
        <w:rPr>
          <w:rFonts w:ascii="Open Sans" w:hAnsi="Open Sans"/>
        </w:rPr>
      </w:pPr>
      <w:r>
        <w:rPr/>
        <w:t>EQ2 HERE</w:t>
      </w:r>
    </w:p>
    <w:p>
      <w:pPr>
        <w:pStyle w:val="Standard"/>
        <w:spacing w:lineRule="auto" w:line="360" w:before="0" w:after="360"/>
        <w:jc w:val="both"/>
        <w:rPr>
          <w:rFonts w:ascii="Open Sans" w:hAnsi="Open Sans"/>
        </w:rPr>
      </w:pPr>
      <w:r>
        <w:rPr/>
        <w:t>where a</w:t>
      </w:r>
      <w:r>
        <w:rPr>
          <w:vertAlign w:val="subscript"/>
        </w:rPr>
        <w:t>CDOM</w:t>
      </w:r>
      <w:r>
        <w:rPr/>
        <w:t xml:space="preserve"> is the absorption coefficient (m</w:t>
      </w:r>
      <w:r>
        <w:rPr>
          <w:vertAlign w:val="superscript"/>
        </w:rPr>
        <w:t>−1</w:t>
      </w:r>
      <w:r>
        <w:rPr/>
        <w:t>), λ is the wavelength (nm), λ0 is a reference wavelength (nm), K is a background constant (m</w:t>
      </w:r>
      <w:r>
        <w:rPr>
          <w:vertAlign w:val="superscript"/>
        </w:rPr>
        <w:t>−1</w:t>
      </w:r>
      <w:r>
        <w:rPr/>
        <w:t>) accounting for scatter in the cuvette and drift of the instrument. S is the spectral slope (nm</w:t>
      </w:r>
      <w:r>
        <w:rPr>
          <w:vertAlign w:val="superscript"/>
        </w:rPr>
        <w:t>−1</w:t>
      </w:r>
      <w:r>
        <w:rPr/>
        <w:t xml:space="preserve">) that describes the approximate exponential rate of decrease in absorption with increasing wavelengths. </w:t>
      </w:r>
      <w:r>
        <w:rPr>
          <w:rFonts w:cs="Times"/>
          <w:shd w:fill="FFFF00" w:val="clear"/>
          <w:lang w:eastAsia="en-US" w:bidi="ar-SA"/>
        </w:rPr>
        <w:t>For the reminder of the text, S</w:t>
      </w:r>
      <w:r>
        <w:rPr>
          <w:rFonts w:cs="Times"/>
          <w:shd w:fill="FFFF00" w:val="clear"/>
          <w:vertAlign w:val="subscript"/>
          <w:lang w:eastAsia="en-US" w:bidi="ar-SA"/>
        </w:rPr>
        <w:t>300-600</w:t>
      </w:r>
      <w:r>
        <w:rPr>
          <w:rFonts w:cs="Times"/>
          <w:shd w:fill="FFFF00" w:val="clear"/>
          <w:lang w:eastAsia="en-US" w:bidi="ar-SA"/>
        </w:rPr>
        <w:t xml:space="preserve"> denotes the spectral slope calculated between 300 and 600 nm, S</w:t>
      </w:r>
      <w:r>
        <w:rPr>
          <w:rFonts w:cs="Times"/>
          <w:shd w:fill="FFFF00" w:val="clear"/>
          <w:vertAlign w:val="subscript"/>
          <w:lang w:eastAsia="en-US" w:bidi="ar-SA"/>
        </w:rPr>
        <w:t>275-295</w:t>
      </w:r>
      <w:r>
        <w:rPr>
          <w:rFonts w:cs="Times"/>
          <w:shd w:fill="FFFF00" w:val="clear"/>
          <w:lang w:eastAsia="en-US" w:bidi="ar-SA"/>
        </w:rPr>
        <w:t xml:space="preserve"> the spectral slope calculated between 275 and 295 nm and S</w:t>
      </w:r>
      <w:r>
        <w:rPr>
          <w:rFonts w:cs="Times"/>
          <w:shd w:fill="FFFF00" w:val="clear"/>
          <w:vertAlign w:val="subscript"/>
          <w:lang w:eastAsia="en-US" w:bidi="ar-SA"/>
        </w:rPr>
        <w:t>350-400</w:t>
      </w:r>
      <w:r>
        <w:rPr>
          <w:rFonts w:cs="Times"/>
          <w:shd w:fill="FFFF00" w:val="clear"/>
          <w:lang w:eastAsia="en-US" w:bidi="ar-SA"/>
        </w:rPr>
        <w:t xml:space="preserve"> the spectral slope calculated between 350 and 400 nm. </w:t>
      </w:r>
      <w:r>
        <w:rPr>
          <w:rFonts w:cs="Times"/>
          <w:lang w:eastAsia="en-US" w:bidi="ar-SA"/>
        </w:rPr>
        <w:t>Specific UV absorbance (SUVA</w:t>
      </w:r>
      <w:r>
        <w:rPr>
          <w:rFonts w:cs="Times"/>
          <w:vertAlign w:val="subscript"/>
          <w:lang w:eastAsia="en-US" w:bidi="ar-SA"/>
        </w:rPr>
        <w:t>254</w:t>
      </w:r>
      <w:r>
        <w:rPr>
          <w:rFonts w:cs="Times"/>
          <w:lang w:eastAsia="en-US" w:bidi="ar-SA"/>
        </w:rPr>
        <w:t xml:space="preserve">, L </w:t>
      </w:r>
      <w:r>
        <w:rPr>
          <w:rFonts w:cs="Times"/>
          <w:color w:val="252525"/>
          <w:lang w:eastAsia="en-US" w:bidi="ar-SA"/>
        </w:rPr>
        <w:t>× mgC</w:t>
      </w:r>
      <w:r>
        <w:rPr>
          <w:rFonts w:cs="Times"/>
          <w:color w:val="252525"/>
          <w:vertAlign w:val="superscript"/>
          <w:lang w:eastAsia="en-US" w:bidi="ar-SA"/>
        </w:rPr>
        <w:t>-1</w:t>
      </w:r>
      <w:r>
        <w:rPr>
          <w:rFonts w:cs="Times"/>
          <w:color w:val="252525"/>
          <w:position w:val="0"/>
          <w:sz w:val="24"/>
          <w:sz w:val="24"/>
          <w:vertAlign w:val="baseline"/>
          <w:lang w:eastAsia="en-US" w:bidi="ar-SA"/>
        </w:rPr>
        <w:t xml:space="preserve"> </w:t>
      </w:r>
      <w:r>
        <w:rPr>
          <w:rFonts w:cs="Times"/>
          <w:color w:val="252525"/>
          <w:lang w:eastAsia="en-US" w:bidi="ar-SA"/>
        </w:rPr>
        <w:t>× m</w:t>
      </w:r>
      <w:r>
        <w:rPr>
          <w:rFonts w:cs="Times"/>
          <w:color w:val="252525"/>
          <w:vertAlign w:val="superscript"/>
          <w:lang w:eastAsia="en-US" w:bidi="ar-SA"/>
        </w:rPr>
        <w:t>-1</w:t>
      </w:r>
      <w:r>
        <w:rPr>
          <w:rFonts w:cs="Times"/>
          <w:lang w:eastAsia="en-US" w:bidi="ar-SA"/>
        </w:rPr>
        <w:t xml:space="preserve">) was calculated by dividing absorbance at 254 nm by DOC content in mgC </w:t>
      </w:r>
      <w:r>
        <w:rPr>
          <w:rFonts w:cs="Times"/>
          <w:color w:val="252525"/>
          <w:lang w:eastAsia="en-US" w:bidi="ar-SA"/>
        </w:rPr>
        <w:t>× L</w:t>
      </w:r>
      <w:r>
        <w:rPr>
          <w:rFonts w:cs="Times"/>
          <w:color w:val="252525"/>
          <w:vertAlign w:val="superscript"/>
          <w:lang w:eastAsia="en-US" w:bidi="ar-SA"/>
        </w:rPr>
        <w:t>-1</w:t>
      </w:r>
      <w:r>
        <w:rPr>
          <w:rFonts w:cs="Times"/>
          <w:lang w:eastAsia="en-US" w:bidi="ar-SA"/>
        </w:rPr>
        <w:t xml:space="preserve"> (Weisharr2003). For other analysis, DOC were expressed in µm of carbon assuming that one mole of carbon weight 12 grams. Spectral slope curves based on CDOM absorption spectra were calculating as described in Loiselle2009. Briefly, spectral slopes were calculated over a sliding window of 21 nm along the complete spectral range using equation 2. Each calculated value was associated to the middle wavelength of the current sliding window.</w:t>
      </w:r>
    </w:p>
    <w:p>
      <w:pPr>
        <w:pStyle w:val="Standard"/>
        <w:spacing w:lineRule="auto" w:line="360" w:before="0" w:after="360"/>
        <w:jc w:val="both"/>
        <w:rPr>
          <w:rFonts w:ascii="Open Sans" w:hAnsi="Open Sans"/>
        </w:rPr>
      </w:pPr>
      <w:r>
        <w:rPr/>
        <w:t>Given the wide range of wavelengths used in each study, absorption spectra were filtered to keep measurements between 250 and 600 nm at 1 nm increment. For the Nelson et al. (</w:t>
      </w:r>
      <w:r>
        <w:rPr>
          <w:shd w:fill="FFFF00" w:val="clear"/>
        </w:rPr>
        <w:t>2001</w:t>
      </w:r>
      <w:r>
        <w:rPr/>
        <w:t>) dataset (Table 1), absorption was only available between 275 and 600 nm, and not included in the spectral analysis. Five criterion were used to control the quality of absorption spectra: (1) SUVA</w:t>
      </w:r>
      <w:r>
        <w:rPr>
          <w:vertAlign w:val="subscript"/>
        </w:rPr>
        <w:t>254</w:t>
      </w:r>
      <w:r>
        <w:rPr/>
        <w:t xml:space="preserve"> had to be smaller or equal to 6 </w:t>
      </w:r>
      <w:r>
        <w:rPr>
          <w:b/>
          <w:bCs/>
        </w:rPr>
        <w:t>xxxx</w:t>
      </w:r>
      <w:r>
        <w:rPr/>
        <w:t>, (2) the spectral slope (S, equation 2) had to be smaller than 0.08 nm</w:t>
      </w:r>
      <w:r>
        <w:rPr>
          <w:vertAlign w:val="superscript"/>
        </w:rPr>
        <w:t>-1</w:t>
      </w:r>
      <w:r>
        <w:rPr/>
        <w:t>, (3) the determination coefficient of the fit (R</w:t>
      </w:r>
      <w:r>
        <w:rPr>
          <w:vertAlign w:val="superscript"/>
        </w:rPr>
        <w:t>2</w:t>
      </w:r>
      <w:r>
        <w:rPr/>
        <w:t>, equation 1) needed to be at least 0.95, (4) the value of a</w:t>
      </w:r>
      <w:r>
        <w:rPr>
          <w:vertAlign w:val="subscript"/>
        </w:rPr>
        <w:t>CDOM</w:t>
      </w:r>
      <w:r>
        <w:rPr/>
        <w:t>(440) needed to be positive and (5) the value of a</w:t>
      </w:r>
      <w:r>
        <w:rPr>
          <w:vertAlign w:val="subscript"/>
        </w:rPr>
        <w:t>CDOM</w:t>
      </w:r>
      <w:r>
        <w:rPr/>
        <w:t>(350) needed to be &gt; 0.01 m</w:t>
      </w:r>
      <w:r>
        <w:rPr>
          <w:vertAlign w:val="superscript"/>
        </w:rPr>
        <w:t>-1</w:t>
      </w:r>
      <w:r>
        <w:rPr/>
        <w:t xml:space="preserve">. Based on these criteria, a total of </w:t>
      </w:r>
      <w:r>
        <w:rPr>
          <w:shd w:fill="FFFF00" w:val="clear"/>
        </w:rPr>
        <w:t>119</w:t>
      </w:r>
      <w:r>
        <w:rPr/>
        <w:t xml:space="preserve"> absorption spectra were discarded from further analyzes.</w:t>
      </w:r>
    </w:p>
    <w:p>
      <w:pPr>
        <w:pStyle w:val="Standard"/>
        <w:spacing w:lineRule="auto" w:line="360" w:before="0" w:after="360"/>
        <w:jc w:val="both"/>
        <w:rPr>
          <w:rFonts w:ascii="Open Sans" w:hAnsi="Open Sans"/>
        </w:rPr>
      </w:pPr>
      <w:r>
        <w:rPr>
          <w:b/>
          <w:bCs/>
        </w:rPr>
        <w:t>Estimation of a</w:t>
      </w:r>
      <w:r>
        <w:rPr>
          <w:b/>
          <w:bCs/>
          <w:vertAlign w:val="subscript"/>
        </w:rPr>
        <w:t>CDOM</w:t>
      </w:r>
      <w:r>
        <w:rPr>
          <w:b/>
          <w:bCs/>
        </w:rPr>
        <w:t>(350)</w:t>
      </w:r>
    </w:p>
    <w:p>
      <w:pPr>
        <w:pStyle w:val="Standard"/>
        <w:spacing w:lineRule="auto" w:line="360" w:before="0" w:after="360"/>
        <w:jc w:val="both"/>
        <w:rPr>
          <w:rFonts w:ascii="Open Sans" w:hAnsi="Open Sans"/>
        </w:rPr>
      </w:pPr>
      <w:r>
        <w:rPr/>
        <w:t>In the extracted data, we found out that a wide range of different wavelengths (between 253 and 443 nm) were used to report absorption coefficients of CDOM (Supplementary Table 2). To make absorption coefficient comparable among studies, an interpolation procedure was used to estimate a</w:t>
      </w:r>
      <w:r>
        <w:rPr>
          <w:vertAlign w:val="subscript"/>
        </w:rPr>
        <w:t>CDOM</w:t>
      </w:r>
      <w:r>
        <w:rPr/>
        <w:t>(350) independently of the wavelength used in each study. This choice was motivated because absorption at 350 nm was among the most reported wavelength in the available data. To achieve this, we used complete absorption spectra (n = 2387) to predict the value of a</w:t>
      </w:r>
      <w:r>
        <w:rPr>
          <w:vertAlign w:val="subscript"/>
        </w:rPr>
        <w:t>CDOM</w:t>
      </w:r>
      <w:r>
        <w:rPr/>
        <w:t>(350) from observations measured at other wavelengths (Fig. 2). This was done by regressing all the absorption values at a specific wavelength against that measured at 350 nm (ex. a</w:t>
      </w:r>
      <w:r>
        <w:rPr>
          <w:vertAlign w:val="subscript"/>
        </w:rPr>
        <w:t>CDOM</w:t>
      </w:r>
      <w:r>
        <w:rPr/>
        <w:t>(254) vs. a</w:t>
      </w:r>
      <w:r>
        <w:rPr>
          <w:vertAlign w:val="subscript"/>
        </w:rPr>
        <w:t>CDOM</w:t>
      </w:r>
      <w:r>
        <w:rPr/>
        <w:t>(350)). Then, the slope and the intercept of the linear regression were used to predict a</w:t>
      </w:r>
      <w:r>
        <w:rPr>
          <w:vertAlign w:val="subscript"/>
        </w:rPr>
        <w:t>CDOM</w:t>
      </w:r>
      <w:r>
        <w:rPr/>
        <w:t>(350) from a</w:t>
      </w:r>
      <w:r>
        <w:rPr>
          <w:vertAlign w:val="subscript"/>
        </w:rPr>
        <w:t>CDOM</w:t>
      </w:r>
      <w:r>
        <w:rPr/>
        <w:t xml:space="preserve">(λ). Based on reported wavelengths, a total of </w:t>
      </w:r>
      <w:r>
        <w:rPr>
          <w:b/>
          <w:bCs/>
        </w:rPr>
        <w:t>17</w:t>
      </w:r>
      <w:r>
        <w:rPr/>
        <w:t xml:space="preserve"> linear models were made (Supplementary Table 2). A minimum value of 0.98 for the determination coefficient (</w:t>
      </w:r>
      <w:r>
        <w:rPr>
          <w:i/>
          <w:iCs/>
        </w:rPr>
        <w:t>R</w:t>
      </w:r>
      <w:r>
        <w:rPr>
          <w:i/>
          <w:iCs/>
          <w:vertAlign w:val="superscript"/>
        </w:rPr>
        <w:t>2</w:t>
      </w:r>
      <w:r>
        <w:rPr/>
        <w:t xml:space="preserve">) was used as a threshold to discard observations that were </w:t>
      </w:r>
      <w:r>
        <w:rPr>
          <w:shd w:fill="FFFF00" w:val="clear"/>
        </w:rPr>
        <w:t>too far</w:t>
      </w:r>
      <w:r>
        <w:rPr/>
        <w:t xml:space="preserve"> from the targeted wavelength of 350 nm. </w:t>
      </w:r>
    </w:p>
    <w:p>
      <w:pPr>
        <w:pStyle w:val="Standard"/>
        <w:spacing w:lineRule="auto" w:line="360" w:before="0" w:after="360"/>
        <w:jc w:val="both"/>
        <w:rPr>
          <w:rFonts w:ascii="Open Sans" w:hAnsi="Open Sans"/>
        </w:rPr>
      </w:pPr>
      <w:r>
        <w:rPr>
          <w:b/>
          <w:bCs/>
        </w:rPr>
        <w:t>Estimation of DOM biogeochemical processing history</w:t>
      </w:r>
    </w:p>
    <w:p>
      <w:pPr>
        <w:pStyle w:val="Standard"/>
        <w:spacing w:lineRule="auto" w:line="360" w:before="0" w:after="360"/>
        <w:jc w:val="both"/>
        <w:rPr/>
      </w:pPr>
      <w:r>
        <w:rPr/>
        <w:t>We used the distance to the closest shoreline and the SUVA</w:t>
      </w:r>
      <w:r>
        <w:rPr>
          <w:vertAlign w:val="subscript"/>
        </w:rPr>
        <w:t>254</w:t>
      </w:r>
      <w:r>
        <w:rPr/>
        <w:t xml:space="preserve"> to estimate DOM biogeochemical processing history (bleaching) and reactivity for river and marine samples along the aquatic continuum from rivers to oceans. The distance to the closest coastline was calculated using ocean shapefiles (resolution </w:t>
      </w:r>
      <w:r>
        <w:rPr>
          <w:color w:val="00000A"/>
        </w:rPr>
        <w:t>= 1:110000000) ope</w:t>
      </w:r>
      <w:r>
        <w:rPr/>
        <w:t>nly available on the Natural Earth website (</w:t>
      </w:r>
      <w:hyperlink r:id="rId2">
        <w:r>
          <w:rPr>
            <w:rStyle w:val="InternetLink1"/>
          </w:rPr>
          <w:t>http://www.naturalearthdata.com/</w:t>
        </w:r>
      </w:hyperlink>
      <w:r>
        <w:rPr/>
        <w:t xml:space="preserve">) and the </w:t>
      </w:r>
      <w:r>
        <w:rPr>
          <w:b/>
          <w:bCs/>
        </w:rPr>
        <w:t>rworldmap</w:t>
      </w:r>
      <w:r>
        <w:rPr/>
        <w:t xml:space="preserve"> R package (South2011). For inland samples (rivers) the measured distance have been assigned to positive distances whereas for marine samples, the measured distance were assigned to negative distances. Lakes were not included to this analysis, since their connectivity to larger-scale aquatic continuum is less obvious than that of rivers. Because precise geographical coordinates were not always available and thus often estimated by hand using available maps, calculated distances have been pooled using 150 km bins which was found to roughly distribute the observations equally in each bin.</w:t>
      </w:r>
    </w:p>
    <w:p>
      <w:pPr>
        <w:pStyle w:val="Standard"/>
        <w:spacing w:lineRule="auto" w:line="360" w:before="0" w:after="360"/>
        <w:jc w:val="both"/>
        <w:rPr>
          <w:rFonts w:ascii="Open Sans" w:hAnsi="Open Sans"/>
        </w:rPr>
      </w:pPr>
      <w:r>
        <w:rPr>
          <w:b/>
          <w:bCs/>
        </w:rPr>
        <w:t>Statistical analysis</w:t>
      </w:r>
    </w:p>
    <w:p>
      <w:pPr>
        <w:pStyle w:val="Standard"/>
        <w:spacing w:lineRule="auto" w:line="360" w:before="0" w:after="360"/>
        <w:jc w:val="both"/>
        <w:rPr>
          <w:rFonts w:ascii="Open Sans" w:hAnsi="Open Sans"/>
        </w:rPr>
      </w:pPr>
      <w:r>
        <w:rPr/>
        <w:t xml:space="preserve">Segmentation analysis were performed using the </w:t>
      </w:r>
      <w:r>
        <w:rPr>
          <w:b/>
          <w:bCs/>
        </w:rPr>
        <w:t>segmented</w:t>
      </w:r>
      <w:r>
        <w:rPr/>
        <w:t xml:space="preserve"> R package (Muggeo2003, Muggeo2008). CDOM metrics were calculated using the </w:t>
      </w:r>
      <w:r>
        <w:rPr>
          <w:b/>
          <w:bCs/>
        </w:rPr>
        <w:t>cdom</w:t>
      </w:r>
      <w:r>
        <w:rPr/>
        <w:t xml:space="preserve"> R package (Massicotte2016MC). Geographical analyses were done using the </w:t>
      </w:r>
      <w:r>
        <w:rPr>
          <w:b/>
          <w:bCs/>
        </w:rPr>
        <w:t>rgeos</w:t>
      </w:r>
      <w:r>
        <w:rPr/>
        <w:t xml:space="preserve"> R package (Bivand2016). All statistical analysis were performed in R 3.3.1 (RCoreTeam2016).</w:t>
      </w:r>
      <w:r>
        <w:br w:type="page"/>
      </w:r>
    </w:p>
    <w:p>
      <w:pPr>
        <w:pStyle w:val="Standard"/>
        <w:spacing w:lineRule="auto" w:line="360" w:before="0" w:after="360"/>
        <w:jc w:val="both"/>
        <w:rPr>
          <w:rFonts w:ascii="Open Sans" w:hAnsi="Open Sans"/>
        </w:rPr>
      </w:pPr>
      <w:r>
        <w:rPr>
          <w:b/>
          <w:bCs/>
        </w:rPr>
        <w:t>Results</w:t>
      </w:r>
    </w:p>
    <w:p>
      <w:pPr>
        <w:pStyle w:val="Standard"/>
        <w:spacing w:lineRule="auto" w:line="360" w:before="0" w:after="360"/>
        <w:jc w:val="both"/>
        <w:rPr>
          <w:rFonts w:ascii="Open Sans" w:hAnsi="Open Sans"/>
        </w:rPr>
      </w:pPr>
      <w:r>
        <w:rPr>
          <w:b/>
          <w:bCs/>
        </w:rPr>
        <w:t>Estimation of a</w:t>
      </w:r>
      <w:r>
        <w:rPr>
          <w:b/>
          <w:bCs/>
          <w:vertAlign w:val="subscript"/>
        </w:rPr>
        <w:t>CDOM</w:t>
      </w:r>
      <w:r>
        <w:rPr>
          <w:b/>
          <w:bCs/>
        </w:rPr>
        <w:t>(350)</w:t>
      </w:r>
    </w:p>
    <w:p>
      <w:pPr>
        <w:pStyle w:val="Standard"/>
        <w:spacing w:lineRule="auto" w:line="360" w:before="0" w:after="360"/>
        <w:jc w:val="both"/>
        <w:rPr>
          <w:rFonts w:ascii="Open Sans" w:hAnsi="Open Sans"/>
        </w:rPr>
      </w:pPr>
      <w:r>
        <w:rPr/>
        <w:t xml:space="preserve">Results of the linear regressions used to predict </w:t>
      </w:r>
      <w:r>
        <w:rPr>
          <w:i w:val="false"/>
          <w:iCs w:val="false"/>
        </w:rPr>
        <w:t>a</w:t>
      </w:r>
      <w:r>
        <w:rPr>
          <w:vertAlign w:val="subscript"/>
        </w:rPr>
        <w:t>CDOM</w:t>
      </w:r>
      <w:r>
        <w:rPr/>
        <w:t>(350) from other wavelengths are shown in Fig. 2. Between 250 and 350 nm, determination coefficients (R</w:t>
      </w:r>
      <w:r>
        <w:rPr>
          <w:vertAlign w:val="superscript"/>
        </w:rPr>
        <w:t>2</w:t>
      </w:r>
      <w:r>
        <w:rPr/>
        <w:t>) gradually increased from 0.987 to 1 (Fig. 2A). After 350 nm, R</w:t>
      </w:r>
      <w:r>
        <w:rPr>
          <w:vertAlign w:val="superscript"/>
        </w:rPr>
        <w:t>2</w:t>
      </w:r>
      <w:r>
        <w:rPr/>
        <w:t xml:space="preserve"> decreased rapidly to reach 0.86 at 500 nm. Between 250 and 500 nm, the slope values increased almost exponentially (0.28-6.99, Fig. 2B) whereas the intercepts increased linearly between -1.4 and 1.5 m</w:t>
      </w:r>
      <w:r>
        <w:rPr>
          <w:vertAlign w:val="superscript"/>
        </w:rPr>
        <w:t>-1</w:t>
      </w:r>
      <w:r>
        <w:rPr/>
        <w:t xml:space="preserve"> (Fig. 2C). Perfect fit at 350 nm (vertical dashed lines) shows values of R</w:t>
      </w:r>
      <w:r>
        <w:rPr>
          <w:vertAlign w:val="superscript"/>
        </w:rPr>
        <w:t>2</w:t>
      </w:r>
      <w:r>
        <w:rPr/>
        <w:t>, slope and intercept a 1, 1 and 0. Note that the 95% confidence interval of the estimated slope values is hardly distinguishable (shaded areas in Fig. 2B). Regression coefficients used to interpolate a</w:t>
      </w:r>
      <w:r>
        <w:rPr>
          <w:vertAlign w:val="subscript"/>
        </w:rPr>
        <w:t>CDOM</w:t>
      </w:r>
      <w:r>
        <w:rPr/>
        <w:t>(λ) in this study are presented in Supplementary Table 2. Absorption coefficients measured higher than 412 nm were discarded because of the R</w:t>
      </w:r>
      <w:r>
        <w:rPr>
          <w:vertAlign w:val="superscript"/>
        </w:rPr>
        <w:t>2</w:t>
      </w:r>
      <w:r>
        <w:rPr/>
        <w:t xml:space="preserve"> bellow the selected threshold of 0.98. A heat map plot showing the R</w:t>
      </w:r>
      <w:r>
        <w:rPr>
          <w:vertAlign w:val="superscript"/>
        </w:rPr>
        <w:t>2</w:t>
      </w:r>
      <w:r>
        <w:rPr/>
        <w:t xml:space="preserve"> of the regressions between all possible pairs of wavelengths between 250 nm and 500 nm is presented in supplementary Fig. 2 (</w:t>
      </w:r>
      <w:r>
        <w:rPr>
          <w:i/>
          <w:iCs/>
        </w:rPr>
        <w:t>n</w:t>
      </w:r>
      <w:r>
        <w:rPr/>
        <w:t xml:space="preserve"> = 63001). Corresponding coefficients are provided as a supplementary comma-separated values (CSV) file for enabling calculation of a given wavelength from another in the range of 250-500 nm.</w:t>
      </w:r>
    </w:p>
    <w:p>
      <w:pPr>
        <w:pStyle w:val="Standard"/>
        <w:spacing w:lineRule="auto" w:line="360" w:before="0" w:after="360"/>
        <w:jc w:val="both"/>
        <w:rPr>
          <w:rFonts w:ascii="Open Sans" w:hAnsi="Open Sans"/>
        </w:rPr>
      </w:pPr>
      <w:r>
        <w:rPr>
          <w:b/>
          <w:bCs/>
        </w:rPr>
        <w:t>Global relationship between DOC and a</w:t>
      </w:r>
      <w:r>
        <w:rPr>
          <w:b/>
          <w:bCs/>
          <w:vertAlign w:val="subscript"/>
        </w:rPr>
        <w:t>CDOM</w:t>
      </w:r>
      <w:r>
        <w:rPr>
          <w:b/>
          <w:bCs/>
        </w:rPr>
        <w:t>(350)</w:t>
      </w:r>
    </w:p>
    <w:p>
      <w:pPr>
        <w:pStyle w:val="Standard"/>
        <w:spacing w:lineRule="auto" w:line="360" w:before="0" w:after="360"/>
        <w:jc w:val="both"/>
        <w:rPr>
          <w:rFonts w:ascii="Open Sans" w:hAnsi="Open Sans"/>
        </w:rPr>
      </w:pPr>
      <w:r>
        <w:rPr/>
        <w:t>A strong positive log-linear relationship was found between a</w:t>
      </w:r>
      <w:r>
        <w:rPr>
          <w:vertAlign w:val="subscript"/>
        </w:rPr>
        <w:t>CDOM</w:t>
      </w:r>
      <w:r>
        <w:rPr/>
        <w:t xml:space="preserve">(350) and DOC (Fig. 4A, n = </w:t>
      </w:r>
      <w:r>
        <w:rPr>
          <w:shd w:fill="FFFF00" w:val="clear"/>
        </w:rPr>
        <w:t>11562</w:t>
      </w:r>
      <w:r>
        <w:rPr/>
        <w:t>, R</w:t>
      </w:r>
      <w:r>
        <w:rPr>
          <w:vertAlign w:val="superscript"/>
        </w:rPr>
        <w:t>2</w:t>
      </w:r>
      <w:r>
        <w:rPr/>
        <w:t xml:space="preserve"> = 0.93, p &lt; 0.0001). At low value of DOC (35 µmol), predicted value of a</w:t>
      </w:r>
      <w:r>
        <w:rPr>
          <w:vertAlign w:val="subscript"/>
        </w:rPr>
        <w:t>CDOM</w:t>
      </w:r>
      <w:r>
        <w:rPr/>
        <w:t>(350) was 0.03 m</w:t>
      </w:r>
      <w:r>
        <w:rPr>
          <w:vertAlign w:val="superscript"/>
        </w:rPr>
        <w:t>-1</w:t>
      </w:r>
      <w:r>
        <w:rPr/>
        <w:t>. As DOC increased to a maximum of 44600 µmol in wetlands, predicted a</w:t>
      </w:r>
      <w:r>
        <w:rPr>
          <w:vertAlign w:val="subscript"/>
        </w:rPr>
        <w:t>CDOM</w:t>
      </w:r>
      <w:r>
        <w:rPr/>
        <w:t>(350) reached 1097 m</w:t>
      </w:r>
      <w:r>
        <w:rPr>
          <w:vertAlign w:val="superscript"/>
        </w:rPr>
        <w:t xml:space="preserve">-1 </w:t>
      </w:r>
      <w:r>
        <w:rPr/>
        <w:t>(Fig. 4A). The derived equation from the log-linear model indicated that a</w:t>
      </w:r>
      <w:r>
        <w:rPr>
          <w:vertAlign w:val="subscript"/>
        </w:rPr>
        <w:t>CDOM</w:t>
      </w:r>
      <w:r>
        <w:rPr/>
        <w:t xml:space="preserve">(350) increases by </w:t>
      </w:r>
      <w:r>
        <w:rPr>
          <w:shd w:fill="FFFF00" w:val="clear"/>
        </w:rPr>
        <w:t>xxx</w:t>
      </w:r>
      <w:r>
        <w:rPr/>
        <w:t xml:space="preserve"> m</w:t>
      </w:r>
      <w:r>
        <w:rPr>
          <w:vertAlign w:val="superscript"/>
        </w:rPr>
        <w:t>-1</w:t>
      </w:r>
      <w:r>
        <w:rPr/>
        <w:t xml:space="preserve"> for each unit of increase in DOC. The robustness of the global relationship was found to vary greatly among the different ecosystems and R</w:t>
      </w:r>
      <w:r>
        <w:rPr>
          <w:vertAlign w:val="superscript"/>
        </w:rPr>
        <w:t>2</w:t>
      </w:r>
      <w:r>
        <w:rPr/>
        <w:t xml:space="preserve"> averaged </w:t>
      </w:r>
      <w:r>
        <w:rPr>
          <w:shd w:fill="FFFF00" w:val="clear"/>
        </w:rPr>
        <w:t>0.68</w:t>
      </w:r>
      <w:r>
        <w:rPr/>
        <w:t xml:space="preserve"> (Fig. 4B, supplementary Fig. 3). The individual relationships between DOC and a</w:t>
      </w:r>
      <w:r>
        <w:rPr>
          <w:vertAlign w:val="subscript"/>
        </w:rPr>
        <w:t>CDOM</w:t>
      </w:r>
      <w:r>
        <w:rPr/>
        <w:t>(350) for observations in ocean, coastal, lake and sewage was found to be weaker than the calculated average which caused larger scattering around the regression line at low DOC values (Fig. 4A). The weakest relationship between DOC and a</w:t>
      </w:r>
      <w:r>
        <w:rPr>
          <w:vertAlign w:val="subscript"/>
        </w:rPr>
        <w:t>CDOM</w:t>
      </w:r>
      <w:r>
        <w:rPr/>
        <w:t>(350) was found in the ocean ecosystem (R</w:t>
      </w:r>
      <w:r>
        <w:rPr>
          <w:vertAlign w:val="superscript"/>
        </w:rPr>
        <w:t>2</w:t>
      </w:r>
      <w:r>
        <w:rPr/>
        <w:t xml:space="preserve"> = 0.31) whereas the strongest one was found in the wetland ecosystem (R</w:t>
      </w:r>
      <w:r>
        <w:rPr>
          <w:vertAlign w:val="superscript"/>
        </w:rPr>
        <w:t>2</w:t>
      </w:r>
      <w:r>
        <w:rPr/>
        <w:t xml:space="preserve"> = 0.94) which presented similarities with pond and estuary ecosystems.</w:t>
      </w:r>
    </w:p>
    <w:p>
      <w:pPr>
        <w:pStyle w:val="Standard"/>
        <w:spacing w:lineRule="auto" w:line="360" w:before="0" w:after="360"/>
        <w:jc w:val="both"/>
        <w:rPr>
          <w:rFonts w:ascii="Open Sans" w:hAnsi="Open Sans"/>
        </w:rPr>
      </w:pPr>
      <w:r>
        <w:rPr>
          <w:b/>
          <w:bCs/>
        </w:rPr>
        <w:t>Estimation of DOC using absorption coefficients</w:t>
      </w:r>
    </w:p>
    <w:p>
      <w:pPr>
        <w:pStyle w:val="Standard"/>
        <w:spacing w:lineRule="auto" w:line="360" w:before="0" w:after="360"/>
        <w:jc w:val="both"/>
        <w:rPr>
          <w:rFonts w:ascii="Open Sans" w:hAnsi="Open Sans"/>
        </w:rPr>
      </w:pPr>
      <w:r>
        <w:rPr/>
        <w:t>Estimation of DOC concentration using CDOM absorption measurements is a commonly used technique in many ecological studies but the relationship between these two key parameters is rarelyevaluated on global scale. The robustness of the DOC predictions from absorption measured at different wavelengths are presented in Fig. 5. For this exercise, ecosystems were reclassified in general end-members as follow:  freshwater (lakes, rivers, sewage, ponds, wetlands), coastal (coasts, estuaries) and ocean. For all these end member ecosystems, prediction of DOC as a function of a</w:t>
      </w:r>
      <w:r>
        <w:rPr>
          <w:vertAlign w:val="subscript"/>
        </w:rPr>
        <w:t>CDOM</w:t>
      </w:r>
      <w:r>
        <w:rPr/>
        <w:t>(λ) was found to decrease monotonically with increasing wavelengths but with varying magnitude (Fig. 5). In freshwater, the robustness of the relationship between a</w:t>
      </w:r>
      <w:r>
        <w:rPr>
          <w:vertAlign w:val="subscript"/>
        </w:rPr>
        <w:t>CDOM</w:t>
      </w:r>
      <w:r>
        <w:rPr/>
        <w:t>(λ) and DOC remained relatively high and stable between 250 and 400 nm with and averaged 0.98 before decreasing to 0.68 at 500 nm. Prediction of DOC was also relatively high for coastal samples where R</w:t>
      </w:r>
      <w:r>
        <w:rPr>
          <w:vertAlign w:val="superscript"/>
        </w:rPr>
        <w:t>2</w:t>
      </w:r>
      <w:r>
        <w:rPr/>
        <w:t xml:space="preserve"> varied between 0.82 and 0.64. For marine samples, the prediction of DOC from absorption measurements was much lower and R</w:t>
      </w:r>
      <w:r>
        <w:rPr>
          <w:vertAlign w:val="superscript"/>
        </w:rPr>
        <w:t>2</w:t>
      </w:r>
      <w:r>
        <w:rPr/>
        <w:t xml:space="preserve"> decreased rapidly from 0.63 at 250 nm to 0.023 at 500 nm.</w:t>
      </w:r>
    </w:p>
    <w:p>
      <w:pPr>
        <w:pStyle w:val="Standard"/>
        <w:spacing w:lineRule="auto" w:line="360" w:before="0" w:after="360"/>
        <w:jc w:val="both"/>
        <w:rPr>
          <w:rFonts w:ascii="Open Sans" w:hAnsi="Open Sans"/>
        </w:rPr>
      </w:pPr>
      <w:r>
        <w:rPr>
          <w:b/>
          <w:bCs/>
        </w:rPr>
        <w:t>Distribution of a</w:t>
      </w:r>
      <w:r>
        <w:rPr>
          <w:b/>
          <w:bCs/>
          <w:vertAlign w:val="subscript"/>
        </w:rPr>
        <w:t>CDOM</w:t>
      </w:r>
      <w:r>
        <w:rPr>
          <w:b/>
          <w:bCs/>
        </w:rPr>
        <w:t>(350), DOC and SUVA</w:t>
      </w:r>
      <w:r>
        <w:rPr>
          <w:b/>
          <w:bCs/>
          <w:vertAlign w:val="subscript"/>
        </w:rPr>
        <w:t>350</w:t>
      </w:r>
      <w:r>
        <w:rPr>
          <w:b/>
          <w:bCs/>
        </w:rPr>
        <w:t xml:space="preserve"> along the aquatic continuum</w:t>
      </w:r>
    </w:p>
    <w:p>
      <w:pPr>
        <w:pStyle w:val="Standard"/>
        <w:spacing w:lineRule="auto" w:line="360" w:before="0" w:after="360"/>
        <w:jc w:val="both"/>
        <w:rPr>
          <w:rFonts w:ascii="Open Sans" w:hAnsi="Open Sans"/>
        </w:rPr>
      </w:pPr>
      <w:r>
        <w:rPr/>
        <w:t xml:space="preserve">The distributions of the principal variables used to characterize the DOM pool along the freshwater-marine continuum are presented in Fig. 3. DOC concentrations ranged from 19.2 to 44600 µm C </w:t>
      </w:r>
      <w:r>
        <w:rPr>
          <w:i/>
          <w:color w:val="252525"/>
        </w:rPr>
        <w:t xml:space="preserve">× </w:t>
      </w:r>
      <w:r>
        <w:rPr>
          <w:color w:val="252525"/>
        </w:rPr>
        <w:t>L</w:t>
      </w:r>
      <w:r>
        <w:rPr>
          <w:color w:val="252525"/>
          <w:vertAlign w:val="superscript"/>
        </w:rPr>
        <w:t>-1</w:t>
      </w:r>
      <w:r>
        <w:rPr>
          <w:color w:val="252525"/>
        </w:rPr>
        <w:t xml:space="preserve">, with a mean value of 769.3 </w:t>
      </w:r>
      <w:r>
        <w:rPr>
          <w:rFonts w:cs="Open Sans"/>
          <w:color w:val="252525"/>
        </w:rPr>
        <w:t>± 1854.8</w:t>
      </w:r>
      <w:r>
        <w:rPr/>
        <w:t xml:space="preserve"> µm C </w:t>
      </w:r>
      <w:r>
        <w:rPr>
          <w:i/>
          <w:color w:val="252525"/>
        </w:rPr>
        <w:t xml:space="preserve">× </w:t>
      </w:r>
      <w:r>
        <w:rPr>
          <w:color w:val="252525"/>
        </w:rPr>
        <w:t>L</w:t>
      </w:r>
      <w:r>
        <w:rPr>
          <w:color w:val="252525"/>
          <w:vertAlign w:val="superscript"/>
        </w:rPr>
        <w:t>-1</w:t>
      </w:r>
      <w:r>
        <w:rPr>
          <w:color w:val="252525"/>
        </w:rPr>
        <w:t xml:space="preserve">. </w:t>
      </w:r>
      <w:r>
        <w:rPr/>
        <w:t>Absorption coefficients at 350 nm varied by three orders of magnitude between wetland and ocean ecosystems (Fig. 3A). In wetlands, median a</w:t>
      </w:r>
      <w:r>
        <w:rPr>
          <w:vertAlign w:val="subscript"/>
        </w:rPr>
        <w:t>CDOM</w:t>
      </w:r>
      <w:r>
        <w:rPr/>
        <w:t>(350) was 87.2 m</w:t>
      </w:r>
      <w:r>
        <w:rPr>
          <w:vertAlign w:val="superscript"/>
        </w:rPr>
        <w:t>-1</w:t>
      </w:r>
      <w:r>
        <w:rPr/>
        <w:t xml:space="preserve"> and decreased linearly along the freshwater-marine continuum to reach 0.08 m</w:t>
      </w:r>
      <w:r>
        <w:rPr>
          <w:vertAlign w:val="superscript"/>
        </w:rPr>
        <w:t>-1</w:t>
      </w:r>
      <w:r>
        <w:rPr/>
        <w:t xml:space="preserve"> in ocean ecosystems. DOC concentration showed a similar negative trend along the aquatic continuum with median value decreasing from 3250 µm C </w:t>
      </w:r>
      <w:r>
        <w:rPr>
          <w:i/>
          <w:color w:val="252525"/>
        </w:rPr>
        <w:t xml:space="preserve">× </w:t>
      </w:r>
      <w:r>
        <w:rPr>
          <w:color w:val="252525"/>
        </w:rPr>
        <w:t>L</w:t>
      </w:r>
      <w:r>
        <w:rPr>
          <w:color w:val="252525"/>
          <w:vertAlign w:val="superscript"/>
        </w:rPr>
        <w:t>-1</w:t>
      </w:r>
      <w:r>
        <w:rPr>
          <w:color w:val="252525"/>
        </w:rPr>
        <w:t xml:space="preserve"> in the wetlands to reach </w:t>
      </w:r>
      <w:commentRangeStart w:id="4"/>
      <w:r>
        <w:rPr>
          <w:color w:val="252525"/>
        </w:rPr>
        <w:t xml:space="preserve">50.20 </w:t>
      </w:r>
      <w:r>
        <w:rPr>
          <w:color w:val="252525"/>
        </w:rPr>
      </w:r>
      <w:commentRangeEnd w:id="4"/>
      <w:r>
        <w:commentReference w:id="4"/>
      </w:r>
      <w:r>
        <w:rPr>
          <w:color w:val="252525"/>
        </w:rPr>
        <w:commentReference w:id="5"/>
      </w:r>
      <w:r>
        <w:rPr>
          <w:color w:val="252525"/>
        </w:rPr>
        <w:t xml:space="preserve">µm C </w:t>
      </w:r>
      <w:r>
        <w:rPr>
          <w:i/>
          <w:color w:val="252525"/>
        </w:rPr>
        <w:t xml:space="preserve">× </w:t>
      </w:r>
      <w:r>
        <w:rPr>
          <w:color w:val="252525"/>
        </w:rPr>
        <w:t>L</w:t>
      </w:r>
      <w:r>
        <w:rPr>
          <w:color w:val="252525"/>
          <w:vertAlign w:val="superscript"/>
        </w:rPr>
        <w:t>-1</w:t>
      </w:r>
      <w:r>
        <w:rPr>
          <w:color w:val="252525"/>
        </w:rPr>
        <w:t xml:space="preserve"> in oceans (Fig. 3B). Median value of SUVA</w:t>
      </w:r>
      <w:r>
        <w:rPr>
          <w:color w:val="252525"/>
          <w:vertAlign w:val="subscript"/>
        </w:rPr>
        <w:t>350</w:t>
      </w:r>
      <w:r>
        <w:rPr>
          <w:color w:val="252525"/>
        </w:rPr>
        <w:t xml:space="preserve"> was found to vary between 1.34 L × mgC</w:t>
      </w:r>
      <w:r>
        <w:rPr>
          <w:color w:val="252525"/>
          <w:vertAlign w:val="superscript"/>
        </w:rPr>
        <w:t>-1</w:t>
      </w:r>
      <w:r>
        <w:rPr>
          <w:color w:val="252525"/>
        </w:rPr>
        <w:t xml:space="preserve"> × m</w:t>
      </w:r>
      <w:r>
        <w:rPr>
          <w:color w:val="252525"/>
          <w:vertAlign w:val="superscript"/>
        </w:rPr>
        <w:t>-1</w:t>
      </w:r>
      <w:r>
        <w:rPr>
          <w:color w:val="252525"/>
        </w:rPr>
        <w:t xml:space="preserve"> m</w:t>
      </w:r>
      <w:r>
        <w:rPr>
          <w:color w:val="252525"/>
          <w:vertAlign w:val="superscript"/>
        </w:rPr>
        <w:t>2</w:t>
      </w:r>
      <w:r>
        <w:rPr>
          <w:color w:val="252525"/>
        </w:rPr>
        <w:t xml:space="preserve"> g</w:t>
      </w:r>
      <w:r>
        <w:rPr>
          <w:color w:val="252525"/>
          <w:vertAlign w:val="superscript"/>
        </w:rPr>
        <w:t>-1</w:t>
      </w:r>
      <w:r>
        <w:rPr>
          <w:color w:val="252525"/>
        </w:rPr>
        <w:t xml:space="preserve"> C in the wetlands and 0.09 L × m</w:t>
      </w:r>
      <w:r>
        <w:rPr>
          <w:color w:val="252525"/>
          <w:vertAlign w:val="superscript"/>
        </w:rPr>
        <w:t>2</w:t>
      </w:r>
      <w:r>
        <w:rPr>
          <w:color w:val="252525"/>
        </w:rPr>
        <w:t xml:space="preserve"> g</w:t>
      </w:r>
      <w:r>
        <w:rPr>
          <w:color w:val="252525"/>
          <w:vertAlign w:val="superscript"/>
        </w:rPr>
        <w:t>-1</w:t>
      </w:r>
      <w:r>
        <w:rPr>
          <w:color w:val="252525"/>
        </w:rPr>
        <w:t xml:space="preserve"> C mgC</w:t>
      </w:r>
      <w:r>
        <w:rPr>
          <w:color w:val="252525"/>
          <w:vertAlign w:val="superscript"/>
        </w:rPr>
        <w:t>-1</w:t>
      </w:r>
      <w:r>
        <w:rPr>
          <w:color w:val="252525"/>
        </w:rPr>
        <w:t xml:space="preserve"> × m</w:t>
      </w:r>
      <w:r>
        <w:rPr>
          <w:color w:val="252525"/>
          <w:vertAlign w:val="superscript"/>
        </w:rPr>
        <w:t>-1</w:t>
      </w:r>
      <w:r>
        <w:rPr>
          <w:color w:val="252525"/>
        </w:rPr>
        <w:t xml:space="preserve"> in oceans (Fig. 3C). Whereas a</w:t>
      </w:r>
      <w:r>
        <w:rPr>
          <w:color w:val="252525"/>
          <w:vertAlign w:val="subscript"/>
        </w:rPr>
        <w:t>CDOM</w:t>
      </w:r>
      <w:r>
        <w:rPr>
          <w:color w:val="252525"/>
        </w:rPr>
        <w:t>(350) and DOC values both negatively decreased along the freshwater-marine gradient, SUVA</w:t>
      </w:r>
      <w:r>
        <w:rPr>
          <w:color w:val="252525"/>
          <w:vertAlign w:val="subscript"/>
        </w:rPr>
        <w:t>350</w:t>
      </w:r>
      <w:r>
        <w:rPr>
          <w:color w:val="252525"/>
        </w:rPr>
        <w:t xml:space="preserve"> showed similar values among terrestrial-like ecosystems (wetland, pond, lake, river and sewage) with a median value of 0.86 L × m</w:t>
      </w:r>
      <w:r>
        <w:rPr>
          <w:color w:val="252525"/>
          <w:vertAlign w:val="superscript"/>
        </w:rPr>
        <w:t>2</w:t>
      </w:r>
      <w:r>
        <w:rPr>
          <w:color w:val="252525"/>
        </w:rPr>
        <w:t xml:space="preserve"> g</w:t>
      </w:r>
      <w:r>
        <w:rPr>
          <w:color w:val="252525"/>
          <w:vertAlign w:val="superscript"/>
        </w:rPr>
        <w:t>-1</w:t>
      </w:r>
      <w:r>
        <w:rPr>
          <w:color w:val="252525"/>
        </w:rPr>
        <w:t xml:space="preserve"> CmgC</w:t>
      </w:r>
      <w:r>
        <w:rPr>
          <w:color w:val="252525"/>
          <w:vertAlign w:val="superscript"/>
        </w:rPr>
        <w:t>-1</w:t>
      </w:r>
      <w:r>
        <w:rPr>
          <w:color w:val="252525"/>
        </w:rPr>
        <w:t xml:space="preserve"> × m</w:t>
      </w:r>
      <w:r>
        <w:rPr>
          <w:color w:val="252525"/>
          <w:vertAlign w:val="superscript"/>
        </w:rPr>
        <w:t>-1</w:t>
      </w:r>
      <w:r>
        <w:rPr>
          <w:color w:val="252525"/>
        </w:rPr>
        <w:t>. For marine-like ecosystems (coastal, brine, estuary and ocean) median SUVA</w:t>
      </w:r>
      <w:r>
        <w:rPr>
          <w:color w:val="252525"/>
          <w:vertAlign w:val="subscript"/>
        </w:rPr>
        <w:t>350</w:t>
      </w:r>
      <w:r>
        <w:rPr>
          <w:color w:val="252525"/>
        </w:rPr>
        <w:t xml:space="preserve"> was 0.15 L × m</w:t>
      </w:r>
      <w:r>
        <w:rPr>
          <w:color w:val="252525"/>
          <w:vertAlign w:val="superscript"/>
        </w:rPr>
        <w:t>2</w:t>
      </w:r>
      <w:r>
        <w:rPr>
          <w:color w:val="252525"/>
        </w:rPr>
        <w:t xml:space="preserve"> g</w:t>
      </w:r>
      <w:r>
        <w:rPr>
          <w:color w:val="252525"/>
          <w:vertAlign w:val="superscript"/>
        </w:rPr>
        <w:t>-1</w:t>
      </w:r>
      <w:r>
        <w:rPr>
          <w:color w:val="252525"/>
        </w:rPr>
        <w:t xml:space="preserve"> C (Fig. 3C).</w:t>
      </w:r>
    </w:p>
    <w:p>
      <w:pPr>
        <w:pStyle w:val="Standard"/>
        <w:spacing w:lineRule="auto" w:line="360" w:before="0" w:after="360"/>
        <w:jc w:val="both"/>
        <w:rPr>
          <w:rFonts w:ascii="Open Sans" w:hAnsi="Open Sans"/>
        </w:rPr>
      </w:pPr>
      <w:r>
        <w:rPr>
          <w:b/>
          <w:bCs/>
          <w:color w:val="252525"/>
        </w:rPr>
        <w:t>DOM reactivity along the aquatic continuum</w:t>
      </w:r>
    </w:p>
    <w:p>
      <w:pPr>
        <w:pStyle w:val="Standard"/>
        <w:spacing w:lineRule="auto" w:line="360" w:before="0" w:after="360"/>
        <w:jc w:val="both"/>
        <w:rPr>
          <w:rFonts w:ascii="Open Sans" w:hAnsi="Open Sans"/>
        </w:rPr>
      </w:pPr>
      <w:r>
        <w:rPr/>
        <w:t>SUVA</w:t>
      </w:r>
      <w:r>
        <w:rPr>
          <w:vertAlign w:val="subscript"/>
        </w:rPr>
        <w:t>254</w:t>
      </w:r>
      <w:r>
        <w:rPr/>
        <w:t xml:space="preserve"> was used as a proxy for characterizing DOM chemical composition and reactivity over 4000 km along the aquatic continuum (Fig. 6). A piecewise regression was found to adequately model the pattern observed in the data (R</w:t>
      </w:r>
      <w:r>
        <w:rPr>
          <w:vertAlign w:val="superscript"/>
        </w:rPr>
        <w:t>2</w:t>
      </w:r>
      <w:r>
        <w:rPr/>
        <w:t xml:space="preserve"> = 0.95, p &lt; 0.0001). A significant breakpoint was found at </w:t>
      </w:r>
      <w:r>
        <w:rPr>
          <w:highlight w:val="yellow"/>
        </w:rPr>
        <w:t>360 ± 101</w:t>
      </w:r>
      <w:r>
        <w:rPr/>
        <w:t xml:space="preserve"> (SE) km towards the ocean from the coastline at the interface between freshwater and marine ecosystems. Between 1500 and -360 km (mostly inland waters), mean SUVA</w:t>
      </w:r>
      <w:r>
        <w:rPr>
          <w:vertAlign w:val="subscript"/>
        </w:rPr>
        <w:t>254</w:t>
      </w:r>
      <w:r>
        <w:rPr/>
        <w:t xml:space="preserve"> decreased rapidly from 4.79 to 1.68 </w:t>
      </w:r>
      <w:r>
        <w:rPr>
          <w:color w:val="252525"/>
        </w:rPr>
        <w:t xml:space="preserve">L × </w:t>
      </w:r>
      <w:ins w:id="4" w:author="Asmala, Eero" w:date="2016-08-26T13:22:00Z">
        <w:r>
          <w:rPr>
            <w:color w:val="252525"/>
          </w:rPr>
          <w:t>m</w:t>
        </w:r>
      </w:ins>
      <w:ins w:id="5" w:author="Asmala, Eero" w:date="2016-08-26T13:22:00Z">
        <w:r>
          <w:rPr>
            <w:color w:val="252525"/>
            <w:vertAlign w:val="superscript"/>
          </w:rPr>
          <w:t>2</w:t>
        </w:r>
      </w:ins>
      <w:ins w:id="6" w:author="Asmala, Eero" w:date="2016-08-26T13:22:00Z">
        <w:r>
          <w:rPr>
            <w:color w:val="252525"/>
          </w:rPr>
          <w:t xml:space="preserve"> g</w:t>
        </w:r>
      </w:ins>
      <w:ins w:id="7" w:author="Asmala, Eero" w:date="2016-08-26T13:22:00Z">
        <w:r>
          <w:rPr>
            <w:color w:val="252525"/>
            <w:vertAlign w:val="superscript"/>
          </w:rPr>
          <w:t>-1</w:t>
        </w:r>
      </w:ins>
      <w:ins w:id="8" w:author="Asmala, Eero" w:date="2016-08-26T13:22:00Z">
        <w:r>
          <w:rPr>
            <w:color w:val="252525"/>
          </w:rPr>
          <w:t xml:space="preserve"> C</w:t>
        </w:r>
      </w:ins>
      <w:del w:id="9" w:author="Asmala, Eero" w:date="2016-08-26T13:22:00Z">
        <w:r>
          <w:rPr>
            <w:color w:val="252525"/>
          </w:rPr>
          <w:delText>mgC</w:delText>
        </w:r>
      </w:del>
      <w:del w:id="10" w:author="Asmala, Eero" w:date="2016-08-26T13:22:00Z">
        <w:r>
          <w:rPr>
            <w:color w:val="252525"/>
            <w:vertAlign w:val="superscript"/>
          </w:rPr>
          <w:delText>-1</w:delText>
        </w:r>
      </w:del>
      <w:del w:id="11" w:author="Asmala, Eero" w:date="2016-08-26T13:22:00Z">
        <w:r>
          <w:rPr>
            <w:color w:val="252525"/>
          </w:rPr>
          <w:delText xml:space="preserve"> × m</w:delText>
        </w:r>
      </w:del>
      <w:del w:id="12" w:author="Asmala, Eero" w:date="2016-08-26T13:22:00Z">
        <w:r>
          <w:rPr>
            <w:color w:val="252525"/>
            <w:vertAlign w:val="superscript"/>
          </w:rPr>
          <w:delText>-1</w:delText>
        </w:r>
      </w:del>
      <w:r>
        <w:rPr>
          <w:color w:val="252525"/>
        </w:rPr>
        <w:t xml:space="preserve"> indicating a loss in DOM aromaticity. Beyond the identified breakpoint onward to the open ocean, no visible trend was observed where SUVA</w:t>
      </w:r>
      <w:r>
        <w:rPr>
          <w:color w:val="252525"/>
          <w:vertAlign w:val="subscript"/>
        </w:rPr>
        <w:t>254</w:t>
      </w:r>
      <w:r>
        <w:rPr>
          <w:color w:val="252525"/>
        </w:rPr>
        <w:t xml:space="preserve"> remained stable.</w:t>
      </w:r>
    </w:p>
    <w:p>
      <w:pPr>
        <w:pStyle w:val="Standard"/>
        <w:spacing w:lineRule="auto" w:line="360" w:before="0" w:after="360"/>
        <w:jc w:val="both"/>
        <w:rPr>
          <w:rFonts w:ascii="Open Sans" w:hAnsi="Open Sans"/>
        </w:rPr>
      </w:pPr>
      <w:commentRangeStart w:id="6"/>
      <w:r>
        <w:rPr>
          <w:b/>
          <w:bCs/>
        </w:rPr>
        <w:t>SUVA vs salinity</w:t>
      </w:r>
      <w:commentRangeEnd w:id="6"/>
      <w:r>
        <w:commentReference w:id="6"/>
      </w:r>
      <w:r>
        <w:rPr>
          <w:b/>
          <w:bCs/>
        </w:rPr>
      </w:r>
    </w:p>
    <w:p>
      <w:pPr>
        <w:pStyle w:val="Standard"/>
        <w:spacing w:lineRule="auto" w:line="360" w:before="0" w:after="360"/>
        <w:jc w:val="both"/>
        <w:rPr>
          <w:rFonts w:ascii="Open Sans" w:hAnsi="Open Sans"/>
        </w:rPr>
      </w:pPr>
      <w:r>
        <w:rPr/>
        <w:t>The linear trend of the specific UV absorbance at 254 nm (SUVA</w:t>
      </w:r>
      <w:r>
        <w:rPr>
          <w:vertAlign w:val="subscript"/>
        </w:rPr>
        <w:t>254</w:t>
      </w:r>
      <w:r>
        <w:rPr/>
        <w:t xml:space="preserve">) along the salinity gradient was modeled using a piecewise regression where two different breakpoints at salinity </w:t>
      </w:r>
      <w:r>
        <w:rPr>
          <w:shd w:fill="FFFF00" w:val="clear"/>
        </w:rPr>
        <w:t>8.7</w:t>
      </w:r>
      <w:r>
        <w:rPr/>
        <w:t xml:space="preserve"> (</w:t>
      </w:r>
      <w:r>
        <w:rPr>
          <w:rFonts w:eastAsia="Droid Sans Fallback" w:cs="FreeSans"/>
        </w:rPr>
        <w:t>± 0.3</w:t>
      </w:r>
      <w:r>
        <w:rPr/>
        <w:t xml:space="preserve">) and </w:t>
      </w:r>
      <w:r>
        <w:rPr>
          <w:shd w:fill="FFFF00" w:val="clear"/>
        </w:rPr>
        <w:t>26.8</w:t>
      </w:r>
      <w:r>
        <w:rPr/>
        <w:t xml:space="preserve"> (</w:t>
      </w:r>
      <w:r>
        <w:rPr>
          <w:rFonts w:eastAsia="Droid Sans Fallback" w:cs="FreeSans"/>
        </w:rPr>
        <w:t xml:space="preserve">± 0.8) </w:t>
      </w:r>
      <w:r>
        <w:rPr/>
        <w:t>were found (Fig. 7, R</w:t>
      </w:r>
      <w:r>
        <w:rPr>
          <w:vertAlign w:val="superscript"/>
        </w:rPr>
        <w:t>2</w:t>
      </w:r>
      <w:r>
        <w:rPr/>
        <w:t xml:space="preserve"> = 0.74, p &lt; 0.0001). Between salinity 0 and 8.7, the slope of the linear regression was -0.3 indicating that SUVA</w:t>
      </w:r>
      <w:r>
        <w:rPr>
          <w:vertAlign w:val="subscript"/>
        </w:rPr>
        <w:t>254</w:t>
      </w:r>
      <w:r>
        <w:rPr/>
        <w:t xml:space="preserve"> decreased by this amount for each unit increase in salinity. Between salinity </w:t>
      </w:r>
      <w:r>
        <w:rPr>
          <w:shd w:fill="FFFF00" w:val="clear"/>
        </w:rPr>
        <w:t>8.7</w:t>
      </w:r>
      <w:r>
        <w:rPr/>
        <w:t xml:space="preserve"> and </w:t>
      </w:r>
      <w:r>
        <w:rPr>
          <w:shd w:fill="FFFF00" w:val="clear"/>
        </w:rPr>
        <w:t>26.8</w:t>
      </w:r>
      <w:r>
        <w:rPr/>
        <w:t>, SUVA</w:t>
      </w:r>
      <w:r>
        <w:rPr>
          <w:vertAlign w:val="subscript"/>
        </w:rPr>
        <w:t>254</w:t>
      </w:r>
      <w:r>
        <w:rPr/>
        <w:t xml:space="preserve"> remained stable and the slope of the regression was not significantly different from 0. Another significant slope with a value of -0.09 was found after salinity </w:t>
      </w:r>
      <w:r>
        <w:rPr>
          <w:shd w:fill="FFFF00" w:val="clear"/>
        </w:rPr>
        <w:t>26.8</w:t>
      </w:r>
      <w:r>
        <w:rPr/>
        <w:t>.</w:t>
      </w:r>
      <w:r>
        <w:br w:type="page"/>
      </w:r>
    </w:p>
    <w:p>
      <w:pPr>
        <w:pStyle w:val="Standard"/>
        <w:spacing w:lineRule="auto" w:line="360" w:before="0" w:after="360"/>
        <w:jc w:val="both"/>
        <w:rPr>
          <w:rFonts w:ascii="Open Sans" w:hAnsi="Open Sans"/>
        </w:rPr>
      </w:pPr>
      <w:r>
        <w:rPr>
          <w:b/>
          <w:bCs/>
        </w:rPr>
        <w:t>Spectral differences between freshwater and marine ecosystems</w:t>
      </w:r>
    </w:p>
    <w:p>
      <w:pPr>
        <w:pStyle w:val="Standard"/>
        <w:spacing w:lineRule="auto" w:line="360" w:before="0" w:after="360"/>
        <w:jc w:val="both"/>
        <w:rPr>
          <w:rFonts w:ascii="Open Sans" w:hAnsi="Open Sans"/>
        </w:rPr>
      </w:pPr>
      <w:r>
        <w:rPr>
          <w:color w:val="252525"/>
        </w:rPr>
        <w:t>Spectral slope (S</w:t>
      </w:r>
      <w:r>
        <w:rPr>
          <w:color w:val="252525"/>
          <w:vertAlign w:val="subscript"/>
        </w:rPr>
        <w:t>λ</w:t>
      </w:r>
      <w:r>
        <w:rPr>
          <w:color w:val="252525"/>
        </w:rPr>
        <w:t>) curves calculated on normalized and averaged CDOM spectra in both end-member ecosystems showed contrasting patterns (Fig. 8B). S</w:t>
      </w:r>
      <w:r>
        <w:rPr>
          <w:color w:val="252525"/>
          <w:vertAlign w:val="subscript"/>
        </w:rPr>
        <w:t>λ</w:t>
      </w:r>
      <w:r>
        <w:rPr>
          <w:color w:val="252525"/>
        </w:rPr>
        <w:t xml:space="preserve"> calculated from the freshwater samples showed a linear increase in the UV-C region (&lt; 280 nm) before reaching a plateau in the UV-B and UV-A regions (280-400 nm). Above 400 nm, S</w:t>
      </w:r>
      <w:r>
        <w:rPr>
          <w:color w:val="252525"/>
          <w:vertAlign w:val="subscript"/>
        </w:rPr>
        <w:t>λ</w:t>
      </w:r>
      <w:r>
        <w:rPr>
          <w:color w:val="252525"/>
        </w:rPr>
        <w:t xml:space="preserve"> decreased rapidly to 0.0095 nm</w:t>
      </w:r>
      <w:r>
        <w:rPr>
          <w:color w:val="252525"/>
          <w:vertAlign w:val="superscript"/>
        </w:rPr>
        <w:t>-1</w:t>
      </w:r>
      <w:r>
        <w:rPr>
          <w:color w:val="252525"/>
        </w:rPr>
        <w:t>. For the marine end-member, a dominant peak in the spectral slope curve was found at approximately 280 nm. Contrary to the freshwater curve, the quality of the computed slope, estimated using R</w:t>
      </w:r>
      <w:r>
        <w:rPr>
          <w:color w:val="252525"/>
          <w:vertAlign w:val="superscript"/>
        </w:rPr>
        <w:t>2</w:t>
      </w:r>
      <w:r>
        <w:rPr>
          <w:color w:val="252525"/>
        </w:rPr>
        <w:t>, was found to decrease from 400 nm indicating that the exponential model used to calculate S</w:t>
      </w:r>
      <w:r>
        <w:rPr>
          <w:color w:val="252525"/>
          <w:vertAlign w:val="subscript"/>
        </w:rPr>
        <w:t>λ</w:t>
      </w:r>
      <w:r>
        <w:rPr>
          <w:color w:val="252525"/>
        </w:rPr>
        <w:t xml:space="preserve"> were not fully capturing the general pattern in the DOC-a</w:t>
      </w:r>
      <w:r>
        <w:rPr>
          <w:color w:val="252525"/>
          <w:vertAlign w:val="subscript"/>
        </w:rPr>
        <w:t>CDOM</w:t>
      </w:r>
      <w:r>
        <w:rPr>
          <w:color w:val="252525"/>
        </w:rPr>
        <w:t>(λ) relationship (Fig. 8B).</w:t>
      </w:r>
      <w:r>
        <w:br w:type="page"/>
      </w:r>
    </w:p>
    <w:p>
      <w:pPr>
        <w:pStyle w:val="Standard"/>
        <w:spacing w:lineRule="auto" w:line="360" w:before="0" w:after="360"/>
        <w:jc w:val="both"/>
        <w:rPr>
          <w:rFonts w:ascii="Open Sans" w:hAnsi="Open Sans"/>
        </w:rPr>
      </w:pPr>
      <w:r>
        <w:rPr>
          <w:b/>
          <w:bCs/>
        </w:rPr>
        <w:t>Discussion</w:t>
      </w:r>
    </w:p>
    <w:p>
      <w:pPr>
        <w:pStyle w:val="Standard"/>
        <w:spacing w:lineRule="auto" w:line="360" w:before="0" w:after="360"/>
        <w:jc w:val="both"/>
        <w:rPr>
          <w:rFonts w:ascii="Open Sans" w:hAnsi="Open Sans"/>
        </w:rPr>
      </w:pPr>
      <w:r>
        <w:rPr>
          <w:b w:val="false"/>
          <w:bCs w:val="false"/>
        </w:rPr>
        <w:t>Based on an extensive literature survey, our results shows that the spatial distribution of DOM is highly heterogeneous along the aquatic continuum.</w:t>
      </w:r>
    </w:p>
    <w:p>
      <w:pPr>
        <w:pStyle w:val="Standard"/>
        <w:spacing w:lineRule="auto" w:line="360" w:before="0" w:after="360"/>
        <w:jc w:val="both"/>
        <w:rPr>
          <w:rFonts w:ascii="Open Sans" w:hAnsi="Open Sans"/>
        </w:rPr>
      </w:pPr>
      <w:r>
        <w:rPr>
          <w:b/>
          <w:bCs/>
        </w:rPr>
        <w:t>Relationships between DOC and a</w:t>
      </w:r>
      <w:r>
        <w:rPr>
          <w:b/>
          <w:bCs/>
          <w:vertAlign w:val="subscript"/>
        </w:rPr>
        <w:t>CDOM</w:t>
      </w:r>
      <w:r>
        <w:rPr>
          <w:b/>
          <w:bCs/>
        </w:rPr>
        <w:t xml:space="preserve"> along the aquatic continuum</w:t>
      </w:r>
    </w:p>
    <w:p>
      <w:pPr>
        <w:pStyle w:val="Standard"/>
        <w:spacing w:lineRule="auto" w:line="360" w:before="0" w:after="360"/>
        <w:jc w:val="both"/>
        <w:rPr/>
      </w:pPr>
      <w:r>
        <w:rPr>
          <w:bCs/>
        </w:rPr>
        <w:t xml:space="preserve">DOC and CDOM measurements are often used as proxies to characterize the quantity and the quality of the DOM pool in aquatic ecosystems. However, absorption coefficients of CDOM are often reported at different wavelength (254, 350, 400, 440) which make cross-studies comparisons difficult given the non-linear pattern </w:t>
      </w:r>
      <w:r>
        <w:rPr>
          <w:bCs/>
        </w:rPr>
        <w:t xml:space="preserve">of </w:t>
      </w:r>
      <w:r>
        <w:rPr>
          <w:bCs/>
        </w:rPr>
        <w:t xml:space="preserve">absorption </w:t>
      </w:r>
      <w:r>
        <w:rPr>
          <w:bCs/>
        </w:rPr>
        <w:t xml:space="preserve">spectra </w:t>
      </w:r>
      <w:r>
        <w:rPr>
          <w:bCs/>
        </w:rPr>
        <w:t xml:space="preserve">(equation </w:t>
      </w:r>
      <w:r>
        <w:rPr>
          <w:bCs/>
        </w:rPr>
        <w:t>2</w:t>
      </w:r>
      <w:r>
        <w:rPr>
          <w:bCs/>
        </w:rPr>
        <w:t>).</w:t>
      </w:r>
    </w:p>
    <w:p>
      <w:pPr>
        <w:pStyle w:val="Standard"/>
        <w:spacing w:lineRule="auto" w:line="360" w:before="0" w:after="360"/>
        <w:jc w:val="both"/>
        <w:rPr>
          <w:rFonts w:ascii="Open Sans" w:hAnsi="Open Sans"/>
        </w:rPr>
      </w:pPr>
      <w:r>
        <w:rPr>
          <w:bCs/>
        </w:rPr>
        <w:t>In this study, we found that CDOM absorption coefficients correlated strongly to the DOC content of the DOM pool at global scale (Fig. 3). However, the relationships between DOC and a</w:t>
      </w:r>
      <w:r>
        <w:rPr>
          <w:bCs/>
          <w:vertAlign w:val="subscript"/>
        </w:rPr>
        <w:t>CDOM</w:t>
      </w:r>
      <w:r>
        <w:rPr>
          <w:bCs/>
        </w:rPr>
        <w:t xml:space="preserve"> became gradually decoupled as the DOM pool was transported toward the oceans. One possible explanation is that photochemical processes are more efficiently removing CDOM over DOC in headwater streams compared in open oceans (Moran2000, Bittar2015, Hansen2016). Indeed, in wetlands, rivers and estuaries a large fraction of the DOM pool is controlled by terrestrial inputs originating from the tributaries, soil erosion and surface runoff (Massicotte2011, Lambert2015). This humic-like DOM is continually degraded by UV radiations due to its larger molecules and its higher aromaticity (Moran1997). Once entering the open oceans, a large proportion of the DOM pool has likely integrated a long history of photobleaching, causing aCDOM to be removed at a higher rate than that of DOC. As pointed out by Kowalczuk2010, this suggest that processes responsible for production, decomposition and distribution of the bulk DOC and CDOM components are decoupled in oceanic systems.</w:t>
      </w:r>
    </w:p>
    <w:p>
      <w:pPr>
        <w:pStyle w:val="Standard"/>
        <w:numPr>
          <w:ilvl w:val="0"/>
          <w:numId w:val="2"/>
        </w:numPr>
        <w:spacing w:lineRule="auto" w:line="360" w:before="0" w:after="360"/>
        <w:jc w:val="both"/>
        <w:rPr>
          <w:rFonts w:ascii="Open Sans" w:hAnsi="Open Sans"/>
        </w:rPr>
      </w:pPr>
      <w:r>
        <w:rPr>
          <w:bCs/>
        </w:rPr>
        <w:t>Bleaching of DOM from lakes → open oceans</w:t>
      </w:r>
    </w:p>
    <w:p>
      <w:pPr>
        <w:pStyle w:val="Standard"/>
        <w:numPr>
          <w:ilvl w:val="0"/>
          <w:numId w:val="2"/>
        </w:numPr>
        <w:spacing w:lineRule="auto" w:line="360" w:before="0" w:after="360"/>
        <w:jc w:val="both"/>
        <w:rPr>
          <w:rFonts w:ascii="Open Sans" w:hAnsi="Open Sans"/>
        </w:rPr>
      </w:pPr>
      <w:r>
        <w:rPr>
          <w:bCs/>
        </w:rPr>
        <w:t>Wavelength-dependent relationship, with decreasing R2 with increasing wavelength</w:t>
      </w:r>
    </w:p>
    <w:p>
      <w:pPr>
        <w:pStyle w:val="Standard"/>
        <w:numPr>
          <w:ilvl w:val="0"/>
          <w:numId w:val="2"/>
        </w:numPr>
        <w:spacing w:lineRule="auto" w:line="360" w:before="0" w:after="360"/>
        <w:jc w:val="both"/>
        <w:rPr>
          <w:rFonts w:ascii="Open Sans" w:hAnsi="Open Sans"/>
        </w:rPr>
      </w:pPr>
      <w:r>
        <w:rPr>
          <w:bCs/>
        </w:rPr>
        <w:t>(RSD/SE figure?)</w:t>
      </w:r>
    </w:p>
    <w:p>
      <w:pPr>
        <w:pStyle w:val="Standard"/>
        <w:spacing w:lineRule="auto" w:line="360" w:before="0" w:after="360"/>
        <w:jc w:val="both"/>
        <w:rPr/>
      </w:pPr>
      <w:r>
        <w:rPr>
          <w:b/>
          <w:bCs/>
        </w:rPr>
        <w:t xml:space="preserve">DOM </w:t>
      </w:r>
      <w:r>
        <w:rPr>
          <w:b/>
          <w:bCs/>
        </w:rPr>
        <w:t xml:space="preserve">reactivity during </w:t>
      </w:r>
      <w:r>
        <w:rPr>
          <w:b/>
          <w:bCs/>
        </w:rPr>
        <w:t>transition from headwaters to oceans</w:t>
      </w:r>
    </w:p>
    <w:p>
      <w:pPr>
        <w:pStyle w:val="Standard"/>
        <w:spacing w:lineRule="auto" w:line="360" w:before="0" w:after="360"/>
        <w:jc w:val="both"/>
        <w:rPr>
          <w:rFonts w:ascii="Open Sans" w:hAnsi="Open Sans"/>
          <w:b w:val="false"/>
          <w:b w:val="false"/>
          <w:bCs w:val="false"/>
        </w:rPr>
      </w:pPr>
      <w:r>
        <w:rPr>
          <w:b w:val="false"/>
          <w:bCs w:val="false"/>
        </w:rPr>
        <w:t>During its transport from headwaters to oceans, microbial respiration and production (del Giorgio et al. 1997; Kritzberg et al. 2006b; Berggren et al. 2010); sedimentation and flocculation (Sholkovitz 1976; von Wachenfeldt and Tranvik 2008), production by photosynthetic organisms (Descy et al. 2002; Kritzberg et al. 2005; Lapierre and Frenette 2009); and UV photodegradation (Benner and Ziegler 1999; Amado et al. 2006; Zhang et al. 2009) operate simultaneously and drive the fate of DOM transiting in the various habitats of aquatic ecosystems (Massicotte2013LOFE).</w:t>
      </w:r>
    </w:p>
    <w:p>
      <w:pPr>
        <w:pStyle w:val="Standard"/>
        <w:spacing w:lineRule="auto" w:line="360" w:before="0" w:after="360"/>
        <w:jc w:val="both"/>
        <w:rPr/>
      </w:pPr>
      <w:r>
        <w:rPr>
          <w:b w:val="false"/>
          <w:bCs w:val="false"/>
        </w:rPr>
        <w:t xml:space="preserve">In headwater streams, </w:t>
      </w:r>
      <w:r>
        <w:rPr>
          <w:b w:val="false"/>
          <w:bCs w:val="false"/>
        </w:rPr>
        <w:t>up to 1 500 km toward inland continents,</w:t>
      </w:r>
      <w:r>
        <w:rPr>
          <w:b w:val="false"/>
          <w:bCs w:val="false"/>
        </w:rPr>
        <w:t xml:space="preserve"> </w:t>
      </w:r>
      <w:r>
        <w:rPr>
          <w:b w:val="false"/>
          <w:bCs w:val="false"/>
        </w:rPr>
        <w:t xml:space="preserve">the DOM pool was found to be highly aromatic </w:t>
      </w:r>
      <w:r>
        <w:rPr>
          <w:b w:val="false"/>
          <w:bCs w:val="false"/>
        </w:rPr>
        <w:t xml:space="preserve">(Fig. 6), </w:t>
      </w:r>
      <w:r>
        <w:rPr>
          <w:b w:val="false"/>
          <w:bCs w:val="false"/>
        </w:rPr>
        <w:t xml:space="preserve">presumably </w:t>
      </w:r>
      <w:r>
        <w:rPr>
          <w:b w:val="false"/>
          <w:bCs w:val="false"/>
        </w:rPr>
        <w:t xml:space="preserve">due to elevated lateral connectivity with surrounding terrestrial landscape </w:t>
      </w:r>
      <w:r>
        <w:rPr>
          <w:b w:val="false"/>
          <w:bCs w:val="false"/>
        </w:rPr>
        <w:t xml:space="preserve">and organic matter inputs from the tributaries </w:t>
      </w:r>
      <w:r>
        <w:rPr>
          <w:b w:val="false"/>
          <w:bCs w:val="false"/>
        </w:rPr>
        <w:t xml:space="preserve">(Massicotte2011EA, Lambert2016). As DOM is transiting </w:t>
      </w:r>
      <w:r>
        <w:rPr>
          <w:b w:val="false"/>
          <w:bCs w:val="false"/>
        </w:rPr>
        <w:t>from inland to marine water</w:t>
      </w:r>
      <w:r>
        <w:rPr>
          <w:b w:val="false"/>
          <w:bCs w:val="false"/>
        </w:rPr>
        <w:t>, degradation processes are gradually taking over production processes which result in a net decrease in DOM aromaticity.</w:t>
      </w:r>
    </w:p>
    <w:p>
      <w:pPr>
        <w:pStyle w:val="Standard"/>
        <w:numPr>
          <w:ilvl w:val="0"/>
          <w:numId w:val="5"/>
        </w:numPr>
        <w:spacing w:lineRule="auto" w:line="360" w:before="0" w:after="360"/>
        <w:jc w:val="both"/>
        <w:rPr/>
      </w:pPr>
      <w:r>
        <w:rPr>
          <w:b w:val="false"/>
          <w:bCs w:val="false"/>
        </w:rPr>
        <w:t xml:space="preserve">Buffer zone at 370 </w:t>
      </w:r>
      <w:r>
        <w:rPr>
          <w:rFonts w:eastAsia="Droid Sans Fallback" w:cs="FreeSans"/>
          <w:b w:val="false"/>
          <w:bCs w:val="false"/>
        </w:rPr>
        <w:t>± 103 km, suggesting that intensive degradation of humic-like DOM is still occurring along shorelines around the word (</w:t>
      </w:r>
      <w:r>
        <w:rPr>
          <w:rFonts w:eastAsia="Droid Sans Fallback" w:cs="FreeSans"/>
          <w:b/>
          <w:bCs/>
        </w:rPr>
        <w:t>Supplementary Fig. xxx</w:t>
      </w:r>
      <w:r>
        <w:rPr>
          <w:rFonts w:eastAsia="Droid Sans Fallback" w:cs="FreeSans"/>
          <w:b w:val="false"/>
          <w:bCs w:val="false"/>
        </w:rPr>
        <w:t>).</w:t>
      </w:r>
    </w:p>
    <w:p>
      <w:pPr>
        <w:pStyle w:val="Standard"/>
        <w:spacing w:lineRule="auto" w:line="360" w:before="0" w:after="360"/>
        <w:jc w:val="both"/>
        <w:rPr>
          <w:rFonts w:ascii="Open Sans" w:hAnsi="Open Sans"/>
        </w:rPr>
      </w:pPr>
      <w:r>
        <w:rPr>
          <w:b/>
          <w:bCs/>
        </w:rPr>
        <w:t>Dynamic of DOM in oceans: more than just conservative mixing</w:t>
      </w:r>
    </w:p>
    <w:p>
      <w:pPr>
        <w:pStyle w:val="Standard"/>
        <w:spacing w:lineRule="auto" w:line="360" w:before="0" w:after="360"/>
        <w:jc w:val="both"/>
        <w:rPr>
          <w:rFonts w:ascii="Open Sans" w:hAnsi="Open Sans"/>
        </w:rPr>
      </w:pPr>
      <w:r>
        <w:rPr>
          <w:b w:val="false"/>
          <w:bCs w:val="false"/>
        </w:rPr>
        <w:t>A rich literature uses salinity as a tracer to estimate the conservative behavior of optical properties of CDOM (Kowalczuk2010, Asmala2016). Contrary to most studies (but see Goncalves2015), our results show that CDOM dynamics deviates from the expected conservative behavior (</w:t>
      </w:r>
      <w:r>
        <w:rPr>
          <w:b/>
          <w:bCs/>
        </w:rPr>
        <w:t>Fig. XXX</w:t>
      </w:r>
      <w:r>
        <w:rPr>
          <w:b w:val="false"/>
          <w:bCs w:val="false"/>
        </w:rPr>
        <w:t>). Rather than completely discarding the effect of water mixing, the fitted piecewise regression suggests that there are active removal processes that are taking place once DOM enters marine water. SUVA</w:t>
      </w:r>
      <w:r>
        <w:rPr>
          <w:b w:val="false"/>
          <w:bCs w:val="false"/>
          <w:vertAlign w:val="subscript"/>
        </w:rPr>
        <w:t>254</w:t>
      </w:r>
      <w:r>
        <w:rPr>
          <w:b w:val="false"/>
          <w:bCs w:val="false"/>
          <w:i w:val="false"/>
          <w:iCs w:val="false"/>
        </w:rPr>
        <w:t xml:space="preserve">, </w:t>
      </w:r>
      <w:r>
        <w:rPr>
          <w:b w:val="false"/>
          <w:bCs w:val="false"/>
        </w:rPr>
        <w:t xml:space="preserve">a proxy for DOM reactivity (Helms2008), decreased more rapidly than the hypothetical conservative mixing line (dashed line in Fig. 7). In agreement with finding from </w:t>
      </w:r>
      <w:commentRangeStart w:id="7"/>
      <w:r>
        <w:rPr>
          <w:b w:val="false"/>
          <w:bCs w:val="false"/>
        </w:rPr>
        <w:t>Goncalves2015,</w:t>
      </w:r>
      <w:r>
        <w:rPr>
          <w:b w:val="false"/>
          <w:bCs w:val="false"/>
        </w:rPr>
      </w:r>
      <w:commentRangeEnd w:id="7"/>
      <w:r>
        <w:commentReference w:id="7"/>
      </w:r>
      <w:r>
        <w:rPr>
          <w:b w:val="false"/>
          <w:bCs w:val="false"/>
        </w:rPr>
        <w:t xml:space="preserve"> our results evidence that there are two distinct phases of processing at low and high salinity. </w:t>
      </w:r>
    </w:p>
    <w:p>
      <w:pPr>
        <w:pStyle w:val="Standard"/>
        <w:spacing w:lineRule="auto" w:line="360" w:before="0" w:after="360"/>
        <w:jc w:val="both"/>
        <w:rPr>
          <w:rFonts w:ascii="Open Sans" w:hAnsi="Open Sans"/>
        </w:rPr>
      </w:pPr>
      <w:r>
        <w:rPr>
          <w:b w:val="false"/>
          <w:bCs w:val="false"/>
        </w:rPr>
        <w:t>Although still debated (Markager2004, DelCastillo2000), it was suggested that flocculation could be an important DOM removal process (Sholkovitz1976), especially at low salinity (Asmala2014a). Between salinity 0 and 8.7 we observed a rapid decrease in SUVA</w:t>
      </w:r>
      <w:r>
        <w:rPr>
          <w:b w:val="false"/>
          <w:bCs w:val="false"/>
          <w:vertAlign w:val="subscript"/>
        </w:rPr>
        <w:t>254</w:t>
      </w:r>
      <w:r>
        <w:rPr>
          <w:b w:val="false"/>
          <w:bCs w:val="false"/>
        </w:rPr>
        <w:t xml:space="preserve"> that reinforce the idea that flocculation is an efficient process responsible for the removal of high molecular weight humic substance. However, it is unlikely that flocculation is the sole process involved in the observed decrease of CDOM. Because that residence time can be quite high along marine coastlines (</w:t>
      </w:r>
      <w:r>
        <w:rPr>
          <w:b/>
          <w:bCs/>
        </w:rPr>
        <w:t>refs</w:t>
      </w:r>
      <w:r>
        <w:rPr>
          <w:b w:val="false"/>
          <w:bCs w:val="false"/>
        </w:rPr>
        <w:t>), we can not discard that photodegradation (Helms2013) and bacterial degradation (</w:t>
      </w:r>
      <w:r>
        <w:rPr>
          <w:b/>
          <w:bCs/>
        </w:rPr>
        <w:t>ref</w:t>
      </w:r>
      <w:r>
        <w:rPr>
          <w:b w:val="false"/>
          <w:bCs w:val="false"/>
        </w:rPr>
        <w:t xml:space="preserve">) are also actively contributing to degrade CDOM. Hence, a more plausible scenario is that the observed kinetic of CDOM upon intrusion in marine ecosystems is a result of the combined effect of flocculation, photodegradation and biodegradation processes. </w:t>
      </w:r>
    </w:p>
    <w:p>
      <w:pPr>
        <w:pStyle w:val="Standard"/>
        <w:spacing w:lineRule="auto" w:line="360" w:before="0" w:after="360"/>
        <w:jc w:val="both"/>
        <w:rPr>
          <w:rFonts w:ascii="Open Sans" w:hAnsi="Open Sans"/>
        </w:rPr>
      </w:pPr>
      <w:r>
        <w:rPr>
          <w:b w:val="false"/>
          <w:bCs w:val="false"/>
        </w:rPr>
        <w:t>Interestingly, no change in DOM aromaticity was observable between salinity 8.7 and 26.8. In this segment, we hypothesize that previous exposure to photochemical and biological processes decreased the reactivity of CDOM to a point where that degradation processes are less effective are removing aromatic compounds from the DOM pool. This could explain why production (mainly primary production) and removal processes are balancing out (</w:t>
      </w:r>
      <w:r>
        <w:rPr>
          <w:b/>
          <w:bCs/>
        </w:rPr>
        <w:t>Fig. 7</w:t>
      </w:r>
      <w:r>
        <w:rPr>
          <w:b w:val="false"/>
          <w:bCs w:val="false"/>
        </w:rPr>
        <w:t>). At high salinity (&gt; 26.8), we noted that the last slope of the piecewise regression lined up with the hypothetical conservative mixing line between SUVA</w:t>
      </w:r>
      <w:r>
        <w:rPr>
          <w:b w:val="false"/>
          <w:bCs w:val="false"/>
          <w:vertAlign w:val="subscript"/>
        </w:rPr>
        <w:t>254</w:t>
      </w:r>
      <w:r>
        <w:rPr>
          <w:b w:val="false"/>
          <w:bCs w:val="false"/>
        </w:rPr>
        <w:t xml:space="preserve"> and salinity. One important characteristic of deep ocean water is that the concentration of biomolecules decreases to almost unrecognizable concentrations due to a long history of degradation that took place over centuries and millennium time scale (see refs in Dittmar2014). This is suggesting that medium-aged water containing freshly and colorless DOM is being diluted once entering in contact with deep ocean and DOM-less water.</w:t>
      </w:r>
    </w:p>
    <w:p>
      <w:pPr>
        <w:pStyle w:val="Standard"/>
        <w:spacing w:lineRule="auto" w:line="360" w:before="0" w:after="360"/>
        <w:jc w:val="both"/>
        <w:rPr>
          <w:rFonts w:ascii="Open Sans" w:hAnsi="Open Sans"/>
          <w:b w:val="false"/>
          <w:b w:val="false"/>
          <w:bCs w:val="false"/>
        </w:rPr>
      </w:pPr>
      <w:r>
        <w:rPr>
          <w:b w:val="false"/>
          <w:bCs w:val="false"/>
        </w:rPr>
      </w:r>
    </w:p>
    <w:p>
      <w:pPr>
        <w:pStyle w:val="Standard"/>
        <w:spacing w:lineRule="auto" w:line="360" w:before="0" w:after="360"/>
        <w:jc w:val="both"/>
        <w:rPr>
          <w:rFonts w:ascii="Open Sans" w:hAnsi="Open Sans"/>
        </w:rPr>
      </w:pPr>
      <w:r>
        <w:rPr>
          <w:b/>
          <w:bCs/>
        </w:rPr>
        <w:t>Spatial and temporal data coverage, and methodological uncertainties</w:t>
      </w:r>
    </w:p>
    <w:p>
      <w:pPr>
        <w:pStyle w:val="Standard"/>
        <w:numPr>
          <w:ilvl w:val="1"/>
          <w:numId w:val="4"/>
        </w:numPr>
        <w:spacing w:lineRule="auto" w:line="360" w:before="0" w:after="360"/>
        <w:jc w:val="both"/>
        <w:rPr>
          <w:rFonts w:ascii="Open Sans" w:hAnsi="Open Sans"/>
          <w:ins w:id="14" w:author="Asmala, Eero" w:date="2016-09-02T11:29:00Z"/>
        </w:rPr>
      </w:pPr>
      <w:ins w:id="13" w:author="Asmala, Eero" w:date="2016-09-02T11:26:00Z">
        <w:r>
          <w:rPr>
            <w:bCs/>
          </w:rPr>
          <w:t>figures 1 &amp; 2</w:t>
        </w:r>
      </w:ins>
    </w:p>
    <w:p>
      <w:pPr>
        <w:pStyle w:val="Standard"/>
        <w:numPr>
          <w:ilvl w:val="1"/>
          <w:numId w:val="4"/>
        </w:numPr>
        <w:spacing w:lineRule="auto" w:line="360" w:before="0" w:after="360"/>
        <w:jc w:val="both"/>
        <w:rPr>
          <w:rFonts w:ascii="Open Sans" w:hAnsi="Open Sans"/>
        </w:rPr>
      </w:pPr>
      <w:ins w:id="15" w:author="Asmala, Eero" w:date="2016-09-02T11:31:00Z">
        <w:r>
          <w:rPr>
            <w:bCs/>
          </w:rPr>
          <w:t>potential bias from 1) place and 2) time of observations</w:t>
        </w:r>
      </w:ins>
    </w:p>
    <w:p>
      <w:pPr>
        <w:pStyle w:val="Standard"/>
        <w:numPr>
          <w:ilvl w:val="2"/>
          <w:numId w:val="4"/>
        </w:numPr>
        <w:spacing w:lineRule="auto" w:line="360" w:before="0" w:after="360"/>
        <w:jc w:val="both"/>
        <w:rPr>
          <w:rFonts w:ascii="Open Sans" w:hAnsi="Open Sans"/>
        </w:rPr>
      </w:pPr>
      <w:ins w:id="16" w:author="Asmala, Eero" w:date="2016-09-02T11:32:00Z">
        <w:r>
          <w:rPr>
            <w:bCs/>
          </w:rPr>
          <w:t xml:space="preserve">high number of boreal systems </w:t>
        </w:r>
      </w:ins>
      <w:ins w:id="17" w:author="Asmala, Eero" w:date="2016-09-02T11:32:00Z">
        <w:r>
          <w:rPr>
            <w:rFonts w:eastAsia="Wingdings" w:cs="Wingdings"/>
            <w:bCs/>
          </w:rPr>
          <w:t></w:t>
        </w:r>
      </w:ins>
      <w:ins w:id="18" w:author="Asmala, Eero" w:date="2016-09-02T11:32:00Z">
        <w:r>
          <w:rPr>
            <w:bCs/>
          </w:rPr>
          <w:t xml:space="preserve"> high seasonality</w:t>
        </w:r>
      </w:ins>
    </w:p>
    <w:p>
      <w:pPr>
        <w:pStyle w:val="Standard"/>
        <w:numPr>
          <w:ilvl w:val="2"/>
          <w:numId w:val="4"/>
        </w:numPr>
        <w:spacing w:lineRule="auto" w:line="360" w:before="0" w:after="360"/>
        <w:jc w:val="both"/>
        <w:rPr>
          <w:rFonts w:ascii="Open Sans" w:hAnsi="Open Sans"/>
        </w:rPr>
      </w:pPr>
      <w:ins w:id="19" w:author="Asmala, Eero" w:date="2016-09-02T11:33:00Z">
        <w:r>
          <w:rPr>
            <w:bCs/>
          </w:rPr>
          <w:t>majority of samples taken during</w:t>
        </w:r>
      </w:ins>
      <w:ins w:id="20" w:author="Asmala, Eero" w:date="2016-09-02T11:32:00Z">
        <w:r>
          <w:rPr>
            <w:bCs/>
          </w:rPr>
          <w:t xml:space="preserve"> summer, which is the productive season </w:t>
        </w:r>
      </w:ins>
      <w:ins w:id="21" w:author="Asmala, Eero" w:date="2016-09-02T11:32:00Z">
        <w:r>
          <w:rPr>
            <w:rFonts w:eastAsia="Wingdings" w:cs="Wingdings"/>
            <w:bCs/>
          </w:rPr>
          <w:t></w:t>
        </w:r>
      </w:ins>
      <w:ins w:id="22" w:author="Asmala, Eero" w:date="2016-09-02T11:32:00Z">
        <w:r>
          <w:rPr>
            <w:bCs/>
          </w:rPr>
          <w:t xml:space="preserve"> might lead to bias towards autochthonous signal</w:t>
        </w:r>
      </w:ins>
    </w:p>
    <w:p>
      <w:pPr>
        <w:pStyle w:val="Standard"/>
        <w:numPr>
          <w:ilvl w:val="1"/>
          <w:numId w:val="4"/>
        </w:numPr>
        <w:spacing w:lineRule="auto" w:line="360" w:before="0" w:after="360"/>
        <w:jc w:val="both"/>
        <w:rPr>
          <w:rFonts w:ascii="Open Sans" w:hAnsi="Open Sans"/>
        </w:rPr>
      </w:pPr>
      <w:ins w:id="23" w:author="Asmala, Eero" w:date="2016-09-02T11:33:00Z">
        <w:r>
          <w:rPr>
            <w:bCs/>
          </w:rPr>
          <w:t>uncertainties arising from th</w:t>
        </w:r>
      </w:ins>
      <w:ins w:id="24" w:author="Asmala, Eero" w:date="2016-09-02T11:36:00Z">
        <w:r>
          <w:rPr>
            <w:bCs/>
          </w:rPr>
          <w:t>e conversion to a350</w:t>
        </w:r>
      </w:ins>
    </w:p>
    <w:p>
      <w:pPr>
        <w:pStyle w:val="Standard"/>
        <w:numPr>
          <w:ilvl w:val="1"/>
          <w:numId w:val="4"/>
        </w:numPr>
        <w:spacing w:lineRule="auto" w:line="360" w:before="0" w:after="360"/>
        <w:jc w:val="both"/>
        <w:rPr>
          <w:rFonts w:ascii="Open Sans" w:hAnsi="Open Sans"/>
          <w:ins w:id="26" w:author="Asmala, Eero" w:date="2016-09-02T11:26:00Z"/>
        </w:rPr>
      </w:pPr>
      <w:ins w:id="25" w:author="Asmala, Eero" w:date="2016-09-02T11:36:00Z">
        <w:r>
          <w:rPr>
            <w:bCs/>
          </w:rPr>
          <w:t>uncertainties in compiling large datasets from various authors</w:t>
        </w:r>
      </w:ins>
    </w:p>
    <w:p>
      <w:pPr>
        <w:pStyle w:val="Standard"/>
        <w:spacing w:lineRule="auto" w:line="360" w:before="0" w:after="360"/>
        <w:jc w:val="both"/>
        <w:rPr>
          <w:rFonts w:ascii="Open Sans" w:hAnsi="Open Sans"/>
        </w:rPr>
      </w:pPr>
      <w:r>
        <w:rPr>
          <w:b/>
          <w:bCs/>
        </w:rPr>
        <w:t>Differences in spectral slope between freshwater and seawater</w:t>
      </w:r>
    </w:p>
    <w:p>
      <w:pPr>
        <w:pStyle w:val="Standard"/>
        <w:numPr>
          <w:ilvl w:val="1"/>
          <w:numId w:val="4"/>
        </w:numPr>
        <w:spacing w:lineRule="auto" w:line="360" w:before="0" w:after="360"/>
        <w:jc w:val="both"/>
        <w:rPr>
          <w:rFonts w:ascii="Open Sans" w:hAnsi="Open Sans"/>
        </w:rPr>
      </w:pPr>
      <w:ins w:id="27" w:author="Asmala, Eero" w:date="2016-09-02T11:29:00Z">
        <w:r>
          <w:rPr>
            <w:bCs/>
          </w:rPr>
          <w:t>figure 8</w:t>
        </w:r>
      </w:ins>
    </w:p>
    <w:p>
      <w:pPr>
        <w:pStyle w:val="Standard"/>
        <w:numPr>
          <w:ilvl w:val="1"/>
          <w:numId w:val="4"/>
        </w:numPr>
        <w:spacing w:lineRule="auto" w:line="360" w:before="0" w:after="360"/>
        <w:jc w:val="both"/>
        <w:rPr>
          <w:rFonts w:ascii="Open Sans" w:hAnsi="Open Sans"/>
        </w:rPr>
      </w:pPr>
      <w:ins w:id="28" w:author="Asmala, Eero" w:date="2016-09-02T12:54:00Z">
        <w:r>
          <w:rPr>
            <w:bCs/>
          </w:rPr>
          <w:t>the most “active” wavelengths are the on</w:t>
        </w:r>
      </w:ins>
      <w:ins w:id="29" w:author="Asmala, Eero" w:date="2016-09-02T12:55:00Z">
        <w:r>
          <w:rPr>
            <w:bCs/>
          </w:rPr>
          <w:t>e</w:t>
        </w:r>
      </w:ins>
      <w:ins w:id="30" w:author="Asmala, Eero" w:date="2016-09-02T12:54:00Z">
        <w:r>
          <w:rPr>
            <w:bCs/>
          </w:rPr>
          <w:t>s indicated by large changes in Loiselle curve</w:t>
        </w:r>
      </w:ins>
    </w:p>
    <w:p>
      <w:pPr>
        <w:pStyle w:val="Standard"/>
        <w:numPr>
          <w:ilvl w:val="1"/>
          <w:numId w:val="4"/>
        </w:numPr>
        <w:spacing w:lineRule="auto" w:line="360" w:before="0" w:after="360"/>
        <w:jc w:val="both"/>
        <w:rPr>
          <w:rFonts w:ascii="Open Sans" w:hAnsi="Open Sans"/>
        </w:rPr>
      </w:pPr>
      <w:ins w:id="31" w:author="Asmala, Eero" w:date="2016-09-02T12:56:00Z">
        <w:r>
          <w:rPr>
            <w:bCs/>
          </w:rPr>
          <w:t>these ranges are the most dynamic, i.e. show largest changes between samples</w:t>
        </w:r>
      </w:ins>
    </w:p>
    <w:p>
      <w:pPr>
        <w:pStyle w:val="Standard"/>
        <w:numPr>
          <w:ilvl w:val="1"/>
          <w:numId w:val="4"/>
        </w:numPr>
        <w:spacing w:lineRule="auto" w:line="360" w:before="0" w:after="360"/>
        <w:jc w:val="both"/>
        <w:rPr>
          <w:rFonts w:ascii="Open Sans" w:hAnsi="Open Sans"/>
        </w:rPr>
      </w:pPr>
      <w:ins w:id="32" w:author="Asmala, Eero" w:date="2016-09-02T12:56:00Z">
        <w:r>
          <w:rPr>
            <w:bCs/>
          </w:rPr>
          <w:t xml:space="preserve">present updated </w:t>
        </w:r>
      </w:ins>
      <w:ins w:id="33" w:author="Asmala, Eero" w:date="2016-09-02T12:57:00Z">
        <w:r>
          <w:rPr>
            <w:bCs/>
          </w:rPr>
          <w:t>slope ranges (260-280 for freshwater; 260-280 and 280-340 fo</w:t>
        </w:r>
      </w:ins>
      <w:ins w:id="34" w:author="Asmala, Eero" w:date="2016-09-02T12:57:00Z">
        <w:bookmarkStart w:id="0" w:name="_GoBack"/>
        <w:bookmarkEnd w:id="0"/>
        <w:r>
          <w:rPr>
            <w:bCs/>
          </w:rPr>
          <w:t>r marine)</w:t>
        </w:r>
      </w:ins>
    </w:p>
    <w:p>
      <w:pPr>
        <w:pStyle w:val="Standard"/>
        <w:numPr>
          <w:ilvl w:val="1"/>
          <w:numId w:val="4"/>
        </w:numPr>
        <w:spacing w:lineRule="auto" w:line="360" w:before="0" w:after="360"/>
        <w:jc w:val="both"/>
        <w:rPr>
          <w:rFonts w:ascii="Open Sans" w:hAnsi="Open Sans"/>
        </w:rPr>
      </w:pPr>
      <w:ins w:id="35" w:author="Philippe Massicotte" w:date="2016-09-02T13:29:00Z">
        <w:r>
          <w:rPr>
            <w:bCs/>
          </w:rPr>
          <w:t>Helms</w:t>
        </w:r>
      </w:ins>
      <w:ins w:id="36" w:author="Philippe Massicotte" w:date="2016-09-02T13:30:00Z">
        <w:r>
          <w:rPr>
            <w:bCs/>
          </w:rPr>
          <w:t>2008 does not work for marine samples</w:t>
        </w:r>
      </w:ins>
    </w:p>
    <w:p>
      <w:pPr>
        <w:pStyle w:val="Standard"/>
        <w:spacing w:lineRule="auto" w:line="360" w:before="0" w:after="360"/>
        <w:jc w:val="both"/>
        <w:rPr>
          <w:rFonts w:ascii="Open Sans" w:hAnsi="Open Sans"/>
        </w:rPr>
      </w:pPr>
      <w:r>
        <w:rPr>
          <w:b/>
          <w:bCs/>
        </w:rPr>
        <w:t>Link with salinity and breakpoint</w:t>
      </w:r>
    </w:p>
    <w:p>
      <w:pPr>
        <w:pStyle w:val="Standard"/>
        <w:spacing w:lineRule="auto" w:line="360" w:before="0" w:after="360"/>
        <w:jc w:val="both"/>
        <w:rPr>
          <w:rFonts w:ascii="Open Sans" w:hAnsi="Open Sans"/>
        </w:rPr>
      </w:pPr>
      <w:r>
        <w:rPr/>
        <w:t>Lapierre2013 found a positive relationship between a</w:t>
      </w:r>
      <w:r>
        <w:rPr>
          <w:vertAlign w:val="subscript"/>
        </w:rPr>
        <w:t>CDOM</w:t>
      </w:r>
      <w:r>
        <w:rPr/>
        <w:t>(440) and the concentrations of biologically and photochemically degradable DOC in boreal aquatic ecosystems. Based on their results we can conclude the highest rates of bio and physical processing are occurring when DOC is highly colored. Here we found that estuaries-rivers-wetlands were dominated with highly colored DOC suggesting that these ecosystems are strongly contributing to highly process DOC before it reaches the open ocean.</w:t>
      </w:r>
    </w:p>
    <w:p>
      <w:pPr>
        <w:pStyle w:val="Standard"/>
        <w:spacing w:lineRule="auto" w:line="360" w:before="0" w:after="360"/>
        <w:jc w:val="both"/>
        <w:rPr>
          <w:rFonts w:ascii="Open Sans" w:hAnsi="Open Sans"/>
        </w:rPr>
      </w:pPr>
      <w:r>
        <w:rPr>
          <w:b/>
        </w:rPr>
        <w:t>Outlook and future research</w:t>
      </w:r>
    </w:p>
    <w:p>
      <w:pPr>
        <w:pStyle w:val="Standard"/>
        <w:spacing w:lineRule="auto" w:line="360" w:before="0" w:after="360"/>
        <w:jc w:val="both"/>
        <w:rPr>
          <w:rFonts w:ascii="Open Sans" w:hAnsi="Open Sans"/>
        </w:rPr>
      </w:pPr>
      <w:r>
        <w:rPr/>
        <w:t>From the analysis of spectral CDOM absorption and its relationship with DOC, it is evident that the level of detail acquired from single wavelength measurements is considerably inferior to the use of spectral information. As the computational capabilities are not likely to present obstacles for utilizing spectral analyses, we strongly recommend researchers to use and develop methods that use the full potential contained in the CDOM spectra.</w:t>
      </w:r>
    </w:p>
    <w:p>
      <w:pPr>
        <w:pStyle w:val="Standard"/>
        <w:spacing w:lineRule="auto" w:line="360" w:before="0" w:after="360"/>
        <w:jc w:val="both"/>
        <w:rPr>
          <w:rFonts w:ascii="Open Sans" w:hAnsi="Open Sans"/>
        </w:rPr>
      </w:pPr>
      <w:r>
        <w:rPr/>
        <w:t>Collecting the dataset used in this study has shown that there are serious shortcomings in our current practices in making the scientific data openly available. We fully acknowledge the considerable amount of work and funds used to acquire the data, but the fact that there have been a lot of resources spent to get the data just emphasizes the rationale to make the best possible use of it. One of the first steps to make the data available (after a reasonable period of exclusive use) would be to use the existing data portals (Pangaea etc.) for uploading and storing the data. After making the data available in any of the public repositories, new cross-platform solutions could be used by the community to use and analyses the stored data.</w:t>
      </w:r>
    </w:p>
    <w:p>
      <w:pPr>
        <w:pStyle w:val="Standard"/>
        <w:spacing w:lineRule="auto" w:line="360" w:before="0" w:after="360"/>
        <w:jc w:val="both"/>
        <w:rPr>
          <w:rFonts w:ascii="Open Sans" w:hAnsi="Open Sans"/>
        </w:rPr>
      </w:pPr>
      <w:ins w:id="37" w:author="Asmala, Eero" w:date="2016-08-26T13:26:00Z">
        <w:r>
          <w:rPr/>
          <w:t xml:space="preserve">The collected data is biased </w:t>
        </w:r>
      </w:ins>
      <w:ins w:id="38" w:author="Asmala, Eero" w:date="2016-08-26T13:29:00Z">
        <w:r>
          <w:rPr/>
          <w:t xml:space="preserve">towards northern hemisphere, as </w:t>
        </w:r>
      </w:ins>
      <w:ins w:id="39" w:author="Asmala, Eero" w:date="2016-08-26T13:31:00Z">
        <w:r>
          <w:rPr/>
          <w:t>the vast majority</w:t>
        </w:r>
      </w:ins>
      <w:ins w:id="40" w:author="Asmala, Eero" w:date="2016-08-26T13:29:00Z">
        <w:r>
          <w:rPr/>
          <w:t xml:space="preserve"> of the </w:t>
        </w:r>
      </w:ins>
      <w:ins w:id="41" w:author="Asmala, Eero" w:date="2016-08-26T13:31:00Z">
        <w:r>
          <w:rPr/>
          <w:t>observations</w:t>
        </w:r>
      </w:ins>
      <w:ins w:id="42" w:author="Asmala, Eero" w:date="2016-08-26T13:30:00Z">
        <w:r>
          <w:rPr/>
          <w:t xml:space="preserve"> (</w:t>
        </w:r>
      </w:ins>
      <w:ins w:id="43" w:author="Asmala, Eero" w:date="2016-08-26T13:35:00Z">
        <w:r>
          <w:rPr/>
          <w:t xml:space="preserve">83%; </w:t>
        </w:r>
      </w:ins>
      <w:ins w:id="44" w:author="Asmala, Eero" w:date="2016-08-26T13:30:00Z">
        <w:r>
          <w:rPr/>
          <w:t>9841/</w:t>
        </w:r>
      </w:ins>
      <w:ins w:id="45" w:author="Asmala, Eero" w:date="2016-08-26T13:31:00Z">
        <w:r>
          <w:rPr/>
          <w:t>11878) are coming from the northern hemisphere (</w:t>
        </w:r>
      </w:ins>
      <w:ins w:id="46" w:author="Asmala, Eero" w:date="2016-08-26T13:32:00Z">
        <w:r>
          <w:rPr/>
          <w:t xml:space="preserve">Supp. Fig. 1). </w:t>
        </w:r>
      </w:ins>
      <w:ins w:id="47" w:author="Asmala, Eero" w:date="2016-08-26T13:34:00Z">
        <w:r>
          <w:rPr/>
          <w:t>C</w:t>
        </w:r>
      </w:ins>
      <w:ins w:id="48" w:author="Asmala, Eero" w:date="2016-08-26T13:32:00Z">
        <w:r>
          <w:rPr/>
          <w:t xml:space="preserve">ontinental </w:t>
        </w:r>
      </w:ins>
      <w:ins w:id="49" w:author="Asmala, Eero" w:date="2016-08-26T13:33:00Z">
        <w:r>
          <w:rPr/>
          <w:t xml:space="preserve">Africa (n = 603), Asia (n = 423) and South America (n = 0) </w:t>
        </w:r>
      </w:ins>
      <w:ins w:id="50" w:author="Asmala, Eero" w:date="2016-08-26T13:34:00Z">
        <w:r>
          <w:rPr/>
          <w:t xml:space="preserve">are poorly represented in the dataset, all of which contain significant inland waters and </w:t>
        </w:r>
      </w:ins>
      <w:ins w:id="51" w:author="Asmala, Eero" w:date="2016-08-26T13:35:00Z">
        <w:r>
          <w:rPr/>
          <w:t>are of major significance in global carbon cycle.</w:t>
        </w:r>
      </w:ins>
    </w:p>
    <w:p>
      <w:pPr>
        <w:pStyle w:val="Standard"/>
        <w:spacing w:lineRule="auto" w:line="360" w:before="0" w:after="360"/>
        <w:jc w:val="both"/>
        <w:rPr>
          <w:rFonts w:ascii="Open Sans" w:hAnsi="Open Sans"/>
        </w:rPr>
      </w:pPr>
      <w:r>
        <w:rPr/>
        <w:t>Highly aromatic groups of DOM, as indicated by high a254 and SUVA254, can be photoreactive and degrade quickly when exposed to sunlight (Stubbins et al., 2008, 2010; Spencer et al., 2009; Stubbins and Dittmar, 2015). (From Wagner 2015)</w:t>
      </w:r>
    </w:p>
    <w:p>
      <w:pPr>
        <w:pStyle w:val="Standard"/>
        <w:spacing w:lineRule="auto" w:line="360" w:before="0" w:after="360"/>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hilippe Massicotte" w:date="2016-08-24T11:01:59Z" w:initials="PM">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not to exceed 40 characters and spaces</w:t>
      </w:r>
    </w:p>
  </w:comment>
  <w:comment w:id="1" w:author="Philippe Massicotte" w:date="2016-08-24T11:02:21Z" w:initials="PM">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5-12</w:t>
      </w:r>
    </w:p>
  </w:comment>
  <w:comment w:id="2" w:author="Asmala, Eero" w:date="2016-08-26T11:29:00Z" w:initials="eeas">
    <w:p>
      <w:r>
        <w:rPr>
          <w:rFonts w:ascii="Liberation Serif" w:hAnsi="Liberation Serif" w:eastAsia="DejaVu Sans" w:cs="DejaVu Sans"/>
          <w:color w:val="00000A"/>
          <w:lang w:val="en-US" w:eastAsia="en-US" w:bidi="en-US"/>
        </w:rPr>
        <w:t>I think this is too vague.</w:t>
      </w:r>
    </w:p>
  </w:comment>
  <w:comment w:id="3" w:author="Asmala, Eero" w:date="2016-08-26T11:30:00Z" w:initials="eeas">
    <w:p>
      <w:r>
        <w:rPr>
          <w:rFonts w:ascii="Liberation Serif" w:hAnsi="Liberation Serif" w:eastAsia="DejaVu Sans" w:cs="DejaVu Sans"/>
          <w:color w:val="00000A"/>
          <w:lang w:val="en-US" w:eastAsia="en-US" w:bidi="en-US"/>
        </w:rPr>
        <w:t>We don’t have direct indicators of fate, so I would leave this word out</w:t>
      </w:r>
    </w:p>
  </w:comment>
  <w:comment w:id="4" w:author="Asmala, Eero" w:date="2016-08-26T13:11:00Z" w:initials="eeas">
    <w:p>
      <w:r>
        <w:rPr>
          <w:rFonts w:ascii="Liberation Serif" w:hAnsi="Liberation Serif" w:eastAsia="DejaVu Sans" w:cs="DejaVu Sans"/>
          <w:color w:val="00000A"/>
          <w:lang w:val="en-US" w:eastAsia="en-US" w:bidi="en-US"/>
        </w:rPr>
        <w:t>this is not correct, right? nelson has values like thirty-something?</w:t>
      </w:r>
    </w:p>
  </w:comment>
  <w:comment w:id="5" w:author="Philippe Massicotte" w:date="2016-09-05T12:40:59Z" w:initials="PM">
    <w:p>
      <w:r>
        <w:rPr>
          <w:rFonts w:cs="FreeSans" w:ascii="Open Sans" w:hAnsi="Open Sans"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Asmala, Eero (08/26/2016, 13:11): "..."</w:t>
      </w:r>
    </w:p>
    <w:p>
      <w:r>
        <w:rPr>
          <w:rFonts w:ascii="Liberation Serif" w:hAnsi="Liberation Serif" w:eastAsia="DejaVu Sans" w:cs="DejaVu Sans"/>
          <w:color w:val="00000A"/>
          <w:sz w:val="20"/>
          <w:lang w:val="en-US" w:eastAsia="zh-CN" w:bidi="hi-IN"/>
        </w:rPr>
        <w:t>This is correct, here it is the median value.</w:t>
      </w:r>
    </w:p>
  </w:comment>
  <w:comment w:id="6" w:author="Philippe Massicotte" w:date="2016-09-06T08:35:21Z" w:initials="PM">
    <w:p>
      <w:r>
        <w:rPr>
          <w:rFonts w:cs="FreeSans" w:ascii="Open Sans" w:hAnsi="Open Sans"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This is supported by the reduction on themolecular weight, aromaticity and humification degree of DOMobserved toward high salinity, with the more photochemically reactive compounds associated to the surface (with lower salinity) layer and components with more refractory character being associated to the high salinity- Laptev Sea shelf waters</w:t>
      </w:r>
    </w:p>
    <w:p>
      <w:r>
        <w:rPr>
          <w:rFonts w:ascii="Liberation Serif" w:hAnsi="Liberation Serif" w:eastAsia="DejaVu Sans" w:cs="DejaVu Sans"/>
          <w:color w:val="auto"/>
          <w:lang w:val="en-US" w:eastAsia="en-US" w:bidi="en-US"/>
        </w:rPr>
      </w:r>
    </w:p>
    <w:p>
      <w:r>
        <w:rPr>
          <w:rFonts w:cs="FreeSans" w:ascii="Open Sans" w:hAnsi="Open Sans"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Goncalev 2015</w:t>
      </w:r>
    </w:p>
  </w:comment>
  <w:comment w:id="7" w:author="Philippe Massicotte" w:date="2016-09-06T14:26:57Z" w:initials="PM">
    <w:p>
      <w:r>
        <w:rPr>
          <w:rFonts w:cs="FreeSans" w:ascii="Open Sans" w:hAnsi="Open Sans"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I think that Fig. 5B in Goncalves2015 shows a similar pattern just with less data points.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ahoma">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09"/>
  <w:autoHyphenation w:val="false"/>
  <w:compat>
    <w:compatSetting w:name="compatibilityMode" w:uri="http://schemas.microsoft.com/office/word" w:val="14"/>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Open Sans" w:hAnsi="Open Sans" w:eastAsia="Droid Sans Fallback" w:cs="FreeSans"/>
      <w:color w:val="00000A"/>
      <w:sz w:val="24"/>
      <w:szCs w:val="24"/>
      <w:lang w:val="en-US" w:eastAsia="zh-CN" w:bidi="hi-IN"/>
    </w:rPr>
  </w:style>
  <w:style w:type="paragraph" w:styleId="Heading5">
    <w:name w:val="Heading 5"/>
    <w:basedOn w:val="Heading"/>
    <w:qFormat/>
    <w:pPr>
      <w:spacing w:before="120" w:after="60"/>
      <w:outlineLvl w:val="4"/>
    </w:pPr>
    <w:rPr>
      <w:rFonts w:ascii="Liberation Serif" w:hAnsi="Liberation Serif" w:eastAsia="WenQuanYi Micro Hei" w:cs="Lohit Devanagari"/>
      <w:b/>
      <w:bCs/>
      <w:sz w:val="20"/>
      <w:szCs w:val="20"/>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Emphasis">
    <w:name w:val="Emphasis"/>
    <w:qFormat/>
    <w:rPr>
      <w:i/>
      <w:iCs/>
    </w:rPr>
  </w:style>
  <w:style w:type="character" w:styleId="Internetlink" w:customStyle="1">
    <w:name w:val="Internet link"/>
    <w:qFormat/>
    <w:rPr>
      <w:color w:val="000080"/>
      <w:u w:val="single"/>
    </w:rPr>
  </w:style>
  <w:style w:type="character" w:styleId="Bullets" w:customStyle="1">
    <w:name w:val="Bullets"/>
    <w:qFormat/>
    <w:rPr>
      <w:rFonts w:ascii="OpenSymbol" w:hAnsi="OpenSymbol" w:eastAsia="OpenSymbol" w:cs="OpenSymbol"/>
    </w:rPr>
  </w:style>
  <w:style w:type="character" w:styleId="VisitedInternetLink" w:customStyle="1">
    <w:name w:val="Visited Internet Link"/>
    <w:rPr>
      <w:color w:val="800000"/>
      <w:u w:val="single"/>
    </w:rPr>
  </w:style>
  <w:style w:type="character" w:styleId="Annotationreference">
    <w:name w:val="annotation reference"/>
    <w:basedOn w:val="DefaultParagraphFont"/>
    <w:uiPriority w:val="99"/>
    <w:semiHidden/>
    <w:unhideWhenUsed/>
    <w:qFormat/>
    <w:rsid w:val="008266b0"/>
    <w:rPr>
      <w:sz w:val="16"/>
      <w:szCs w:val="16"/>
    </w:rPr>
  </w:style>
  <w:style w:type="character" w:styleId="CommentTextChar" w:customStyle="1">
    <w:name w:val="Comment Text Char"/>
    <w:basedOn w:val="DefaultParagraphFont"/>
    <w:link w:val="CommentText"/>
    <w:uiPriority w:val="99"/>
    <w:semiHidden/>
    <w:qFormat/>
    <w:rsid w:val="008266b0"/>
    <w:rPr>
      <w:rFonts w:cs="Mangal"/>
      <w:sz w:val="20"/>
      <w:szCs w:val="18"/>
    </w:rPr>
  </w:style>
  <w:style w:type="character" w:styleId="CommentSubjectChar" w:customStyle="1">
    <w:name w:val="Comment Subject Char"/>
    <w:basedOn w:val="CommentTextChar"/>
    <w:link w:val="CommentSubject"/>
    <w:uiPriority w:val="99"/>
    <w:semiHidden/>
    <w:qFormat/>
    <w:rsid w:val="008266b0"/>
    <w:rPr>
      <w:rFonts w:cs="Mangal"/>
      <w:b/>
      <w:bCs/>
      <w:sz w:val="20"/>
      <w:szCs w:val="18"/>
    </w:rPr>
  </w:style>
  <w:style w:type="character" w:styleId="BalloonTextChar" w:customStyle="1">
    <w:name w:val="Balloon Text Char"/>
    <w:basedOn w:val="DefaultParagraphFont"/>
    <w:link w:val="BalloonText"/>
    <w:uiPriority w:val="99"/>
    <w:semiHidden/>
    <w:qFormat/>
    <w:rsid w:val="008266b0"/>
    <w:rPr>
      <w:rFonts w:ascii="Tahoma" w:hAnsi="Tahoma" w:cs="Mangal"/>
      <w:sz w:val="16"/>
      <w:szCs w:val="14"/>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InternetLink1">
    <w:name w:val="Internet Link"/>
    <w:rPr>
      <w:color w:val="000080"/>
      <w:u w:val="single"/>
      <w:lang w:val="zxx" w:eastAsia="zxx" w:bidi="zxx"/>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Open Sans" w:hAnsi="Open San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Open Sans" w:hAnsi="Open San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Open Sans" w:hAnsi="Open San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Open Sans" w:hAnsi="Open San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Open Sans" w:hAnsi="Open San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Heading" w:customStyle="1">
    <w:name w:val="Heading"/>
    <w:basedOn w:val="Normal"/>
    <w:next w:val="TextBody"/>
    <w:qFormat/>
    <w:pPr>
      <w:keepNext/>
      <w:widowControl w:val="false"/>
      <w:bidi w:val="0"/>
      <w:spacing w:before="240" w:after="120"/>
      <w:jc w:val="left"/>
    </w:pPr>
    <w:rPr>
      <w:rFonts w:ascii="Open Sans" w:hAnsi="Open Sans" w:eastAsia="Droid Sans Fallback" w:cs="FreeSans"/>
      <w:color w:val="00000A"/>
      <w:sz w:val="28"/>
      <w:szCs w:val="28"/>
      <w:lang w:val="en-US" w:eastAsia="zh-CN" w:bidi="hi-IN"/>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Open Sans" w:hAnsi="Open Sans" w:eastAsia="Droid Sans Fallback" w:cs="FreeSans"/>
      <w:color w:val="00000A"/>
      <w:sz w:val="24"/>
      <w:szCs w:val="24"/>
      <w:lang w:val="en-US"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val="false"/>
      <w:suppressLineNumbers/>
      <w:bidi w:val="0"/>
      <w:jc w:val="left"/>
    </w:pPr>
    <w:rPr>
      <w:rFonts w:ascii="Open Sans" w:hAnsi="Open Sans" w:eastAsia="Droid Sans Fallback" w:cs="FreeSans"/>
      <w:color w:val="00000A"/>
      <w:sz w:val="24"/>
      <w:szCs w:val="24"/>
      <w:lang w:val="en-US" w:eastAsia="zh-CN" w:bidi="hi-IN"/>
    </w:rPr>
  </w:style>
  <w:style w:type="paragraph" w:styleId="Standard" w:customStyle="1">
    <w:name w:val="Standard"/>
    <w:qFormat/>
    <w:pPr>
      <w:widowControl/>
      <w:bidi w:val="0"/>
      <w:jc w:val="left"/>
    </w:pPr>
    <w:rPr>
      <w:rFonts w:ascii="Open Sans" w:hAnsi="Open Sans" w:eastAsia="Droid Sans Fallback" w:cs="FreeSans"/>
      <w:color w:val="00000A"/>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PreformattedText" w:customStyle="1">
    <w:name w:val="Preformatted Text"/>
    <w:basedOn w:val="Standard"/>
    <w:qFormat/>
    <w:pPr/>
    <w:rPr>
      <w:rFonts w:ascii="Liberation Mono" w:hAnsi="Liberation Mono" w:eastAsia="Courier New" w:cs="Liberation Mono"/>
      <w:sz w:val="20"/>
      <w:szCs w:val="20"/>
    </w:rPr>
  </w:style>
  <w:style w:type="paragraph" w:styleId="Annotationtext">
    <w:name w:val="annotation text"/>
    <w:basedOn w:val="Normal"/>
    <w:link w:val="CommentTextChar"/>
    <w:uiPriority w:val="99"/>
    <w:semiHidden/>
    <w:unhideWhenUsed/>
    <w:qFormat/>
    <w:rsid w:val="008266b0"/>
    <w:pPr/>
    <w:rPr>
      <w:rFonts w:cs="Mangal"/>
      <w:sz w:val="20"/>
      <w:szCs w:val="18"/>
    </w:rPr>
  </w:style>
  <w:style w:type="paragraph" w:styleId="Annotationsubject">
    <w:name w:val="annotation subject"/>
    <w:basedOn w:val="Annotationtext"/>
    <w:link w:val="CommentSubjectChar"/>
    <w:uiPriority w:val="99"/>
    <w:semiHidden/>
    <w:unhideWhenUsed/>
    <w:qFormat/>
    <w:rsid w:val="008266b0"/>
    <w:pPr/>
    <w:rPr>
      <w:b/>
      <w:bCs/>
    </w:rPr>
  </w:style>
  <w:style w:type="paragraph" w:styleId="BalloonText">
    <w:name w:val="Balloon Text"/>
    <w:basedOn w:val="Normal"/>
    <w:link w:val="BalloonTextChar"/>
    <w:uiPriority w:val="99"/>
    <w:semiHidden/>
    <w:unhideWhenUsed/>
    <w:qFormat/>
    <w:rsid w:val="008266b0"/>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turalearthdata.com/"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2177</TotalTime>
  <Application>LibreOffice/5.1.4.2$Linux_X86_64 LibreOffice_project/10m0$Build-2</Application>
  <Pages>22</Pages>
  <Words>4448</Words>
  <Characters>24539</Characters>
  <CharactersWithSpaces>28880</CharactersWithSpaces>
  <Paragraphs>94</Paragraphs>
  <Company>Aarhus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2016-08-26T09:28:00Z</dcterms:created>
  <dc:creator>Philippe Massicotte</dc:creator>
  <dc:description/>
  <dc:language>en-US</dc:language>
  <cp:lastModifiedBy>Philippe Massicotte</cp:lastModifiedBy>
  <dcterms:modified xsi:type="dcterms:W3CDTF">2016-09-08T08:56:37Z</dcterms:modified>
  <cp:revision>243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Aarhus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a042f135-2b6a-3baf-a133-8de949eb6e41</vt:lpwstr>
  </property>
  <property fmtid="{D5CDD505-2E9C-101B-9397-08002B2CF9AE}" pid="10" name="ScaleCrop">
    <vt:bool>0</vt:bool>
  </property>
  <property fmtid="{D5CDD505-2E9C-101B-9397-08002B2CF9AE}" pid="11" name="ShareDoc">
    <vt:bool>0</vt:bool>
  </property>
</Properties>
</file>