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A86EB" w14:textId="77777777" w:rsidR="00FE47AF" w:rsidRDefault="00FE47AF" w:rsidP="00FE47AF">
      <w:pPr>
        <w:pStyle w:val="NormalWeb"/>
        <w:spacing w:before="200" w:beforeAutospacing="0" w:after="200" w:afterAutospacing="0"/>
        <w:jc w:val="both"/>
      </w:pPr>
      <w:r>
        <w:rPr>
          <w:rFonts w:ascii="Arial" w:hAnsi="Arial" w:cs="Arial"/>
          <w:b/>
          <w:bCs/>
          <w:i/>
          <w:iCs/>
          <w:color w:val="000000"/>
        </w:rPr>
        <w:t xml:space="preserve">4.3 </w:t>
      </w:r>
      <w:proofErr w:type="spellStart"/>
      <w:r>
        <w:rPr>
          <w:rFonts w:ascii="Arial" w:hAnsi="Arial" w:cs="Arial"/>
          <w:b/>
          <w:bCs/>
          <w:i/>
          <w:iCs/>
          <w:color w:val="000000"/>
        </w:rPr>
        <w:t>Nutrients</w:t>
      </w:r>
      <w:proofErr w:type="spellEnd"/>
      <w:r>
        <w:rPr>
          <w:rFonts w:ascii="Arial" w:hAnsi="Arial" w:cs="Arial"/>
          <w:b/>
          <w:bCs/>
          <w:i/>
          <w:iCs/>
          <w:color w:val="000000"/>
        </w:rPr>
        <w:t xml:space="preserve"> (Fig. 5)</w:t>
      </w:r>
    </w:p>
    <w:p w14:paraId="7526E5A5" w14:textId="77777777" w:rsidR="00FE47AF" w:rsidRDefault="00FE47AF" w:rsidP="00FE47AF">
      <w:pPr>
        <w:pStyle w:val="NormalWeb"/>
        <w:numPr>
          <w:ilvl w:val="0"/>
          <w:numId w:val="1"/>
        </w:numPr>
        <w:spacing w:before="200" w:beforeAutospacing="0" w:after="200" w:afterAutospacing="0"/>
        <w:jc w:val="both"/>
        <w:textAlignment w:val="baseline"/>
        <w:rPr>
          <w:rFonts w:ascii="Arial" w:hAnsi="Arial" w:cs="Arial"/>
          <w:color w:val="000000"/>
        </w:rPr>
      </w:pPr>
      <w:r>
        <w:rPr>
          <w:rFonts w:ascii="Arial" w:hAnsi="Arial" w:cs="Arial"/>
          <w:color w:val="000000"/>
        </w:rPr>
        <w:t>Patrick Raimbault</w:t>
      </w:r>
    </w:p>
    <w:p w14:paraId="7044E9F1" w14:textId="77777777" w:rsidR="00FE47AF" w:rsidRDefault="00FE47AF" w:rsidP="00FE47AF">
      <w:pPr>
        <w:pStyle w:val="NormalWeb"/>
        <w:numPr>
          <w:ilvl w:val="0"/>
          <w:numId w:val="1"/>
        </w:numPr>
        <w:spacing w:before="200" w:beforeAutospacing="0" w:after="200" w:afterAutospacing="0"/>
        <w:jc w:val="both"/>
        <w:textAlignment w:val="baseline"/>
        <w:rPr>
          <w:rFonts w:ascii="Arial" w:hAnsi="Arial" w:cs="Arial"/>
          <w:color w:val="000000"/>
        </w:rPr>
      </w:pPr>
      <w:r>
        <w:rPr>
          <w:rFonts w:ascii="Arial" w:hAnsi="Arial" w:cs="Arial"/>
          <w:color w:val="000000"/>
        </w:rPr>
        <w:t>Jean-Éric Tremblay</w:t>
      </w:r>
    </w:p>
    <w:p w14:paraId="7C80A294" w14:textId="77777777" w:rsidR="00A0304C" w:rsidRDefault="00A0304C">
      <w:r w:rsidRPr="00A0304C">
        <w:rPr>
          <w:noProof/>
          <w:lang w:eastAsia="fr-FR"/>
        </w:rPr>
        <w:drawing>
          <wp:inline distT="0" distB="0" distL="0" distR="0" wp14:anchorId="757F08EC" wp14:editId="25863C33">
            <wp:extent cx="5173980" cy="64084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6408420"/>
                    </a:xfrm>
                    <a:prstGeom prst="rect">
                      <a:avLst/>
                    </a:prstGeom>
                    <a:noFill/>
                    <a:ln>
                      <a:noFill/>
                    </a:ln>
                  </pic:spPr>
                </pic:pic>
              </a:graphicData>
            </a:graphic>
          </wp:inline>
        </w:drawing>
      </w:r>
    </w:p>
    <w:p w14:paraId="0321BBDC" w14:textId="7AEAEC01" w:rsidR="00836B14" w:rsidRPr="00836B14" w:rsidRDefault="00920947" w:rsidP="00836B14">
      <w:pPr>
        <w:ind w:firstLine="709"/>
        <w:jc w:val="both"/>
        <w:rPr>
          <w:rFonts w:cs="Arial"/>
          <w:color w:val="000000" w:themeColor="text1"/>
          <w:lang w:val="en-US"/>
        </w:rPr>
      </w:pPr>
      <w:r w:rsidRPr="0068272C">
        <w:rPr>
          <w:rFonts w:cs="Arial"/>
          <w:color w:val="000000" w:themeColor="text1"/>
          <w:lang w:val="en-US"/>
        </w:rPr>
        <w:t>Samples for nitrate, nitrite, soluble reactive phosphorus (SRP) and silicate determination were collected into 20 ml polyethylene flasks</w:t>
      </w:r>
      <w:r w:rsidR="00D4593A" w:rsidRPr="0068272C">
        <w:rPr>
          <w:rFonts w:cs="Arial"/>
          <w:color w:val="000000" w:themeColor="text1"/>
          <w:lang w:val="en-US"/>
        </w:rPr>
        <w:t>,</w:t>
      </w:r>
      <w:r w:rsidRPr="0068272C">
        <w:rPr>
          <w:rFonts w:cs="Arial"/>
          <w:color w:val="000000" w:themeColor="text1"/>
          <w:lang w:val="en-US"/>
        </w:rPr>
        <w:t xml:space="preserve"> immediately poisoned with mercuric chloride (Kirkwood, 1992), and stored for subsequent laboratory analysis according to Raimbault et al. (1990) and </w:t>
      </w:r>
      <w:proofErr w:type="spellStart"/>
      <w:r w:rsidRPr="0068272C">
        <w:rPr>
          <w:rFonts w:cs="Arial"/>
          <w:color w:val="000000" w:themeColor="text1"/>
          <w:lang w:val="en-US"/>
        </w:rPr>
        <w:t>Aminot</w:t>
      </w:r>
      <w:proofErr w:type="spellEnd"/>
      <w:r w:rsidRPr="0068272C">
        <w:rPr>
          <w:rFonts w:cs="Arial"/>
          <w:color w:val="000000" w:themeColor="text1"/>
          <w:lang w:val="en-US"/>
        </w:rPr>
        <w:t xml:space="preserve"> and </w:t>
      </w:r>
      <w:proofErr w:type="spellStart"/>
      <w:r w:rsidRPr="0068272C">
        <w:rPr>
          <w:rFonts w:cs="Arial"/>
          <w:color w:val="000000" w:themeColor="text1"/>
          <w:lang w:val="en-US"/>
        </w:rPr>
        <w:t>Kerouel</w:t>
      </w:r>
      <w:proofErr w:type="spellEnd"/>
      <w:r w:rsidRPr="0068272C">
        <w:rPr>
          <w:rFonts w:cs="Arial"/>
          <w:color w:val="000000" w:themeColor="text1"/>
          <w:lang w:val="en-US"/>
        </w:rPr>
        <w:t xml:space="preserve"> (2007</w:t>
      </w:r>
      <w:r w:rsidRPr="00836B14">
        <w:rPr>
          <w:rFonts w:cs="Arial"/>
          <w:color w:val="000000" w:themeColor="text1"/>
          <w:lang w:val="en-US"/>
        </w:rPr>
        <w:t xml:space="preserve">). </w:t>
      </w:r>
      <w:r w:rsidR="00836B14" w:rsidRPr="00836B14">
        <w:rPr>
          <w:rFonts w:cs="Arial"/>
          <w:color w:val="000000" w:themeColor="text1"/>
          <w:lang w:val="en-US"/>
        </w:rPr>
        <w:t xml:space="preserve">Ammonium concentrations (40 ml collected into 60 ml polycarbonate tubes) were measured onboard using the sensitive method of Holmes et al. (1999) having a detection limit of 5 </w:t>
      </w:r>
      <w:proofErr w:type="gramStart"/>
      <w:r w:rsidR="00836B14" w:rsidRPr="00836B14">
        <w:rPr>
          <w:rFonts w:cs="Arial"/>
          <w:color w:val="000000" w:themeColor="text1"/>
          <w:lang w:val="en-US"/>
        </w:rPr>
        <w:t>nmoles.l</w:t>
      </w:r>
      <w:proofErr w:type="gramEnd"/>
      <w:r w:rsidR="00836B14" w:rsidRPr="00836B14">
        <w:rPr>
          <w:rFonts w:cs="Arial"/>
          <w:color w:val="000000" w:themeColor="text1"/>
          <w:vertAlign w:val="superscript"/>
          <w:lang w:val="en-US"/>
        </w:rPr>
        <w:t>-1</w:t>
      </w:r>
      <w:r w:rsidR="00836B14" w:rsidRPr="00836B14">
        <w:rPr>
          <w:rFonts w:cs="Arial"/>
          <w:color w:val="000000" w:themeColor="text1"/>
          <w:lang w:val="en-US"/>
        </w:rPr>
        <w:t xml:space="preserve">. </w:t>
      </w:r>
    </w:p>
    <w:p w14:paraId="34AC8A53" w14:textId="606F77CA" w:rsidR="00920947" w:rsidRPr="0068272C" w:rsidRDefault="00920947" w:rsidP="00586013">
      <w:pPr>
        <w:tabs>
          <w:tab w:val="left" w:pos="8640"/>
        </w:tabs>
        <w:spacing w:after="0" w:line="240" w:lineRule="auto"/>
        <w:jc w:val="both"/>
        <w:rPr>
          <w:rFonts w:cs="Arial"/>
          <w:noProof/>
          <w:color w:val="000000" w:themeColor="text1"/>
          <w:lang w:val="en-GB"/>
        </w:rPr>
      </w:pPr>
      <w:r w:rsidRPr="0068272C">
        <w:rPr>
          <w:rFonts w:cs="Arial"/>
          <w:color w:val="000000" w:themeColor="text1"/>
          <w:lang w:val="en-US"/>
        </w:rPr>
        <w:lastRenderedPageBreak/>
        <w:t>Samples for organic matter determination were collected into 50-ml Glass Schott bottles</w:t>
      </w:r>
      <w:r w:rsidR="00D4593A" w:rsidRPr="0068272C">
        <w:rPr>
          <w:rFonts w:cs="Arial"/>
          <w:color w:val="000000" w:themeColor="text1"/>
          <w:lang w:val="en-US"/>
        </w:rPr>
        <w:t xml:space="preserve">, </w:t>
      </w:r>
      <w:r w:rsidRPr="0068272C">
        <w:rPr>
          <w:rFonts w:cs="Arial"/>
          <w:color w:val="000000" w:themeColor="text1"/>
          <w:lang w:val="en-US"/>
        </w:rPr>
        <w:t>immediately acidified with 100 µl of 0.5N H</w:t>
      </w:r>
      <w:r w:rsidRPr="0068272C">
        <w:rPr>
          <w:rFonts w:cs="Arial"/>
          <w:color w:val="000000" w:themeColor="text1"/>
          <w:vertAlign w:val="subscript"/>
          <w:lang w:val="en-US"/>
        </w:rPr>
        <w:t>2</w:t>
      </w:r>
      <w:r w:rsidRPr="0068272C">
        <w:rPr>
          <w:rFonts w:cs="Arial"/>
          <w:color w:val="000000" w:themeColor="text1"/>
          <w:lang w:val="en-US"/>
        </w:rPr>
        <w:t>SO</w:t>
      </w:r>
      <w:proofErr w:type="gramStart"/>
      <w:r w:rsidRPr="0068272C">
        <w:rPr>
          <w:rFonts w:cs="Arial"/>
          <w:color w:val="000000" w:themeColor="text1"/>
          <w:vertAlign w:val="subscript"/>
          <w:lang w:val="en-US"/>
        </w:rPr>
        <w:t>4</w:t>
      </w:r>
      <w:r w:rsidRPr="0068272C">
        <w:rPr>
          <w:rFonts w:cs="Arial"/>
          <w:color w:val="000000" w:themeColor="text1"/>
          <w:lang w:val="en-US"/>
        </w:rPr>
        <w:t xml:space="preserve"> </w:t>
      </w:r>
      <w:r w:rsidR="00836B14">
        <w:rPr>
          <w:rFonts w:cs="Arial"/>
          <w:color w:val="000000" w:themeColor="text1"/>
          <w:lang w:val="en-US"/>
        </w:rPr>
        <w:t xml:space="preserve"> </w:t>
      </w:r>
      <w:r w:rsidRPr="0068272C">
        <w:rPr>
          <w:rFonts w:cs="Arial"/>
          <w:color w:val="000000" w:themeColor="text1"/>
          <w:lang w:val="en-US"/>
        </w:rPr>
        <w:t>and</w:t>
      </w:r>
      <w:proofErr w:type="gramEnd"/>
      <w:r w:rsidRPr="0068272C">
        <w:rPr>
          <w:rFonts w:cs="Arial"/>
          <w:color w:val="000000" w:themeColor="text1"/>
          <w:lang w:val="en-US"/>
        </w:rPr>
        <w:t xml:space="preserve"> stored in the dark at 5°C.  DOC, DON and DOP were determined at laboratory using</w:t>
      </w:r>
      <w:r w:rsidR="00ED419C">
        <w:rPr>
          <w:rFonts w:cs="Arial"/>
          <w:color w:val="000000" w:themeColor="text1"/>
          <w:lang w:val="en-US"/>
        </w:rPr>
        <w:t xml:space="preserve"> the</w:t>
      </w:r>
      <w:r w:rsidRPr="0068272C">
        <w:rPr>
          <w:rFonts w:cs="Arial"/>
          <w:color w:val="000000" w:themeColor="text1"/>
          <w:lang w:val="en-US"/>
        </w:rPr>
        <w:t xml:space="preserve"> wet-oxidation </w:t>
      </w:r>
      <w:r w:rsidR="00ED419C">
        <w:rPr>
          <w:rFonts w:cs="Arial"/>
          <w:color w:val="000000" w:themeColor="text1"/>
          <w:lang w:val="en-US"/>
        </w:rPr>
        <w:t xml:space="preserve">procedure </w:t>
      </w:r>
      <w:r w:rsidRPr="0068272C">
        <w:rPr>
          <w:rFonts w:cs="Arial"/>
          <w:color w:val="000000" w:themeColor="text1"/>
          <w:lang w:val="en-US"/>
        </w:rPr>
        <w:t xml:space="preserve">according to </w:t>
      </w:r>
      <w:r w:rsidRPr="0068272C">
        <w:rPr>
          <w:rFonts w:cs="Arial"/>
          <w:noProof/>
          <w:color w:val="000000" w:themeColor="text1"/>
          <w:lang w:val="en-GB"/>
        </w:rPr>
        <w:t>Raimbault et al. (1999).</w:t>
      </w:r>
    </w:p>
    <w:p w14:paraId="03F37BCF" w14:textId="2EE15D69" w:rsidR="00D4593A" w:rsidRPr="0068272C" w:rsidRDefault="00D4593A" w:rsidP="00586013">
      <w:pPr>
        <w:tabs>
          <w:tab w:val="left" w:pos="8640"/>
        </w:tabs>
        <w:spacing w:after="0" w:line="240" w:lineRule="auto"/>
        <w:jc w:val="both"/>
        <w:rPr>
          <w:rFonts w:cs="Arial"/>
          <w:noProof/>
          <w:color w:val="000000" w:themeColor="text1"/>
          <w:lang w:val="en-GB"/>
        </w:rPr>
      </w:pPr>
    </w:p>
    <w:p w14:paraId="23D5CA45" w14:textId="0191F7B5" w:rsidR="00D4593A" w:rsidRPr="0068272C" w:rsidRDefault="00D4593A" w:rsidP="00586013">
      <w:pPr>
        <w:spacing w:after="0" w:line="240" w:lineRule="auto"/>
        <w:jc w:val="both"/>
        <w:rPr>
          <w:rFonts w:cs="Arial"/>
          <w:lang w:val="en-US"/>
        </w:rPr>
      </w:pPr>
      <w:r w:rsidRPr="0068272C">
        <w:rPr>
          <w:rFonts w:cs="Arial"/>
          <w:lang w:val="en-US"/>
        </w:rPr>
        <w:t xml:space="preserve">Nitrate levels were always very low in surface, with concentration generally lower than 10 </w:t>
      </w:r>
      <w:proofErr w:type="spellStart"/>
      <w:proofErr w:type="gramStart"/>
      <w:r w:rsidRPr="0068272C">
        <w:rPr>
          <w:rFonts w:cs="Arial"/>
          <w:lang w:val="en-US"/>
        </w:rPr>
        <w:t>nmoles</w:t>
      </w:r>
      <w:proofErr w:type="spellEnd"/>
      <w:r w:rsidR="00836B14">
        <w:rPr>
          <w:rFonts w:cs="Arial"/>
          <w:color w:val="000000" w:themeColor="text1"/>
          <w:lang w:val="en-GB"/>
        </w:rPr>
        <w:t>.</w:t>
      </w:r>
      <w:r w:rsidR="00836B14" w:rsidRPr="00836B14">
        <w:rPr>
          <w:rFonts w:cs="Arial"/>
          <w:color w:val="000000" w:themeColor="text1"/>
          <w:lang w:val="en-GB"/>
        </w:rPr>
        <w:t>l</w:t>
      </w:r>
      <w:proofErr w:type="gramEnd"/>
      <w:r w:rsidR="00836B14" w:rsidRPr="00836B14">
        <w:rPr>
          <w:rFonts w:cs="Arial"/>
          <w:color w:val="000000" w:themeColor="text1"/>
          <w:vertAlign w:val="superscript"/>
          <w:lang w:val="en-GB"/>
        </w:rPr>
        <w:t>-1</w:t>
      </w:r>
      <w:r w:rsidRPr="0068272C">
        <w:rPr>
          <w:rFonts w:cs="Arial"/>
          <w:lang w:val="en-US"/>
        </w:rPr>
        <w:t xml:space="preserve">, except in the Mackenzie plume. </w:t>
      </w:r>
      <w:r w:rsidR="00ED419C">
        <w:rPr>
          <w:rFonts w:cs="Arial"/>
          <w:lang w:val="en-US"/>
        </w:rPr>
        <w:t>I</w:t>
      </w:r>
      <w:r w:rsidRPr="0068272C">
        <w:rPr>
          <w:rFonts w:cs="Arial"/>
          <w:lang w:val="en-US"/>
        </w:rPr>
        <w:t xml:space="preserve">t is interesting to note that nitrate was never entirely depleted and </w:t>
      </w:r>
      <w:r w:rsidR="00ED419C">
        <w:rPr>
          <w:rFonts w:cs="Arial"/>
          <w:lang w:val="en-US"/>
        </w:rPr>
        <w:t xml:space="preserve">some </w:t>
      </w:r>
      <w:r w:rsidRPr="0068272C">
        <w:rPr>
          <w:rFonts w:cs="Arial"/>
          <w:lang w:val="en-US"/>
        </w:rPr>
        <w:t xml:space="preserve">traces </w:t>
      </w:r>
      <w:r w:rsidR="00836B14" w:rsidRPr="00836B14">
        <w:rPr>
          <w:rFonts w:cs="Arial"/>
          <w:color w:val="000000" w:themeColor="text1"/>
          <w:lang w:val="en-GB"/>
        </w:rPr>
        <w:t xml:space="preserve">(5 to 10 </w:t>
      </w:r>
      <w:proofErr w:type="gramStart"/>
      <w:r w:rsidR="00836B14" w:rsidRPr="00836B14">
        <w:rPr>
          <w:rFonts w:cs="Arial"/>
          <w:color w:val="000000" w:themeColor="text1"/>
          <w:lang w:val="en-GB"/>
        </w:rPr>
        <w:t>nmoles</w:t>
      </w:r>
      <w:r w:rsidR="00836B14">
        <w:rPr>
          <w:rFonts w:cs="Arial"/>
          <w:color w:val="000000" w:themeColor="text1"/>
          <w:lang w:val="en-GB"/>
        </w:rPr>
        <w:t>.</w:t>
      </w:r>
      <w:r w:rsidR="00836B14" w:rsidRPr="00836B14">
        <w:rPr>
          <w:rFonts w:cs="Arial"/>
          <w:color w:val="000000" w:themeColor="text1"/>
          <w:lang w:val="en-GB"/>
        </w:rPr>
        <w:t>l</w:t>
      </w:r>
      <w:proofErr w:type="gramEnd"/>
      <w:r w:rsidR="00836B14" w:rsidRPr="00836B14">
        <w:rPr>
          <w:rFonts w:cs="Arial"/>
          <w:color w:val="000000" w:themeColor="text1"/>
          <w:vertAlign w:val="superscript"/>
          <w:lang w:val="en-GB"/>
        </w:rPr>
        <w:t>-1</w:t>
      </w:r>
      <w:r w:rsidR="00836B14" w:rsidRPr="00836B14">
        <w:rPr>
          <w:rFonts w:cs="Arial"/>
          <w:color w:val="000000" w:themeColor="text1"/>
          <w:lang w:val="en-GB"/>
        </w:rPr>
        <w:t>)</w:t>
      </w:r>
      <w:r w:rsidR="00836B14">
        <w:rPr>
          <w:rFonts w:cs="Arial"/>
          <w:color w:val="000000" w:themeColor="text1"/>
          <w:lang w:val="en-GB"/>
        </w:rPr>
        <w:t xml:space="preserve"> </w:t>
      </w:r>
      <w:r w:rsidRPr="0068272C">
        <w:rPr>
          <w:rFonts w:cs="Arial"/>
          <w:lang w:val="en-US"/>
        </w:rPr>
        <w:t>were always detectable</w:t>
      </w:r>
      <w:r w:rsidR="00836B14">
        <w:rPr>
          <w:rFonts w:cs="Arial"/>
          <w:lang w:val="en-US"/>
        </w:rPr>
        <w:t xml:space="preserve"> in surface waters</w:t>
      </w:r>
      <w:r w:rsidRPr="0068272C">
        <w:rPr>
          <w:rFonts w:cs="Arial"/>
          <w:lang w:val="en-US"/>
        </w:rPr>
        <w:t xml:space="preserve">. </w:t>
      </w:r>
    </w:p>
    <w:p w14:paraId="70F8226F" w14:textId="750AEA3B" w:rsidR="0068272C" w:rsidRPr="007A6F0A" w:rsidRDefault="00D4593A" w:rsidP="00586013">
      <w:pPr>
        <w:spacing w:after="0" w:line="240" w:lineRule="auto"/>
        <w:jc w:val="both"/>
        <w:rPr>
          <w:lang w:val="en-US"/>
        </w:rPr>
      </w:pPr>
      <w:r w:rsidRPr="0068272C">
        <w:rPr>
          <w:rFonts w:cs="Arial"/>
          <w:lang w:val="en-US"/>
        </w:rPr>
        <w:t>Ammonium distribution show</w:t>
      </w:r>
      <w:r w:rsidR="00ED419C">
        <w:rPr>
          <w:rFonts w:cs="Arial"/>
          <w:lang w:val="en-US"/>
        </w:rPr>
        <w:t>ed</w:t>
      </w:r>
      <w:r w:rsidRPr="0068272C">
        <w:rPr>
          <w:rFonts w:cs="Arial"/>
          <w:lang w:val="en-US"/>
        </w:rPr>
        <w:t xml:space="preserve"> the same pattern. Even if concentrations were very low (generally </w:t>
      </w:r>
      <w:r w:rsidR="00ED419C">
        <w:rPr>
          <w:rFonts w:cs="Arial"/>
          <w:lang w:val="en-US"/>
        </w:rPr>
        <w:t>&lt;</w:t>
      </w:r>
      <w:r w:rsidRPr="0068272C">
        <w:rPr>
          <w:rFonts w:cs="Arial"/>
          <w:lang w:val="en-US"/>
        </w:rPr>
        <w:t xml:space="preserve"> 30 </w:t>
      </w:r>
      <w:proofErr w:type="gramStart"/>
      <w:r w:rsidRPr="0068272C">
        <w:rPr>
          <w:rFonts w:cs="Arial"/>
          <w:lang w:val="en-US"/>
        </w:rPr>
        <w:t>nmoles</w:t>
      </w:r>
      <w:r w:rsidR="00ED419C" w:rsidRPr="0068272C">
        <w:rPr>
          <w:rFonts w:cs="Arial"/>
          <w:lang w:val="en-US"/>
        </w:rPr>
        <w:t>.l</w:t>
      </w:r>
      <w:proofErr w:type="gramEnd"/>
      <w:r w:rsidR="00ED419C" w:rsidRPr="0068272C">
        <w:rPr>
          <w:rFonts w:cs="Arial"/>
          <w:vertAlign w:val="superscript"/>
          <w:lang w:val="en-US"/>
        </w:rPr>
        <w:t>-1</w:t>
      </w:r>
      <w:r w:rsidRPr="0068272C">
        <w:rPr>
          <w:rFonts w:cs="Arial"/>
          <w:lang w:val="en-US"/>
        </w:rPr>
        <w:t>), this nutrient, like nitrate, was always detected</w:t>
      </w:r>
      <w:r w:rsidR="00ED419C">
        <w:rPr>
          <w:rFonts w:cs="Arial"/>
          <w:lang w:val="en-US"/>
        </w:rPr>
        <w:t xml:space="preserve">, </w:t>
      </w:r>
      <w:r w:rsidR="0068272C" w:rsidRPr="007A6F0A">
        <w:rPr>
          <w:lang w:val="en-US"/>
        </w:rPr>
        <w:t>suggest</w:t>
      </w:r>
      <w:r w:rsidR="00ED419C">
        <w:rPr>
          <w:lang w:val="en-US"/>
        </w:rPr>
        <w:t>ing</w:t>
      </w:r>
      <w:r w:rsidR="0068272C" w:rsidRPr="007A6F0A">
        <w:rPr>
          <w:lang w:val="en-US"/>
        </w:rPr>
        <w:t xml:space="preserve"> that in situ source</w:t>
      </w:r>
      <w:r w:rsidR="00ED419C">
        <w:rPr>
          <w:lang w:val="en-US"/>
        </w:rPr>
        <w:t>s</w:t>
      </w:r>
      <w:r w:rsidR="0068272C" w:rsidRPr="007A6F0A">
        <w:rPr>
          <w:lang w:val="en-US"/>
        </w:rPr>
        <w:t xml:space="preserve"> of nitrate and ammonium exists offshore, certainly due to biological processes.</w:t>
      </w:r>
    </w:p>
    <w:p w14:paraId="1CFE12C1" w14:textId="1683DD77" w:rsidR="00D4593A" w:rsidRPr="0068272C" w:rsidRDefault="00D4593A" w:rsidP="00586013">
      <w:pPr>
        <w:spacing w:after="0" w:line="240" w:lineRule="auto"/>
        <w:jc w:val="both"/>
        <w:rPr>
          <w:rFonts w:cs="Arial"/>
          <w:lang w:val="en-US"/>
        </w:rPr>
      </w:pPr>
      <w:r w:rsidRPr="0068272C">
        <w:rPr>
          <w:rFonts w:cs="Arial"/>
          <w:lang w:val="en-US"/>
        </w:rPr>
        <w:t>Phosphate concentrations show</w:t>
      </w:r>
      <w:r w:rsidR="00ED419C">
        <w:rPr>
          <w:rFonts w:cs="Arial"/>
          <w:lang w:val="en-US"/>
        </w:rPr>
        <w:t>ed</w:t>
      </w:r>
      <w:r w:rsidRPr="0068272C">
        <w:rPr>
          <w:rFonts w:cs="Arial"/>
          <w:lang w:val="en-US"/>
        </w:rPr>
        <w:t xml:space="preserve"> an opposite distribution. Despite nitrogen depletion, surface waters were always phosphate </w:t>
      </w:r>
      <w:proofErr w:type="spellStart"/>
      <w:r w:rsidRPr="0068272C">
        <w:rPr>
          <w:rFonts w:cs="Arial"/>
          <w:lang w:val="en-US"/>
        </w:rPr>
        <w:t>repleted</w:t>
      </w:r>
      <w:proofErr w:type="spellEnd"/>
      <w:r w:rsidRPr="0068272C">
        <w:rPr>
          <w:rFonts w:cs="Arial"/>
          <w:lang w:val="en-US"/>
        </w:rPr>
        <w:t>. Highest concentrations, around 0.5 µ</w:t>
      </w:r>
      <w:proofErr w:type="gramStart"/>
      <w:r w:rsidRPr="0068272C">
        <w:rPr>
          <w:rFonts w:cs="Arial"/>
          <w:lang w:val="en-US"/>
        </w:rPr>
        <w:t>moles.l</w:t>
      </w:r>
      <w:proofErr w:type="gramEnd"/>
      <w:r w:rsidRPr="0068272C">
        <w:rPr>
          <w:rFonts w:cs="Arial"/>
          <w:vertAlign w:val="superscript"/>
          <w:lang w:val="en-US"/>
        </w:rPr>
        <w:t>-1</w:t>
      </w:r>
      <w:r w:rsidRPr="0068272C">
        <w:rPr>
          <w:rFonts w:cs="Arial"/>
          <w:lang w:val="en-US"/>
        </w:rPr>
        <w:t>, were observed far from the Mackenzie mouth</w:t>
      </w:r>
      <w:r w:rsidR="00ED419C">
        <w:rPr>
          <w:rFonts w:cs="Arial"/>
          <w:lang w:val="en-US"/>
        </w:rPr>
        <w:t xml:space="preserve">, revealing a </w:t>
      </w:r>
      <w:r w:rsidRPr="0068272C">
        <w:rPr>
          <w:rFonts w:cs="Arial"/>
          <w:lang w:val="en-US"/>
        </w:rPr>
        <w:t>clear west to east gradient.</w:t>
      </w:r>
    </w:p>
    <w:p w14:paraId="76A41FE8" w14:textId="5E21BF7B" w:rsidR="00D4593A" w:rsidRPr="0068272C" w:rsidRDefault="00D4593A" w:rsidP="00586013">
      <w:pPr>
        <w:spacing w:after="0" w:line="240" w:lineRule="auto"/>
        <w:jc w:val="both"/>
        <w:rPr>
          <w:rFonts w:cs="Arial"/>
          <w:lang w:val="en-US"/>
        </w:rPr>
      </w:pPr>
      <w:r w:rsidRPr="0068272C">
        <w:rPr>
          <w:rFonts w:cs="Arial"/>
          <w:lang w:val="en-US"/>
        </w:rPr>
        <w:t xml:space="preserve">The silicate distribution </w:t>
      </w:r>
      <w:r w:rsidR="00ED419C">
        <w:rPr>
          <w:rFonts w:cs="Arial"/>
          <w:lang w:val="en-US"/>
        </w:rPr>
        <w:t xml:space="preserve">was </w:t>
      </w:r>
      <w:r w:rsidRPr="0068272C">
        <w:rPr>
          <w:rFonts w:cs="Arial"/>
          <w:lang w:val="en-US"/>
        </w:rPr>
        <w:t xml:space="preserve">similar than this of nitrate. But </w:t>
      </w:r>
      <w:r w:rsidR="00ED419C" w:rsidRPr="0068272C">
        <w:rPr>
          <w:rFonts w:cs="Arial"/>
          <w:lang w:val="en-US"/>
        </w:rPr>
        <w:t>Surface waters were always silicate-</w:t>
      </w:r>
      <w:proofErr w:type="spellStart"/>
      <w:r w:rsidR="00ED419C" w:rsidRPr="0068272C">
        <w:rPr>
          <w:rFonts w:cs="Arial"/>
          <w:lang w:val="en-US"/>
        </w:rPr>
        <w:t>repleted</w:t>
      </w:r>
      <w:proofErr w:type="spellEnd"/>
      <w:r w:rsidR="00ED419C" w:rsidRPr="0068272C">
        <w:rPr>
          <w:rFonts w:cs="Arial"/>
          <w:lang w:val="en-US"/>
        </w:rPr>
        <w:t xml:space="preserve"> </w:t>
      </w:r>
      <w:r w:rsidR="00ED419C">
        <w:rPr>
          <w:rFonts w:cs="Arial"/>
          <w:lang w:val="en-US"/>
        </w:rPr>
        <w:t xml:space="preserve">with </w:t>
      </w:r>
      <w:r w:rsidRPr="0068272C">
        <w:rPr>
          <w:rFonts w:cs="Arial"/>
          <w:lang w:val="en-US"/>
        </w:rPr>
        <w:t>concentrations largely above the detection limit</w:t>
      </w:r>
      <w:r w:rsidR="00ED419C">
        <w:rPr>
          <w:rFonts w:cs="Arial"/>
          <w:lang w:val="en-US"/>
        </w:rPr>
        <w:t xml:space="preserve"> (&gt;</w:t>
      </w:r>
      <w:r w:rsidRPr="0068272C">
        <w:rPr>
          <w:rFonts w:cs="Arial"/>
          <w:lang w:val="en-US"/>
        </w:rPr>
        <w:t xml:space="preserve"> 4 µ</w:t>
      </w:r>
      <w:proofErr w:type="gramStart"/>
      <w:r w:rsidRPr="0068272C">
        <w:rPr>
          <w:rFonts w:cs="Arial"/>
          <w:lang w:val="en-US"/>
        </w:rPr>
        <w:t>moles.l</w:t>
      </w:r>
      <w:proofErr w:type="gramEnd"/>
      <w:r w:rsidRPr="0068272C">
        <w:rPr>
          <w:rFonts w:cs="Arial"/>
          <w:vertAlign w:val="superscript"/>
          <w:lang w:val="en-US"/>
        </w:rPr>
        <w:t>-1</w:t>
      </w:r>
      <w:r w:rsidR="00ED419C">
        <w:rPr>
          <w:rFonts w:cs="Arial"/>
          <w:lang w:val="en-US"/>
        </w:rPr>
        <w:t xml:space="preserve">). </w:t>
      </w:r>
    </w:p>
    <w:p w14:paraId="5314D145" w14:textId="74215F39" w:rsidR="0068272C" w:rsidRDefault="00ED419C" w:rsidP="00CA74C1">
      <w:pPr>
        <w:jc w:val="both"/>
        <w:rPr>
          <w:lang w:val="en-US"/>
        </w:rPr>
      </w:pPr>
      <w:r>
        <w:rPr>
          <w:lang w:val="en-US"/>
        </w:rPr>
        <w:t>Impact of the Mackenzie R</w:t>
      </w:r>
      <w:r w:rsidR="0068272C" w:rsidRPr="0068272C">
        <w:rPr>
          <w:lang w:val="en-US"/>
        </w:rPr>
        <w:t>iver is clear, close to the coast for inorganic nutrients and farther offshore for dissolved organic nutrients.</w:t>
      </w:r>
      <w:r w:rsidR="0068272C">
        <w:rPr>
          <w:lang w:val="en-US"/>
        </w:rPr>
        <w:t xml:space="preserve"> </w:t>
      </w:r>
      <w:r w:rsidR="0068272C" w:rsidRPr="003C28BB">
        <w:rPr>
          <w:lang w:val="en-US"/>
        </w:rPr>
        <w:t>A quarter of the estimated annual nutrient supply by the Mackenzie River occurred during July-August. The supply of DON was 8 times larger than that of nitrate-N. By contrast, the amount of DOP supplied was only 2.5 times higher than the amount of phosphate</w:t>
      </w:r>
      <w:r w:rsidR="0068272C">
        <w:rPr>
          <w:lang w:val="en-US"/>
        </w:rPr>
        <w:t xml:space="preserve"> (Tremblay et al., 2014).</w:t>
      </w:r>
      <w:r w:rsidR="0068272C" w:rsidRPr="0068272C">
        <w:rPr>
          <w:lang w:val="en-US"/>
        </w:rPr>
        <w:t xml:space="preserve"> </w:t>
      </w:r>
      <w:r w:rsidR="0068272C" w:rsidRPr="003C28BB">
        <w:rPr>
          <w:lang w:val="en-US"/>
        </w:rPr>
        <w:t xml:space="preserve">The Mackenzie River enriched the western Canadian Beaufort Shelf with inorganic and organic N, potentially supporting most of </w:t>
      </w:r>
      <w:r>
        <w:rPr>
          <w:lang w:val="en-US"/>
        </w:rPr>
        <w:t>primary production</w:t>
      </w:r>
      <w:r w:rsidR="0068272C" w:rsidRPr="003C28BB">
        <w:rPr>
          <w:lang w:val="en-US"/>
        </w:rPr>
        <w:t xml:space="preserve">, but not with phosphate nor ammonium. </w:t>
      </w:r>
      <w:r w:rsidR="00CA74C1" w:rsidRPr="00CA74C1">
        <w:rPr>
          <w:rFonts w:cs="Arial"/>
          <w:lang w:val="en-US"/>
        </w:rPr>
        <w:t xml:space="preserve">Large deliveries of N relative to P by rivers relax coastal communities from N limitation, allowing them to tap into the excess P originating from the Pacific Ocean. </w:t>
      </w:r>
      <w:r w:rsidR="0068272C" w:rsidRPr="00CA74C1">
        <w:rPr>
          <w:lang w:val="en-US"/>
        </w:rPr>
        <w:t>Then,</w:t>
      </w:r>
      <w:r w:rsidR="0068272C">
        <w:rPr>
          <w:lang w:val="en-US"/>
        </w:rPr>
        <w:t xml:space="preserve"> r</w:t>
      </w:r>
      <w:r w:rsidR="0068272C" w:rsidRPr="003C28BB">
        <w:rPr>
          <w:lang w:val="en-US"/>
        </w:rPr>
        <w:t>iver input</w:t>
      </w:r>
      <w:r w:rsidR="0068272C">
        <w:rPr>
          <w:lang w:val="en-US"/>
        </w:rPr>
        <w:t>s</w:t>
      </w:r>
      <w:r w:rsidR="0068272C" w:rsidRPr="003C28BB">
        <w:rPr>
          <w:lang w:val="en-US"/>
        </w:rPr>
        <w:t xml:space="preserve"> locally rectified the strong regional deficit o</w:t>
      </w:r>
      <w:r w:rsidR="00CA74C1">
        <w:rPr>
          <w:lang w:val="en-US"/>
        </w:rPr>
        <w:t>f inorganic N, i.e. negative N* (Tremblay et al., 2014)</w:t>
      </w:r>
      <w:r w:rsidR="0068272C" w:rsidRPr="003C28BB">
        <w:rPr>
          <w:lang w:val="en-US"/>
        </w:rPr>
        <w:t>.</w:t>
      </w:r>
    </w:p>
    <w:p w14:paraId="43224F1B" w14:textId="77777777" w:rsidR="00FE47AF" w:rsidRDefault="00FE47AF" w:rsidP="00FE47AF">
      <w:pPr>
        <w:pStyle w:val="NormalWeb"/>
        <w:spacing w:before="200" w:beforeAutospacing="0" w:after="200" w:afterAutospacing="0"/>
        <w:jc w:val="both"/>
      </w:pPr>
      <w:r>
        <w:rPr>
          <w:rFonts w:ascii="Arial" w:hAnsi="Arial" w:cs="Arial"/>
          <w:b/>
          <w:bCs/>
          <w:i/>
          <w:iCs/>
          <w:color w:val="000000"/>
        </w:rPr>
        <w:t xml:space="preserve">4.7.1 </w:t>
      </w:r>
      <w:proofErr w:type="spellStart"/>
      <w:r>
        <w:rPr>
          <w:rFonts w:ascii="Arial" w:hAnsi="Arial" w:cs="Arial"/>
          <w:b/>
          <w:bCs/>
          <w:i/>
          <w:iCs/>
          <w:color w:val="000000"/>
        </w:rPr>
        <w:t>Phytoplankton</w:t>
      </w:r>
      <w:proofErr w:type="spellEnd"/>
      <w:r>
        <w:rPr>
          <w:rFonts w:ascii="Arial" w:hAnsi="Arial" w:cs="Arial"/>
          <w:b/>
          <w:bCs/>
          <w:i/>
          <w:iCs/>
          <w:color w:val="000000"/>
        </w:rPr>
        <w:t xml:space="preserve"> </w:t>
      </w:r>
      <w:proofErr w:type="spellStart"/>
      <w:r>
        <w:rPr>
          <w:rFonts w:ascii="Arial" w:hAnsi="Arial" w:cs="Arial"/>
          <w:b/>
          <w:bCs/>
          <w:i/>
          <w:iCs/>
          <w:color w:val="000000"/>
        </w:rPr>
        <w:t>primary</w:t>
      </w:r>
      <w:proofErr w:type="spellEnd"/>
      <w:r>
        <w:rPr>
          <w:rFonts w:ascii="Arial" w:hAnsi="Arial" w:cs="Arial"/>
          <w:b/>
          <w:bCs/>
          <w:i/>
          <w:iCs/>
          <w:color w:val="000000"/>
        </w:rPr>
        <w:t xml:space="preserve"> production (Fig. 10)</w:t>
      </w:r>
    </w:p>
    <w:p w14:paraId="16418638" w14:textId="774C3898" w:rsidR="00FE47AF" w:rsidRDefault="00FE47AF" w:rsidP="00FE47AF">
      <w:pPr>
        <w:pStyle w:val="NormalWeb"/>
        <w:numPr>
          <w:ilvl w:val="0"/>
          <w:numId w:val="2"/>
        </w:numPr>
        <w:spacing w:before="200" w:beforeAutospacing="0" w:after="200" w:afterAutospacing="0"/>
        <w:jc w:val="both"/>
        <w:textAlignment w:val="baseline"/>
        <w:rPr>
          <w:rFonts w:ascii="Arial" w:hAnsi="Arial" w:cs="Arial"/>
          <w:color w:val="000000"/>
        </w:rPr>
      </w:pPr>
      <w:r>
        <w:rPr>
          <w:rFonts w:ascii="Arial" w:hAnsi="Arial" w:cs="Arial"/>
          <w:color w:val="000000"/>
        </w:rPr>
        <w:t>Patrick R</w:t>
      </w:r>
      <w:r w:rsidR="008D5D88">
        <w:rPr>
          <w:rFonts w:ascii="Arial" w:hAnsi="Arial" w:cs="Arial"/>
          <w:color w:val="000000"/>
        </w:rPr>
        <w:t>a</w:t>
      </w:r>
      <w:r>
        <w:rPr>
          <w:rFonts w:ascii="Arial" w:hAnsi="Arial" w:cs="Arial"/>
          <w:color w:val="000000"/>
        </w:rPr>
        <w:t>imbault</w:t>
      </w:r>
    </w:p>
    <w:p w14:paraId="414BB4AE" w14:textId="3B87A4E4" w:rsidR="0068272C" w:rsidRDefault="0068272C" w:rsidP="0068272C">
      <w:pPr>
        <w:jc w:val="both"/>
        <w:rPr>
          <w:lang w:val="en-US"/>
        </w:rPr>
      </w:pPr>
    </w:p>
    <w:p w14:paraId="1785AB73" w14:textId="77777777" w:rsidR="00A0304C" w:rsidRDefault="00A0304C">
      <w:r w:rsidRPr="00A0304C">
        <w:rPr>
          <w:noProof/>
          <w:lang w:eastAsia="fr-FR"/>
        </w:rPr>
        <w:drawing>
          <wp:inline distT="0" distB="0" distL="0" distR="0" wp14:anchorId="29C02AC0" wp14:editId="4C34C065">
            <wp:extent cx="5417820" cy="26593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2659380"/>
                    </a:xfrm>
                    <a:prstGeom prst="rect">
                      <a:avLst/>
                    </a:prstGeom>
                    <a:noFill/>
                    <a:ln>
                      <a:noFill/>
                    </a:ln>
                  </pic:spPr>
                </pic:pic>
              </a:graphicData>
            </a:graphic>
          </wp:inline>
        </w:drawing>
      </w:r>
    </w:p>
    <w:p w14:paraId="627CAD66" w14:textId="02104C92" w:rsidR="000C0C63" w:rsidRPr="00FE47AF" w:rsidRDefault="000C0C63" w:rsidP="007A6F0A">
      <w:pPr>
        <w:rPr>
          <w:rFonts w:cstheme="minorHAnsi"/>
          <w:lang w:val="en-US"/>
        </w:rPr>
      </w:pPr>
      <w:r w:rsidRPr="00FE47AF">
        <w:rPr>
          <w:rFonts w:cstheme="minorHAnsi"/>
          <w:lang w:val="en-US"/>
        </w:rPr>
        <w:t xml:space="preserve">At each productivity station, rates of carbon fixation (primary production) were determined using a </w:t>
      </w:r>
      <w:smartTag w:uri="urn:schemas-microsoft-com:office:smarttags" w:element="metricconverter">
        <w:smartTagPr>
          <w:attr w:name="ProductID" w:val="13C"/>
        </w:smartTagPr>
        <w:r w:rsidRPr="00FE47AF">
          <w:rPr>
            <w:rFonts w:cstheme="minorHAnsi"/>
            <w:vertAlign w:val="superscript"/>
            <w:lang w:val="en-GB"/>
          </w:rPr>
          <w:t>13</w:t>
        </w:r>
        <w:r w:rsidRPr="00FE47AF">
          <w:rPr>
            <w:rFonts w:cstheme="minorHAnsi"/>
            <w:lang w:val="en-GB"/>
          </w:rPr>
          <w:t>C</w:t>
        </w:r>
      </w:smartTag>
      <w:r w:rsidRPr="00FE47AF">
        <w:rPr>
          <w:rFonts w:cstheme="minorHAnsi"/>
          <w:lang w:val="en-GB"/>
        </w:rPr>
        <w:t xml:space="preserve"> </w:t>
      </w:r>
      <w:r w:rsidRPr="00FE47AF">
        <w:rPr>
          <w:rFonts w:cstheme="minorHAnsi"/>
          <w:lang w:val="en-US"/>
        </w:rPr>
        <w:t xml:space="preserve">isotopic technique </w:t>
      </w:r>
      <w:r w:rsidRPr="00FE47AF">
        <w:rPr>
          <w:rFonts w:cstheme="minorHAnsi"/>
          <w:lang w:val="en-US"/>
        </w:rPr>
        <w:fldChar w:fldCharType="begin"/>
      </w:r>
      <w:r w:rsidRPr="00FE47AF">
        <w:rPr>
          <w:rFonts w:cstheme="minorHAnsi"/>
          <w:lang w:val="en-US"/>
        </w:rPr>
        <w:instrText xml:space="preserve"> ADDIN EN.CITE &lt;EndNote&gt;&lt;Cite&gt;&lt;Author&gt;Raimbault&lt;/Author&gt;&lt;Year&gt;2008&lt;/Year&gt;&lt;RecNum&gt;85&lt;/RecNum&gt;&lt;record&gt;&lt;rec-number&gt;85&lt;/rec-number&gt;&lt;ref-type name="Journal Article"&gt;17&lt;/ref-type&gt;&lt;contributors&gt;&lt;authors&gt;&lt;author&gt;Raimbault, P.&lt;/author&gt;&lt;author&gt;Garcia, N.&lt;/author&gt;&lt;/authors&gt;&lt;/contributors&gt;&lt;titles&gt;&lt;title&gt;Evidence for efficient regenerated production and dinitrogen fixation in nitrogen-depleted waters of the South Pacific Ocean: Impact on new and export production estimates&lt;/title&gt;&lt;secondary-title&gt;Biogeosciences&lt;/secondary-title&gt;&lt;/titles&gt;&lt;periodical&gt;&lt;full-title&gt;Biogeosciences&lt;/full-title&gt;&lt;/periodical&gt;&lt;pages&gt;323-338&lt;/pages&gt;&lt;volume&gt;5&lt;/volume&gt;&lt;dates&gt;&lt;year&gt;2008&lt;/year&gt;&lt;/dates&gt;&lt;urls&gt;&lt;/urls&gt;&lt;/record&gt;&lt;/Cite&gt;&lt;/EndNote&gt;</w:instrText>
      </w:r>
      <w:r w:rsidRPr="00FE47AF">
        <w:rPr>
          <w:rFonts w:cstheme="minorHAnsi"/>
          <w:lang w:val="en-US"/>
        </w:rPr>
        <w:fldChar w:fldCharType="separate"/>
      </w:r>
      <w:r w:rsidRPr="00FE47AF">
        <w:rPr>
          <w:rFonts w:cstheme="minorHAnsi"/>
          <w:lang w:val="en-US"/>
        </w:rPr>
        <w:t>(Raimbault and Garcia, 2008)</w:t>
      </w:r>
      <w:r w:rsidRPr="00FE47AF">
        <w:rPr>
          <w:rFonts w:cstheme="minorHAnsi"/>
          <w:lang w:val="en-US"/>
        </w:rPr>
        <w:fldChar w:fldCharType="end"/>
      </w:r>
      <w:r w:rsidRPr="00FE47AF">
        <w:rPr>
          <w:rFonts w:cstheme="minorHAnsi"/>
          <w:lang w:val="en-GB"/>
        </w:rPr>
        <w:t>. For this purpose,</w:t>
      </w:r>
      <w:r w:rsidRPr="00FE47AF">
        <w:rPr>
          <w:rFonts w:cstheme="minorHAnsi"/>
          <w:color w:val="FF0000"/>
          <w:lang w:val="en-GB"/>
        </w:rPr>
        <w:t xml:space="preserve"> </w:t>
      </w:r>
      <w:r w:rsidRPr="00FE47AF">
        <w:rPr>
          <w:rFonts w:cstheme="minorHAnsi"/>
          <w:lang w:val="en-US"/>
        </w:rPr>
        <w:t xml:space="preserve">three 580-mL samples were collected at minimum sun elevation or before sunrise at 6-7 depths between the surface and the </w:t>
      </w:r>
      <w:r w:rsidRPr="00FE47AF">
        <w:rPr>
          <w:rFonts w:cstheme="minorHAnsi"/>
          <w:lang w:val="en-US"/>
        </w:rPr>
        <w:lastRenderedPageBreak/>
        <w:t>depth where irradiance was 0.3% of the surface value, and poured into acid-cleaned polycarbonate flasks.</w:t>
      </w:r>
    </w:p>
    <w:p w14:paraId="7CF281AB" w14:textId="20C8A853" w:rsidR="00583806" w:rsidRPr="00FE47AF" w:rsidRDefault="000C0C63" w:rsidP="00891886">
      <w:pPr>
        <w:spacing w:line="280" w:lineRule="exact"/>
        <w:jc w:val="both"/>
        <w:rPr>
          <w:rFonts w:cstheme="minorHAnsi"/>
          <w:lang w:val="en-US"/>
        </w:rPr>
      </w:pPr>
      <w:r w:rsidRPr="00FE47AF">
        <w:rPr>
          <w:rFonts w:cstheme="minorHAnsi"/>
          <w:lang w:val="en-GB"/>
        </w:rPr>
        <w:t>Incubations were carried out immediately following tracer addition in an on-deck incubator. This consisted of 6-7 opaque boxes</w:t>
      </w:r>
      <w:r w:rsidR="00CA74C1" w:rsidRPr="00FE47AF">
        <w:rPr>
          <w:rFonts w:cstheme="minorHAnsi"/>
          <w:lang w:val="en-GB"/>
        </w:rPr>
        <w:t>,</w:t>
      </w:r>
      <w:r w:rsidRPr="00FE47AF">
        <w:rPr>
          <w:rFonts w:cstheme="minorHAnsi"/>
          <w:lang w:val="en-GB"/>
        </w:rPr>
        <w:t xml:space="preserve"> each </w:t>
      </w:r>
      <w:r w:rsidRPr="00FE47AF">
        <w:rPr>
          <w:rFonts w:cstheme="minorHAnsi"/>
          <w:color w:val="000000" w:themeColor="text1"/>
          <w:lang w:val="en-GB"/>
        </w:rPr>
        <w:t>with associated neutral and blue screens</w:t>
      </w:r>
      <w:r w:rsidRPr="00FE47AF">
        <w:rPr>
          <w:rFonts w:cstheme="minorHAnsi"/>
          <w:lang w:val="en-GB"/>
        </w:rPr>
        <w:t xml:space="preserve">, allowing around 50%, 25%, 15%, 8%, 4%, 1% and 0.3% light penetration. At 5 stations, incubations were also performed </w:t>
      </w:r>
      <w:r w:rsidRPr="00FE47AF">
        <w:rPr>
          <w:rFonts w:cstheme="minorHAnsi"/>
          <w:i/>
          <w:lang w:val="en-GB"/>
        </w:rPr>
        <w:t>in situ</w:t>
      </w:r>
      <w:r w:rsidRPr="00FE47AF">
        <w:rPr>
          <w:rFonts w:cstheme="minorHAnsi"/>
          <w:lang w:val="en-GB"/>
        </w:rPr>
        <w:t xml:space="preserve"> on a drifting rig with incubation bottled positioned at the same depth where samples for on-deck incubations were collected. After 24 hours samples were filtered through </w:t>
      </w:r>
      <w:proofErr w:type="spellStart"/>
      <w:r w:rsidRPr="00FE47AF">
        <w:rPr>
          <w:rFonts w:cstheme="minorHAnsi"/>
          <w:lang w:val="en-GB"/>
        </w:rPr>
        <w:t>precombusted</w:t>
      </w:r>
      <w:proofErr w:type="spellEnd"/>
      <w:r w:rsidRPr="00FE47AF">
        <w:rPr>
          <w:rFonts w:cstheme="minorHAnsi"/>
          <w:lang w:val="en-GB"/>
        </w:rPr>
        <w:t xml:space="preserve"> (</w:t>
      </w:r>
      <w:smartTag w:uri="urn:schemas-microsoft-com:office:smarttags" w:element="metricconverter">
        <w:smartTagPr>
          <w:attr w:name="ProductID" w:val="450ﾰC"/>
        </w:smartTagPr>
        <w:r w:rsidRPr="00FE47AF">
          <w:rPr>
            <w:rFonts w:cstheme="minorHAnsi"/>
            <w:lang w:val="en-GB"/>
          </w:rPr>
          <w:t>450°C</w:t>
        </w:r>
      </w:smartTag>
      <w:r w:rsidRPr="00FE47AF">
        <w:rPr>
          <w:rFonts w:cstheme="minorHAnsi"/>
          <w:lang w:val="en-GB"/>
        </w:rPr>
        <w:t xml:space="preserve">) Whatman GF/F filters (25-mm diameter). After filtration, filters were placed into 2-mL glass tubes, dried for 24h in a </w:t>
      </w:r>
      <w:smartTag w:uri="urn:schemas-microsoft-com:office:smarttags" w:element="metricconverter">
        <w:smartTagPr>
          <w:attr w:name="ProductID" w:val="60ﾰC"/>
        </w:smartTagPr>
        <w:r w:rsidRPr="00FE47AF">
          <w:rPr>
            <w:rFonts w:cstheme="minorHAnsi"/>
            <w:lang w:val="en-GB"/>
          </w:rPr>
          <w:t>60°C</w:t>
        </w:r>
      </w:smartTag>
      <w:r w:rsidRPr="00FE47AF">
        <w:rPr>
          <w:rFonts w:cstheme="minorHAnsi"/>
          <w:lang w:val="en-GB"/>
        </w:rPr>
        <w:t xml:space="preserve"> oven and stored dry until laboratory analysis. These filters were used to determine the final </w:t>
      </w:r>
      <w:smartTag w:uri="urn:schemas-microsoft-com:office:smarttags" w:element="metricconverter">
        <w:smartTagPr>
          <w:attr w:name="ProductID" w:val="13C"/>
        </w:smartTagPr>
        <w:r w:rsidRPr="00FE47AF">
          <w:rPr>
            <w:rFonts w:cstheme="minorHAnsi"/>
            <w:vertAlign w:val="superscript"/>
            <w:lang w:val="en-GB"/>
          </w:rPr>
          <w:t>13</w:t>
        </w:r>
        <w:r w:rsidRPr="00FE47AF">
          <w:rPr>
            <w:rFonts w:cstheme="minorHAnsi"/>
            <w:lang w:val="en-GB"/>
          </w:rPr>
          <w:t>C</w:t>
        </w:r>
      </w:smartTag>
      <w:r w:rsidRPr="00FE47AF">
        <w:rPr>
          <w:rFonts w:cstheme="minorHAnsi"/>
          <w:lang w:val="en-GB"/>
        </w:rPr>
        <w:t xml:space="preserve"> enrichment ratio in the particulate organic matter on an Integra-CN mass spectrometer. </w:t>
      </w:r>
      <w:r w:rsidRPr="00FE47AF">
        <w:rPr>
          <w:rFonts w:cstheme="minorHAnsi"/>
          <w:lang w:val="en-US"/>
        </w:rPr>
        <w:t>Filtrates were poisoned with HgCl2 and stored to estimate ammonium regeneration and nitrification rates.</w:t>
      </w:r>
      <w:r w:rsidR="00583806" w:rsidRPr="00FE47AF">
        <w:rPr>
          <w:rFonts w:cstheme="minorHAnsi"/>
          <w:lang w:val="en-US"/>
        </w:rPr>
        <w:t xml:space="preserve"> The isotopic enrichment of particulate organic matter and dissolved NH</w:t>
      </w:r>
      <w:r w:rsidR="00583806" w:rsidRPr="00FE47AF">
        <w:rPr>
          <w:rFonts w:cstheme="minorHAnsi"/>
          <w:vertAlign w:val="subscript"/>
          <w:lang w:val="en-US"/>
        </w:rPr>
        <w:t>4</w:t>
      </w:r>
      <w:r w:rsidR="00583806" w:rsidRPr="00FE47AF">
        <w:rPr>
          <w:rFonts w:cstheme="minorHAnsi"/>
          <w:position w:val="2"/>
          <w:vertAlign w:val="superscript"/>
          <w:lang w:val="en-US"/>
        </w:rPr>
        <w:t>+</w:t>
      </w:r>
      <w:r w:rsidR="00583806" w:rsidRPr="00FE47AF">
        <w:rPr>
          <w:rFonts w:cstheme="minorHAnsi"/>
          <w:lang w:val="en-US"/>
        </w:rPr>
        <w:t xml:space="preserve"> and NO</w:t>
      </w:r>
      <w:r w:rsidR="00583806" w:rsidRPr="00FE47AF">
        <w:rPr>
          <w:rFonts w:cstheme="minorHAnsi"/>
          <w:vertAlign w:val="subscript"/>
          <w:lang w:val="en-US"/>
        </w:rPr>
        <w:t>3</w:t>
      </w:r>
      <w:r w:rsidR="00583806" w:rsidRPr="00FE47AF">
        <w:rPr>
          <w:rFonts w:cstheme="minorHAnsi"/>
          <w:position w:val="8"/>
          <w:lang w:val="en-US"/>
        </w:rPr>
        <w:t>-</w:t>
      </w:r>
      <w:r w:rsidR="00583806" w:rsidRPr="00FE47AF">
        <w:rPr>
          <w:rFonts w:cstheme="minorHAnsi"/>
          <w:lang w:val="en-US"/>
        </w:rPr>
        <w:t xml:space="preserve"> at the end of incubations was used to calculate net C and N uptake and the recycling of NH</w:t>
      </w:r>
      <w:r w:rsidR="00583806" w:rsidRPr="00FE47AF">
        <w:rPr>
          <w:rFonts w:cstheme="minorHAnsi"/>
          <w:vertAlign w:val="subscript"/>
          <w:lang w:val="en-US"/>
        </w:rPr>
        <w:t>4</w:t>
      </w:r>
      <w:r w:rsidR="00583806" w:rsidRPr="00FE47AF">
        <w:rPr>
          <w:rFonts w:cstheme="minorHAnsi"/>
          <w:position w:val="2"/>
          <w:vertAlign w:val="superscript"/>
          <w:lang w:val="en-US"/>
        </w:rPr>
        <w:t>+</w:t>
      </w:r>
      <w:r w:rsidR="00583806" w:rsidRPr="00FE47AF">
        <w:rPr>
          <w:rFonts w:cstheme="minorHAnsi"/>
          <w:lang w:val="en-US"/>
        </w:rPr>
        <w:t xml:space="preserve"> and NO</w:t>
      </w:r>
      <w:r w:rsidR="00583806" w:rsidRPr="00FE47AF">
        <w:rPr>
          <w:rFonts w:cstheme="minorHAnsi"/>
          <w:vertAlign w:val="subscript"/>
          <w:lang w:val="en-US"/>
        </w:rPr>
        <w:t>3</w:t>
      </w:r>
      <w:r w:rsidR="00583806" w:rsidRPr="00FE47AF">
        <w:rPr>
          <w:rFonts w:cstheme="minorHAnsi"/>
          <w:position w:val="8"/>
          <w:lang w:val="en-US"/>
        </w:rPr>
        <w:t xml:space="preserve">- </w:t>
      </w:r>
      <w:r w:rsidR="00583806" w:rsidRPr="00FE47AF">
        <w:rPr>
          <w:rFonts w:cstheme="minorHAnsi"/>
          <w:lang w:val="en-US"/>
        </w:rPr>
        <w:t xml:space="preserve">(Raimbault et al., 2004). </w:t>
      </w:r>
    </w:p>
    <w:p w14:paraId="4DB25816" w14:textId="3BBEC65E" w:rsidR="00CA74C1" w:rsidRPr="00FE47AF" w:rsidRDefault="00583806" w:rsidP="00891886">
      <w:pPr>
        <w:jc w:val="both"/>
        <w:rPr>
          <w:rFonts w:cstheme="minorHAnsi"/>
          <w:lang w:val="en-US"/>
        </w:rPr>
      </w:pPr>
      <w:r w:rsidRPr="00FE47AF">
        <w:rPr>
          <w:rFonts w:cstheme="minorHAnsi"/>
          <w:color w:val="000000" w:themeColor="text1"/>
          <w:lang w:val="en-GB"/>
        </w:rPr>
        <w:t>Daily rates of primary production at the surface where generally very low across the survey area, ranging from 0.1 µg C l</w:t>
      </w:r>
      <w:r w:rsidRPr="00FE47AF">
        <w:rPr>
          <w:rFonts w:cstheme="minorHAnsi"/>
          <w:color w:val="000000" w:themeColor="text1"/>
          <w:vertAlign w:val="superscript"/>
          <w:lang w:val="en-GB"/>
        </w:rPr>
        <w:t>-1</w:t>
      </w:r>
      <w:r w:rsidRPr="00FE47AF">
        <w:rPr>
          <w:rFonts w:cstheme="minorHAnsi"/>
          <w:color w:val="000000" w:themeColor="text1"/>
          <w:lang w:val="en-GB"/>
        </w:rPr>
        <w:t xml:space="preserve"> d</w:t>
      </w:r>
      <w:r w:rsidRPr="00FE47AF">
        <w:rPr>
          <w:rFonts w:cstheme="minorHAnsi"/>
          <w:color w:val="000000" w:themeColor="text1"/>
          <w:vertAlign w:val="superscript"/>
          <w:lang w:val="en-GB"/>
        </w:rPr>
        <w:t>-1</w:t>
      </w:r>
      <w:r w:rsidRPr="00FE47AF">
        <w:rPr>
          <w:rFonts w:cstheme="minorHAnsi"/>
          <w:color w:val="000000" w:themeColor="text1"/>
          <w:lang w:val="en-GB"/>
        </w:rPr>
        <w:t xml:space="preserve"> offshore to a maximum 545 µg C l</w:t>
      </w:r>
      <w:r w:rsidRPr="00FE47AF">
        <w:rPr>
          <w:rFonts w:cstheme="minorHAnsi"/>
          <w:color w:val="000000" w:themeColor="text1"/>
          <w:vertAlign w:val="superscript"/>
          <w:lang w:val="en-GB"/>
        </w:rPr>
        <w:t>-1</w:t>
      </w:r>
      <w:r w:rsidRPr="00FE47AF">
        <w:rPr>
          <w:rFonts w:cstheme="minorHAnsi"/>
          <w:color w:val="000000" w:themeColor="text1"/>
          <w:lang w:val="en-GB"/>
        </w:rPr>
        <w:t xml:space="preserve"> d</w:t>
      </w:r>
      <w:r w:rsidRPr="00FE47AF">
        <w:rPr>
          <w:rFonts w:cstheme="minorHAnsi"/>
          <w:color w:val="000000" w:themeColor="text1"/>
          <w:vertAlign w:val="superscript"/>
          <w:lang w:val="en-GB"/>
        </w:rPr>
        <w:t xml:space="preserve">-1 </w:t>
      </w:r>
      <w:r w:rsidRPr="00FE47AF">
        <w:rPr>
          <w:rFonts w:cstheme="minorHAnsi"/>
          <w:color w:val="000000" w:themeColor="text1"/>
          <w:lang w:val="en-GB"/>
        </w:rPr>
        <w:t xml:space="preserve">in </w:t>
      </w:r>
      <w:proofErr w:type="spellStart"/>
      <w:r w:rsidRPr="00FE47AF">
        <w:rPr>
          <w:rFonts w:cstheme="minorHAnsi"/>
          <w:color w:val="000000" w:themeColor="text1"/>
          <w:lang w:val="en-GB"/>
        </w:rPr>
        <w:t>Kugmallit</w:t>
      </w:r>
      <w:proofErr w:type="spellEnd"/>
      <w:r w:rsidRPr="00FE47AF">
        <w:rPr>
          <w:rFonts w:cstheme="minorHAnsi"/>
          <w:color w:val="000000" w:themeColor="text1"/>
          <w:lang w:val="en-GB"/>
        </w:rPr>
        <w:t xml:space="preserve"> Bay </w:t>
      </w:r>
      <w:r w:rsidRPr="00FE47AF">
        <w:rPr>
          <w:rFonts w:cstheme="minorHAnsi"/>
          <w:lang w:val="en-US"/>
        </w:rPr>
        <w:t>associated with the Mackenzie River discharge</w:t>
      </w:r>
      <w:r w:rsidR="00F57206">
        <w:rPr>
          <w:rFonts w:cstheme="minorHAnsi"/>
          <w:lang w:val="en-US"/>
        </w:rPr>
        <w:t xml:space="preserve"> (Tremblay </w:t>
      </w:r>
      <w:proofErr w:type="spellStart"/>
      <w:r w:rsidR="00F57206">
        <w:rPr>
          <w:rFonts w:cstheme="minorHAnsi"/>
          <w:lang w:val="en-US"/>
        </w:rPr>
        <w:t>etal</w:t>
      </w:r>
      <w:proofErr w:type="spellEnd"/>
      <w:r w:rsidR="00F57206">
        <w:rPr>
          <w:rFonts w:cstheme="minorHAnsi"/>
          <w:lang w:val="en-US"/>
        </w:rPr>
        <w:t>., 2014)</w:t>
      </w:r>
      <w:r w:rsidRPr="00FE47AF">
        <w:rPr>
          <w:rFonts w:cstheme="minorHAnsi"/>
          <w:lang w:val="en-US"/>
        </w:rPr>
        <w:t xml:space="preserve">. </w:t>
      </w:r>
      <w:r w:rsidR="00CA74C1" w:rsidRPr="00FE47AF">
        <w:rPr>
          <w:rFonts w:cstheme="minorHAnsi"/>
          <w:lang w:val="en-US"/>
        </w:rPr>
        <w:t xml:space="preserve"> Ammonification and nitrification followed the same coastal-offshore pattern with rates driving most, if not all, of the NH4+ and NO3- consumption in the surface layer.</w:t>
      </w:r>
    </w:p>
    <w:p w14:paraId="66D4F11E" w14:textId="2C306372" w:rsidR="005730F1" w:rsidRPr="009F6057" w:rsidRDefault="00276B16" w:rsidP="00E74349">
      <w:pPr>
        <w:autoSpaceDE w:val="0"/>
        <w:autoSpaceDN w:val="0"/>
        <w:adjustRightInd w:val="0"/>
        <w:spacing w:after="0" w:line="240" w:lineRule="auto"/>
        <w:jc w:val="both"/>
        <w:rPr>
          <w:rFonts w:cstheme="minorHAnsi"/>
          <w:color w:val="231F20"/>
        </w:rPr>
      </w:pPr>
      <w:r w:rsidRPr="00FE47AF">
        <w:rPr>
          <w:rFonts w:cstheme="minorHAnsi"/>
          <w:lang w:val="en-US"/>
        </w:rPr>
        <w:t xml:space="preserve">Primary production was generally maximum at surface but high rates were often observed at depth in the nitracline layer associated with a chlorophyll maximum. </w:t>
      </w:r>
      <w:r w:rsidR="005730F1" w:rsidRPr="009F6057">
        <w:rPr>
          <w:rFonts w:cstheme="minorHAnsi"/>
          <w:color w:val="231F20"/>
        </w:rPr>
        <w:t xml:space="preserve">The range of </w:t>
      </w:r>
      <w:proofErr w:type="spellStart"/>
      <w:r w:rsidR="005730F1" w:rsidRPr="009F6057">
        <w:rPr>
          <w:rFonts w:cstheme="minorHAnsi"/>
          <w:color w:val="231F20"/>
        </w:rPr>
        <w:t>uptake</w:t>
      </w:r>
      <w:proofErr w:type="spellEnd"/>
      <w:r w:rsidR="005730F1" w:rsidRPr="009F6057">
        <w:rPr>
          <w:rFonts w:cstheme="minorHAnsi"/>
          <w:color w:val="231F20"/>
        </w:rPr>
        <w:t xml:space="preserve"> rates of ammonium </w:t>
      </w:r>
      <w:r w:rsidR="005730F1">
        <w:rPr>
          <w:rFonts w:cstheme="minorHAnsi"/>
          <w:color w:val="231F20"/>
        </w:rPr>
        <w:t xml:space="preserve">in surface </w:t>
      </w:r>
      <w:proofErr w:type="spellStart"/>
      <w:r w:rsidR="005730F1">
        <w:rPr>
          <w:rFonts w:cstheme="minorHAnsi"/>
          <w:color w:val="231F20"/>
        </w:rPr>
        <w:t>generally</w:t>
      </w:r>
      <w:proofErr w:type="spellEnd"/>
      <w:r w:rsidR="005730F1" w:rsidRPr="009F6057">
        <w:rPr>
          <w:rFonts w:cstheme="minorHAnsi"/>
          <w:color w:val="231F20"/>
        </w:rPr>
        <w:t xml:space="preserve"> </w:t>
      </w:r>
      <w:proofErr w:type="spellStart"/>
      <w:r w:rsidR="005730F1" w:rsidRPr="009F6057">
        <w:rPr>
          <w:rFonts w:cstheme="minorHAnsi"/>
          <w:color w:val="231F20"/>
        </w:rPr>
        <w:t>overlapped</w:t>
      </w:r>
      <w:proofErr w:type="spellEnd"/>
      <w:r w:rsidR="005730F1" w:rsidRPr="009F6057">
        <w:rPr>
          <w:rFonts w:cstheme="minorHAnsi"/>
          <w:color w:val="231F20"/>
        </w:rPr>
        <w:t xml:space="preserve"> </w:t>
      </w:r>
      <w:proofErr w:type="spellStart"/>
      <w:r w:rsidR="005730F1" w:rsidRPr="009F6057">
        <w:rPr>
          <w:rFonts w:cstheme="minorHAnsi"/>
          <w:color w:val="231F20"/>
        </w:rPr>
        <w:t>with</w:t>
      </w:r>
      <w:proofErr w:type="spellEnd"/>
      <w:r w:rsidR="005730F1" w:rsidRPr="009F6057">
        <w:rPr>
          <w:rFonts w:cstheme="minorHAnsi"/>
          <w:color w:val="231F20"/>
        </w:rPr>
        <w:t xml:space="preserve"> the range of nitrate </w:t>
      </w:r>
      <w:proofErr w:type="spellStart"/>
      <w:r w:rsidR="005730F1" w:rsidRPr="009F6057">
        <w:rPr>
          <w:rFonts w:cstheme="minorHAnsi"/>
          <w:color w:val="231F20"/>
        </w:rPr>
        <w:t>uptake</w:t>
      </w:r>
      <w:proofErr w:type="spellEnd"/>
      <w:r w:rsidR="005730F1" w:rsidRPr="009F6057">
        <w:rPr>
          <w:rFonts w:cstheme="minorHAnsi"/>
          <w:color w:val="231F20"/>
        </w:rPr>
        <w:t xml:space="preserve"> rates. </w:t>
      </w:r>
      <w:r w:rsidR="00E74349">
        <w:rPr>
          <w:rFonts w:cstheme="minorHAnsi"/>
          <w:color w:val="231F20"/>
        </w:rPr>
        <w:t>N</w:t>
      </w:r>
      <w:r w:rsidR="005730F1" w:rsidRPr="009F6057">
        <w:rPr>
          <w:rFonts w:cstheme="minorHAnsi"/>
          <w:color w:val="231F20"/>
        </w:rPr>
        <w:t xml:space="preserve">itrate </w:t>
      </w:r>
      <w:proofErr w:type="spellStart"/>
      <w:r w:rsidR="005730F1" w:rsidRPr="009F6057">
        <w:rPr>
          <w:rFonts w:cstheme="minorHAnsi"/>
          <w:color w:val="231F20"/>
        </w:rPr>
        <w:t>uptake</w:t>
      </w:r>
      <w:proofErr w:type="spellEnd"/>
      <w:r w:rsidR="005730F1" w:rsidRPr="009F6057">
        <w:rPr>
          <w:rFonts w:cstheme="minorHAnsi"/>
          <w:color w:val="231F20"/>
        </w:rPr>
        <w:t xml:space="preserve"> </w:t>
      </w:r>
      <w:proofErr w:type="spellStart"/>
      <w:r w:rsidR="00E74349">
        <w:rPr>
          <w:rFonts w:cstheme="minorHAnsi"/>
          <w:color w:val="231F20"/>
        </w:rPr>
        <w:t>b</w:t>
      </w:r>
      <w:r w:rsidR="005730F1" w:rsidRPr="009F6057">
        <w:rPr>
          <w:rFonts w:cstheme="minorHAnsi"/>
          <w:color w:val="231F20"/>
        </w:rPr>
        <w:t>elow</w:t>
      </w:r>
      <w:proofErr w:type="spellEnd"/>
      <w:r w:rsidR="005730F1" w:rsidRPr="009F6057">
        <w:rPr>
          <w:rFonts w:cstheme="minorHAnsi"/>
          <w:color w:val="231F20"/>
        </w:rPr>
        <w:t xml:space="preserve"> the surface </w:t>
      </w:r>
      <w:proofErr w:type="spellStart"/>
      <w:r w:rsidR="005730F1" w:rsidRPr="009F6057">
        <w:rPr>
          <w:rFonts w:cstheme="minorHAnsi"/>
          <w:color w:val="231F20"/>
        </w:rPr>
        <w:t>amounted</w:t>
      </w:r>
      <w:proofErr w:type="spellEnd"/>
      <w:r w:rsidR="005730F1" w:rsidRPr="009F6057">
        <w:rPr>
          <w:rFonts w:cstheme="minorHAnsi"/>
          <w:color w:val="231F20"/>
        </w:rPr>
        <w:t xml:space="preserve"> to 40–60% of total </w:t>
      </w:r>
      <w:proofErr w:type="spellStart"/>
      <w:r w:rsidR="005730F1" w:rsidRPr="009F6057">
        <w:rPr>
          <w:rFonts w:cstheme="minorHAnsi"/>
          <w:color w:val="231F20"/>
        </w:rPr>
        <w:t>nitrogen</w:t>
      </w:r>
      <w:proofErr w:type="spellEnd"/>
      <w:r w:rsidR="005730F1" w:rsidRPr="009F6057">
        <w:rPr>
          <w:rFonts w:cstheme="minorHAnsi"/>
          <w:color w:val="231F20"/>
        </w:rPr>
        <w:t xml:space="preserve"> </w:t>
      </w:r>
      <w:proofErr w:type="spellStart"/>
      <w:proofErr w:type="gramStart"/>
      <w:r w:rsidR="005730F1" w:rsidRPr="009F6057">
        <w:rPr>
          <w:rFonts w:cstheme="minorHAnsi"/>
          <w:color w:val="231F20"/>
        </w:rPr>
        <w:t>uptake</w:t>
      </w:r>
      <w:proofErr w:type="spellEnd"/>
      <w:r w:rsidR="005730F1" w:rsidRPr="009F6057">
        <w:rPr>
          <w:rFonts w:cstheme="minorHAnsi"/>
          <w:color w:val="231F20"/>
        </w:rPr>
        <w:t xml:space="preserve"> ,</w:t>
      </w:r>
      <w:proofErr w:type="gramEnd"/>
      <w:r w:rsidR="005730F1" w:rsidRPr="009F6057">
        <w:rPr>
          <w:rFonts w:cstheme="minorHAnsi"/>
          <w:color w:val="231F20"/>
        </w:rPr>
        <w:t xml:space="preserve"> a</w:t>
      </w:r>
      <w:r w:rsidR="005730F1">
        <w:rPr>
          <w:rFonts w:cstheme="minorHAnsi"/>
          <w:color w:val="231F20"/>
        </w:rPr>
        <w:t xml:space="preserve"> </w:t>
      </w:r>
      <w:r w:rsidR="005730F1" w:rsidRPr="009F6057">
        <w:rPr>
          <w:rFonts w:cstheme="minorHAnsi"/>
          <w:color w:val="231F20"/>
        </w:rPr>
        <w:t xml:space="preserve">proportion </w:t>
      </w:r>
      <w:proofErr w:type="spellStart"/>
      <w:r w:rsidR="005730F1" w:rsidRPr="009F6057">
        <w:rPr>
          <w:rFonts w:cstheme="minorHAnsi"/>
          <w:color w:val="231F20"/>
        </w:rPr>
        <w:t>approximatively</w:t>
      </w:r>
      <w:proofErr w:type="spellEnd"/>
      <w:r w:rsidR="005730F1" w:rsidRPr="009F6057">
        <w:rPr>
          <w:rFonts w:cstheme="minorHAnsi"/>
          <w:color w:val="231F20"/>
        </w:rPr>
        <w:t xml:space="preserve"> </w:t>
      </w:r>
      <w:proofErr w:type="spellStart"/>
      <w:r w:rsidR="005730F1" w:rsidRPr="009F6057">
        <w:rPr>
          <w:rFonts w:cstheme="minorHAnsi"/>
          <w:color w:val="231F20"/>
        </w:rPr>
        <w:t>twice</w:t>
      </w:r>
      <w:proofErr w:type="spellEnd"/>
      <w:r w:rsidR="005730F1" w:rsidRPr="009F6057">
        <w:rPr>
          <w:rFonts w:cstheme="minorHAnsi"/>
          <w:color w:val="231F20"/>
        </w:rPr>
        <w:t xml:space="preserve"> </w:t>
      </w:r>
      <w:proofErr w:type="spellStart"/>
      <w:r w:rsidR="005730F1" w:rsidRPr="009F6057">
        <w:rPr>
          <w:rFonts w:cstheme="minorHAnsi"/>
          <w:color w:val="231F20"/>
        </w:rPr>
        <w:t>greater</w:t>
      </w:r>
      <w:proofErr w:type="spellEnd"/>
      <w:r w:rsidR="005730F1" w:rsidRPr="009F6057">
        <w:rPr>
          <w:rFonts w:cstheme="minorHAnsi"/>
          <w:color w:val="231F20"/>
        </w:rPr>
        <w:t xml:space="preserve"> </w:t>
      </w:r>
      <w:proofErr w:type="spellStart"/>
      <w:r w:rsidR="005730F1" w:rsidRPr="009F6057">
        <w:rPr>
          <w:rFonts w:cstheme="minorHAnsi"/>
          <w:color w:val="231F20"/>
        </w:rPr>
        <w:t>than</w:t>
      </w:r>
      <w:proofErr w:type="spellEnd"/>
      <w:r w:rsidR="005730F1" w:rsidRPr="009F6057">
        <w:rPr>
          <w:rFonts w:cstheme="minorHAnsi"/>
          <w:color w:val="231F20"/>
        </w:rPr>
        <w:t xml:space="preserve"> at the surface</w:t>
      </w:r>
      <w:r w:rsidR="005730F1">
        <w:rPr>
          <w:rFonts w:cstheme="minorHAnsi"/>
          <w:color w:val="231F20"/>
        </w:rPr>
        <w:t xml:space="preserve"> (</w:t>
      </w:r>
      <w:proofErr w:type="spellStart"/>
      <w:r w:rsidR="00E74349">
        <w:rPr>
          <w:rFonts w:cstheme="minorHAnsi"/>
          <w:color w:val="231F20"/>
        </w:rPr>
        <w:t>A</w:t>
      </w:r>
      <w:r w:rsidR="005730F1" w:rsidRPr="009F6057">
        <w:rPr>
          <w:rFonts w:cstheme="minorHAnsi"/>
          <w:color w:val="231F20"/>
        </w:rPr>
        <w:t>rdyna</w:t>
      </w:r>
      <w:proofErr w:type="spellEnd"/>
      <w:r w:rsidR="005730F1" w:rsidRPr="009F6057">
        <w:rPr>
          <w:rFonts w:cstheme="minorHAnsi"/>
          <w:color w:val="231F20"/>
        </w:rPr>
        <w:t xml:space="preserve"> et al., 2017)</w:t>
      </w:r>
    </w:p>
    <w:p w14:paraId="33A00E0A" w14:textId="5BEC2BCB" w:rsidR="00583806" w:rsidRPr="00FE47AF" w:rsidRDefault="00276B16" w:rsidP="00E74349">
      <w:pPr>
        <w:jc w:val="both"/>
        <w:rPr>
          <w:rFonts w:cstheme="minorHAnsi"/>
          <w:lang w:val="en-US"/>
        </w:rPr>
      </w:pPr>
      <w:r w:rsidRPr="00FE47AF">
        <w:rPr>
          <w:rFonts w:cstheme="minorHAnsi"/>
          <w:lang w:val="en-US"/>
        </w:rPr>
        <w:t xml:space="preserve">Nitrification and ammonium regeneration were detectable over the whole water column ranging from 2 to 20 </w:t>
      </w:r>
      <w:proofErr w:type="gramStart"/>
      <w:r w:rsidRPr="00FE47AF">
        <w:rPr>
          <w:rFonts w:cstheme="minorHAnsi"/>
          <w:lang w:val="en-US"/>
        </w:rPr>
        <w:t>nmoles.l</w:t>
      </w:r>
      <w:proofErr w:type="gramEnd"/>
      <w:r w:rsidRPr="00FE47AF">
        <w:rPr>
          <w:rFonts w:cstheme="minorHAnsi"/>
          <w:vertAlign w:val="superscript"/>
          <w:lang w:val="en-US"/>
        </w:rPr>
        <w:t>-1</w:t>
      </w:r>
      <w:r w:rsidRPr="00FE47AF">
        <w:rPr>
          <w:rFonts w:cstheme="minorHAnsi"/>
          <w:lang w:val="en-US"/>
        </w:rPr>
        <w:t>.24h</w:t>
      </w:r>
      <w:r w:rsidRPr="00FE47AF">
        <w:rPr>
          <w:rFonts w:cstheme="minorHAnsi"/>
          <w:vertAlign w:val="superscript"/>
          <w:lang w:val="en-US"/>
        </w:rPr>
        <w:t>-1</w:t>
      </w:r>
      <w:r w:rsidRPr="00FE47AF">
        <w:rPr>
          <w:rFonts w:cstheme="minorHAnsi"/>
          <w:lang w:val="en-US"/>
        </w:rPr>
        <w:t xml:space="preserve">. Highest rates were generally located at the base of the euphotic zone, leading to the formation of subsurface ammonium and nitrite maximum layers. </w:t>
      </w:r>
    </w:p>
    <w:p w14:paraId="127EB56D" w14:textId="06F90054" w:rsidR="005730F1" w:rsidRPr="009F6057" w:rsidRDefault="00583806" w:rsidP="00E74349">
      <w:pPr>
        <w:autoSpaceDE w:val="0"/>
        <w:autoSpaceDN w:val="0"/>
        <w:adjustRightInd w:val="0"/>
        <w:spacing w:after="0" w:line="240" w:lineRule="auto"/>
        <w:jc w:val="both"/>
        <w:rPr>
          <w:rFonts w:cstheme="minorHAnsi"/>
          <w:color w:val="231F20"/>
        </w:rPr>
      </w:pPr>
      <w:r w:rsidRPr="00FE47AF">
        <w:rPr>
          <w:rFonts w:cstheme="minorHAnsi"/>
          <w:lang w:val="en-US"/>
        </w:rPr>
        <w:t xml:space="preserve">Surface communities </w:t>
      </w:r>
      <w:r w:rsidR="00975B83">
        <w:rPr>
          <w:rFonts w:cstheme="minorHAnsi"/>
          <w:lang w:val="en-US"/>
        </w:rPr>
        <w:t>and</w:t>
      </w:r>
      <w:r w:rsidR="005730F1">
        <w:rPr>
          <w:rFonts w:cstheme="minorHAnsi"/>
          <w:lang w:val="en-US"/>
        </w:rPr>
        <w:t xml:space="preserve"> </w:t>
      </w:r>
      <w:r w:rsidR="00975B83">
        <w:rPr>
          <w:rFonts w:cstheme="minorHAnsi"/>
          <w:lang w:val="en-US"/>
        </w:rPr>
        <w:t xml:space="preserve">especially </w:t>
      </w:r>
      <w:r w:rsidR="00975B83" w:rsidRPr="005730F1">
        <w:rPr>
          <w:rFonts w:cstheme="minorHAnsi"/>
          <w:color w:val="231F20"/>
        </w:rPr>
        <w:t xml:space="preserve">accumulation of large </w:t>
      </w:r>
      <w:proofErr w:type="spellStart"/>
      <w:r w:rsidR="00975B83" w:rsidRPr="005730F1">
        <w:rPr>
          <w:rFonts w:cstheme="minorHAnsi"/>
          <w:color w:val="231F20"/>
        </w:rPr>
        <w:t>cells</w:t>
      </w:r>
      <w:proofErr w:type="spellEnd"/>
      <w:r w:rsidR="00975B83">
        <w:rPr>
          <w:rFonts w:ascii="AdvSTONE-R" w:hAnsi="AdvSTONE-R" w:cs="AdvSTONE-R"/>
          <w:color w:val="231F20"/>
          <w:sz w:val="18"/>
          <w:szCs w:val="18"/>
        </w:rPr>
        <w:t xml:space="preserve"> </w:t>
      </w:r>
      <w:r w:rsidRPr="00FE47AF">
        <w:rPr>
          <w:rFonts w:cstheme="minorHAnsi"/>
          <w:lang w:val="en-US"/>
        </w:rPr>
        <w:t>thrived mostly on regenerative NH4+ and their reliance on NO3- increased with depth to reach a maximum in the subsurface chlorophyll maximum, where substantial levels of primary production occurred</w:t>
      </w:r>
      <w:r w:rsidR="00975B83">
        <w:rPr>
          <w:rFonts w:cstheme="minorHAnsi"/>
          <w:lang w:val="en-US"/>
        </w:rPr>
        <w:t xml:space="preserve"> (</w:t>
      </w:r>
      <w:proofErr w:type="spellStart"/>
      <w:r w:rsidR="00975B83">
        <w:rPr>
          <w:rFonts w:cstheme="minorHAnsi"/>
          <w:lang w:val="en-US"/>
        </w:rPr>
        <w:t>Ardyna</w:t>
      </w:r>
      <w:proofErr w:type="spellEnd"/>
      <w:r w:rsidR="00975B83">
        <w:rPr>
          <w:rFonts w:cstheme="minorHAnsi"/>
          <w:lang w:val="en-US"/>
        </w:rPr>
        <w:t xml:space="preserve"> et al., 2017)</w:t>
      </w:r>
      <w:r w:rsidR="005730F1">
        <w:rPr>
          <w:rFonts w:cstheme="minorHAnsi"/>
          <w:lang w:val="en-US"/>
        </w:rPr>
        <w:t xml:space="preserve">. </w:t>
      </w:r>
      <w:r w:rsidR="005730F1" w:rsidRPr="009F6057">
        <w:rPr>
          <w:rFonts w:cstheme="minorHAnsi"/>
          <w:color w:val="231F20"/>
        </w:rPr>
        <w:t xml:space="preserve">This </w:t>
      </w:r>
      <w:proofErr w:type="spellStart"/>
      <w:r w:rsidR="005730F1">
        <w:rPr>
          <w:rFonts w:cstheme="minorHAnsi"/>
          <w:color w:val="231F20"/>
        </w:rPr>
        <w:t>is</w:t>
      </w:r>
      <w:proofErr w:type="spellEnd"/>
      <w:r w:rsidR="005730F1" w:rsidRPr="009F6057">
        <w:rPr>
          <w:rFonts w:cstheme="minorHAnsi"/>
          <w:color w:val="231F20"/>
        </w:rPr>
        <w:t xml:space="preserve"> consistent </w:t>
      </w:r>
      <w:proofErr w:type="spellStart"/>
      <w:r w:rsidR="005730F1" w:rsidRPr="009F6057">
        <w:rPr>
          <w:rFonts w:cstheme="minorHAnsi"/>
          <w:color w:val="231F20"/>
        </w:rPr>
        <w:t>with</w:t>
      </w:r>
      <w:proofErr w:type="spellEnd"/>
      <w:r w:rsidR="005730F1" w:rsidRPr="009F6057">
        <w:rPr>
          <w:rFonts w:cstheme="minorHAnsi"/>
          <w:color w:val="231F20"/>
        </w:rPr>
        <w:t xml:space="preserve"> Ortega-</w:t>
      </w:r>
      <w:proofErr w:type="spellStart"/>
      <w:r w:rsidR="005730F1" w:rsidRPr="009F6057">
        <w:rPr>
          <w:rFonts w:cstheme="minorHAnsi"/>
          <w:color w:val="231F20"/>
        </w:rPr>
        <w:t>Retuerta</w:t>
      </w:r>
      <w:proofErr w:type="spellEnd"/>
      <w:r w:rsidR="005730F1" w:rsidRPr="009F6057">
        <w:rPr>
          <w:rFonts w:cstheme="minorHAnsi"/>
          <w:color w:val="231F20"/>
        </w:rPr>
        <w:t xml:space="preserve"> et al. (2012) </w:t>
      </w:r>
      <w:proofErr w:type="spellStart"/>
      <w:r w:rsidR="005730F1" w:rsidRPr="009F6057">
        <w:rPr>
          <w:rFonts w:cstheme="minorHAnsi"/>
          <w:color w:val="231F20"/>
        </w:rPr>
        <w:t>who</w:t>
      </w:r>
      <w:proofErr w:type="spellEnd"/>
      <w:r w:rsidR="005730F1" w:rsidRPr="009F6057">
        <w:rPr>
          <w:rFonts w:cstheme="minorHAnsi"/>
          <w:color w:val="231F20"/>
        </w:rPr>
        <w:t xml:space="preserve"> </w:t>
      </w:r>
      <w:proofErr w:type="spellStart"/>
      <w:r w:rsidR="005730F1" w:rsidRPr="009F6057">
        <w:rPr>
          <w:rFonts w:cstheme="minorHAnsi"/>
          <w:color w:val="231F20"/>
        </w:rPr>
        <w:t>reported</w:t>
      </w:r>
      <w:proofErr w:type="spellEnd"/>
      <w:r w:rsidR="005730F1" w:rsidRPr="009F6057">
        <w:rPr>
          <w:rFonts w:cstheme="minorHAnsi"/>
          <w:color w:val="231F20"/>
        </w:rPr>
        <w:t xml:space="preserve"> </w:t>
      </w:r>
      <w:proofErr w:type="spellStart"/>
      <w:r w:rsidR="005730F1" w:rsidRPr="009F6057">
        <w:rPr>
          <w:rFonts w:cstheme="minorHAnsi"/>
          <w:color w:val="231F20"/>
        </w:rPr>
        <w:t>elevated</w:t>
      </w:r>
      <w:proofErr w:type="spellEnd"/>
      <w:r w:rsidR="005730F1" w:rsidRPr="009F6057">
        <w:rPr>
          <w:rFonts w:cstheme="minorHAnsi"/>
          <w:color w:val="231F20"/>
        </w:rPr>
        <w:t xml:space="preserve"> </w:t>
      </w:r>
      <w:proofErr w:type="spellStart"/>
      <w:r w:rsidR="005730F1" w:rsidRPr="009F6057">
        <w:rPr>
          <w:rFonts w:cstheme="minorHAnsi"/>
          <w:color w:val="231F20"/>
        </w:rPr>
        <w:t>bacterial</w:t>
      </w:r>
      <w:proofErr w:type="spellEnd"/>
      <w:r w:rsidR="005730F1" w:rsidRPr="009F6057">
        <w:rPr>
          <w:rFonts w:cstheme="minorHAnsi"/>
          <w:color w:val="231F20"/>
        </w:rPr>
        <w:t xml:space="preserve"> </w:t>
      </w:r>
      <w:proofErr w:type="spellStart"/>
      <w:r w:rsidR="005730F1" w:rsidRPr="009F6057">
        <w:rPr>
          <w:rFonts w:cstheme="minorHAnsi"/>
          <w:color w:val="231F20"/>
        </w:rPr>
        <w:t>abundance</w:t>
      </w:r>
      <w:proofErr w:type="spellEnd"/>
      <w:r w:rsidR="005730F1" w:rsidRPr="009F6057">
        <w:rPr>
          <w:rFonts w:cstheme="minorHAnsi"/>
          <w:color w:val="231F20"/>
        </w:rPr>
        <w:t xml:space="preserve"> and</w:t>
      </w:r>
      <w:r w:rsidR="005730F1">
        <w:rPr>
          <w:rFonts w:cstheme="minorHAnsi"/>
          <w:color w:val="231F20"/>
        </w:rPr>
        <w:t xml:space="preserve"> </w:t>
      </w:r>
      <w:proofErr w:type="spellStart"/>
      <w:r w:rsidR="005730F1" w:rsidRPr="009F6057">
        <w:rPr>
          <w:rFonts w:cstheme="minorHAnsi"/>
          <w:color w:val="231F20"/>
        </w:rPr>
        <w:t>bacterial</w:t>
      </w:r>
      <w:proofErr w:type="spellEnd"/>
      <w:r w:rsidR="005730F1" w:rsidRPr="009F6057">
        <w:rPr>
          <w:rFonts w:cstheme="minorHAnsi"/>
          <w:color w:val="231F20"/>
        </w:rPr>
        <w:t xml:space="preserve"> production rates in association </w:t>
      </w:r>
      <w:proofErr w:type="spellStart"/>
      <w:r w:rsidR="005730F1" w:rsidRPr="009F6057">
        <w:rPr>
          <w:rFonts w:cstheme="minorHAnsi"/>
          <w:color w:val="231F20"/>
        </w:rPr>
        <w:t>with</w:t>
      </w:r>
      <w:proofErr w:type="spellEnd"/>
      <w:r w:rsidR="005730F1" w:rsidRPr="009F6057">
        <w:rPr>
          <w:rFonts w:cstheme="minorHAnsi"/>
          <w:color w:val="231F20"/>
        </w:rPr>
        <w:t xml:space="preserve"> </w:t>
      </w:r>
      <w:proofErr w:type="spellStart"/>
      <w:r w:rsidR="005730F1" w:rsidRPr="009F6057">
        <w:rPr>
          <w:rFonts w:cstheme="minorHAnsi"/>
        </w:rPr>
        <w:t>photoammonification</w:t>
      </w:r>
      <w:proofErr w:type="spellEnd"/>
      <w:r w:rsidR="005730F1" w:rsidRPr="009F6057">
        <w:rPr>
          <w:rFonts w:cstheme="minorHAnsi"/>
          <w:color w:val="231F20"/>
        </w:rPr>
        <w:t xml:space="preserve"> </w:t>
      </w:r>
      <w:r w:rsidR="005730F1">
        <w:rPr>
          <w:rFonts w:cstheme="minorHAnsi"/>
          <w:color w:val="231F20"/>
        </w:rPr>
        <w:t xml:space="preserve">of </w:t>
      </w:r>
      <w:proofErr w:type="spellStart"/>
      <w:r w:rsidR="005730F1" w:rsidRPr="009F6057">
        <w:rPr>
          <w:rFonts w:cstheme="minorHAnsi"/>
          <w:color w:val="231F20"/>
        </w:rPr>
        <w:t>riverine</w:t>
      </w:r>
      <w:proofErr w:type="spellEnd"/>
      <w:r w:rsidR="005730F1" w:rsidRPr="009F6057">
        <w:rPr>
          <w:rFonts w:cstheme="minorHAnsi"/>
          <w:color w:val="231F20"/>
        </w:rPr>
        <w:t xml:space="preserve"> </w:t>
      </w:r>
      <w:proofErr w:type="spellStart"/>
      <w:r w:rsidR="005730F1" w:rsidRPr="009F6057">
        <w:rPr>
          <w:rFonts w:cstheme="minorHAnsi"/>
          <w:color w:val="231F20"/>
        </w:rPr>
        <w:t>organic</w:t>
      </w:r>
      <w:proofErr w:type="spellEnd"/>
      <w:r w:rsidR="005730F1" w:rsidRPr="009F6057">
        <w:rPr>
          <w:rFonts w:cstheme="minorHAnsi"/>
          <w:color w:val="231F20"/>
        </w:rPr>
        <w:t xml:space="preserve"> </w:t>
      </w:r>
      <w:proofErr w:type="spellStart"/>
      <w:r w:rsidR="005730F1" w:rsidRPr="009F6057">
        <w:rPr>
          <w:rFonts w:cstheme="minorHAnsi"/>
          <w:color w:val="231F20"/>
        </w:rPr>
        <w:t>matter</w:t>
      </w:r>
      <w:proofErr w:type="spellEnd"/>
      <w:r w:rsidR="005730F1">
        <w:rPr>
          <w:rFonts w:cstheme="minorHAnsi"/>
          <w:color w:val="231F20"/>
        </w:rPr>
        <w:t xml:space="preserve"> (Le </w:t>
      </w:r>
      <w:proofErr w:type="spellStart"/>
      <w:r w:rsidR="005730F1">
        <w:rPr>
          <w:rFonts w:cstheme="minorHAnsi"/>
          <w:color w:val="231F20"/>
        </w:rPr>
        <w:t>Fouest</w:t>
      </w:r>
      <w:proofErr w:type="spellEnd"/>
      <w:r w:rsidR="005730F1">
        <w:rPr>
          <w:rFonts w:cstheme="minorHAnsi"/>
          <w:color w:val="231F20"/>
        </w:rPr>
        <w:t xml:space="preserve"> et</w:t>
      </w:r>
      <w:r w:rsidR="00E74349">
        <w:rPr>
          <w:rFonts w:cstheme="minorHAnsi"/>
          <w:color w:val="231F20"/>
        </w:rPr>
        <w:t xml:space="preserve"> </w:t>
      </w:r>
      <w:r w:rsidR="005730F1">
        <w:rPr>
          <w:rFonts w:cstheme="minorHAnsi"/>
          <w:color w:val="231F20"/>
        </w:rPr>
        <w:t>al.,</w:t>
      </w:r>
      <w:r w:rsidR="00E74349">
        <w:rPr>
          <w:rFonts w:cstheme="minorHAnsi"/>
          <w:color w:val="231F20"/>
        </w:rPr>
        <w:t xml:space="preserve"> </w:t>
      </w:r>
      <w:r w:rsidR="005730F1">
        <w:rPr>
          <w:rFonts w:cstheme="minorHAnsi"/>
          <w:color w:val="231F20"/>
        </w:rPr>
        <w:t>2012)</w:t>
      </w:r>
      <w:r w:rsidR="005730F1" w:rsidRPr="009F6057">
        <w:rPr>
          <w:rFonts w:cstheme="minorHAnsi"/>
          <w:color w:val="231F20"/>
        </w:rPr>
        <w:t xml:space="preserve">. </w:t>
      </w:r>
    </w:p>
    <w:p w14:paraId="21D2ED3F" w14:textId="1F86D3F9" w:rsidR="00975B83" w:rsidRDefault="00975B83" w:rsidP="00975B83">
      <w:pPr>
        <w:autoSpaceDE w:val="0"/>
        <w:autoSpaceDN w:val="0"/>
        <w:adjustRightInd w:val="0"/>
        <w:spacing w:after="0" w:line="240" w:lineRule="auto"/>
        <w:rPr>
          <w:rFonts w:ascii="AdvSTONE-R" w:hAnsi="AdvSTONE-R" w:cs="AdvSTONE-R"/>
          <w:color w:val="231F20"/>
          <w:sz w:val="18"/>
          <w:szCs w:val="18"/>
        </w:rPr>
      </w:pPr>
    </w:p>
    <w:p w14:paraId="2583F85A" w14:textId="66DF5BD5" w:rsidR="00583806" w:rsidRPr="00FE47AF" w:rsidRDefault="00583806" w:rsidP="00975B83">
      <w:pPr>
        <w:jc w:val="both"/>
        <w:rPr>
          <w:rFonts w:cstheme="minorHAnsi"/>
          <w:lang w:val="en-US"/>
        </w:rPr>
      </w:pPr>
      <w:r w:rsidRPr="00FE47AF">
        <w:rPr>
          <w:rFonts w:cstheme="minorHAnsi"/>
          <w:lang w:val="en-US"/>
        </w:rPr>
        <w:t>Nitrification accounted for a variable and sometimes large share of the NO3- demand, consistent with the persistence of trace amounts of NO3- at the surface. Collectively, the data indicate that the coastal Beaufort Sea is an active regenerative system during summer, probably fueled by large pools of organic matter brought by rivers. Consequently, new production was very low and often close to zero in the 0-40m layer. But high nitrate uptake rates can be observed at depth (Station 135), often associated with high primary production located in the chlorophyll maximum layer being the place of significant new production.</w:t>
      </w:r>
    </w:p>
    <w:p w14:paraId="1997F300" w14:textId="20E3DA3E" w:rsidR="00FA6E51" w:rsidRPr="00C226B6" w:rsidRDefault="00FA6E51" w:rsidP="00C226B6">
      <w:pPr>
        <w:autoSpaceDE w:val="0"/>
        <w:autoSpaceDN w:val="0"/>
        <w:adjustRightInd w:val="0"/>
        <w:spacing w:after="0" w:line="240" w:lineRule="auto"/>
        <w:rPr>
          <w:rFonts w:cstheme="minorHAnsi"/>
          <w:lang w:val="en-US"/>
        </w:rPr>
      </w:pPr>
      <w:r w:rsidRPr="00C226B6">
        <w:rPr>
          <w:rFonts w:cstheme="minorHAnsi"/>
          <w:lang w:val="en-US"/>
        </w:rPr>
        <w:t>Collectively, the data indicate that the coastal Beaufort Sea is an active regenerative system during summer, probably fueled by large pools of organic matter brought by rivers</w:t>
      </w:r>
      <w:r w:rsidR="005730F1">
        <w:rPr>
          <w:rFonts w:cstheme="minorHAnsi"/>
          <w:lang w:val="en-US"/>
        </w:rPr>
        <w:t xml:space="preserve"> (Le fouest,2012)</w:t>
      </w:r>
      <w:r w:rsidRPr="00C226B6">
        <w:rPr>
          <w:rFonts w:cstheme="minorHAnsi"/>
          <w:lang w:val="en-US"/>
        </w:rPr>
        <w:t xml:space="preserve">. </w:t>
      </w:r>
      <w:r w:rsidR="00C226B6" w:rsidRPr="00C226B6">
        <w:rPr>
          <w:rFonts w:cstheme="minorHAnsi"/>
          <w:lang w:val="en-US"/>
        </w:rPr>
        <w:t xml:space="preserve"> </w:t>
      </w:r>
      <w:r w:rsidR="00C226B6" w:rsidRPr="00C226B6">
        <w:rPr>
          <w:rFonts w:cstheme="minorHAnsi"/>
        </w:rPr>
        <w:t xml:space="preserve">The impact of the Mackenzie River on shelf </w:t>
      </w:r>
      <w:proofErr w:type="spellStart"/>
      <w:r w:rsidR="00C226B6" w:rsidRPr="00C226B6">
        <w:rPr>
          <w:rFonts w:cstheme="minorHAnsi"/>
        </w:rPr>
        <w:t>productivity</w:t>
      </w:r>
      <w:proofErr w:type="spellEnd"/>
      <w:r w:rsidR="00C226B6" w:rsidRPr="00C226B6">
        <w:rPr>
          <w:rFonts w:cstheme="minorHAnsi"/>
        </w:rPr>
        <w:t xml:space="preserve"> </w:t>
      </w:r>
      <w:proofErr w:type="spellStart"/>
      <w:r w:rsidR="00C226B6" w:rsidRPr="00C226B6">
        <w:rPr>
          <w:rFonts w:cstheme="minorHAnsi"/>
        </w:rPr>
        <w:t>during</w:t>
      </w:r>
      <w:proofErr w:type="spellEnd"/>
      <w:r w:rsidR="00C226B6" w:rsidRPr="00C226B6">
        <w:rPr>
          <w:rFonts w:cstheme="minorHAnsi"/>
        </w:rPr>
        <w:t xml:space="preserve"> </w:t>
      </w:r>
      <w:proofErr w:type="spellStart"/>
      <w:r w:rsidR="00C226B6" w:rsidRPr="00C226B6">
        <w:rPr>
          <w:rFonts w:cstheme="minorHAnsi"/>
        </w:rPr>
        <w:t>summer</w:t>
      </w:r>
      <w:proofErr w:type="spellEnd"/>
      <w:r w:rsidR="00C226B6" w:rsidRPr="00C226B6">
        <w:rPr>
          <w:rFonts w:cstheme="minorHAnsi"/>
        </w:rPr>
        <w:t xml:space="preserve"> </w:t>
      </w:r>
      <w:proofErr w:type="spellStart"/>
      <w:r w:rsidR="00C226B6" w:rsidRPr="00C226B6">
        <w:rPr>
          <w:rFonts w:cstheme="minorHAnsi"/>
        </w:rPr>
        <w:t>is</w:t>
      </w:r>
      <w:proofErr w:type="spellEnd"/>
      <w:r w:rsidR="00C226B6" w:rsidRPr="00C226B6">
        <w:rPr>
          <w:rFonts w:cstheme="minorHAnsi"/>
        </w:rPr>
        <w:t xml:space="preserve"> </w:t>
      </w:r>
      <w:proofErr w:type="spellStart"/>
      <w:r w:rsidR="00C226B6" w:rsidRPr="00C226B6">
        <w:rPr>
          <w:rFonts w:cstheme="minorHAnsi"/>
        </w:rPr>
        <w:t>moderate</w:t>
      </w:r>
      <w:proofErr w:type="spellEnd"/>
      <w:r w:rsidR="00C226B6" w:rsidRPr="00C226B6">
        <w:rPr>
          <w:rFonts w:cstheme="minorHAnsi"/>
        </w:rPr>
        <w:t xml:space="preserve"> and </w:t>
      </w:r>
      <w:proofErr w:type="spellStart"/>
      <w:r w:rsidR="00C226B6" w:rsidRPr="00C226B6">
        <w:rPr>
          <w:rFonts w:cstheme="minorHAnsi"/>
        </w:rPr>
        <w:t>associated</w:t>
      </w:r>
      <w:proofErr w:type="spellEnd"/>
      <w:r w:rsidR="00C226B6" w:rsidRPr="00C226B6">
        <w:rPr>
          <w:rFonts w:cstheme="minorHAnsi"/>
        </w:rPr>
        <w:t xml:space="preserve"> </w:t>
      </w:r>
      <w:proofErr w:type="spellStart"/>
      <w:r w:rsidR="00C226B6" w:rsidRPr="00C226B6">
        <w:rPr>
          <w:rFonts w:cstheme="minorHAnsi"/>
        </w:rPr>
        <w:t>mostly</w:t>
      </w:r>
      <w:proofErr w:type="spellEnd"/>
      <w:r w:rsidR="00C226B6" w:rsidRPr="00C226B6">
        <w:rPr>
          <w:rFonts w:cstheme="minorHAnsi"/>
        </w:rPr>
        <w:t xml:space="preserve"> </w:t>
      </w:r>
      <w:proofErr w:type="spellStart"/>
      <w:r w:rsidR="00C226B6" w:rsidRPr="00C226B6">
        <w:rPr>
          <w:rFonts w:cstheme="minorHAnsi"/>
        </w:rPr>
        <w:t>with</w:t>
      </w:r>
      <w:proofErr w:type="spellEnd"/>
      <w:r w:rsidR="00C226B6" w:rsidRPr="00C226B6">
        <w:rPr>
          <w:rFonts w:cstheme="minorHAnsi"/>
        </w:rPr>
        <w:t xml:space="preserve"> </w:t>
      </w:r>
      <w:proofErr w:type="spellStart"/>
      <w:r w:rsidR="00C226B6" w:rsidRPr="00C226B6">
        <w:rPr>
          <w:rFonts w:cstheme="minorHAnsi"/>
        </w:rPr>
        <w:t>localized</w:t>
      </w:r>
      <w:proofErr w:type="spellEnd"/>
      <w:r w:rsidR="00C226B6">
        <w:rPr>
          <w:rFonts w:cstheme="minorHAnsi"/>
        </w:rPr>
        <w:t xml:space="preserve"> </w:t>
      </w:r>
      <w:proofErr w:type="spellStart"/>
      <w:r w:rsidR="00C226B6" w:rsidRPr="00C226B6">
        <w:rPr>
          <w:rFonts w:cstheme="minorHAnsi"/>
        </w:rPr>
        <w:t>nutrient</w:t>
      </w:r>
      <w:proofErr w:type="spellEnd"/>
      <w:r w:rsidR="00C226B6" w:rsidRPr="00C226B6">
        <w:rPr>
          <w:rFonts w:cstheme="minorHAnsi"/>
        </w:rPr>
        <w:t xml:space="preserve"> </w:t>
      </w:r>
      <w:proofErr w:type="spellStart"/>
      <w:r w:rsidR="00C226B6" w:rsidRPr="00C226B6">
        <w:rPr>
          <w:rFonts w:cstheme="minorHAnsi"/>
        </w:rPr>
        <w:t>recycling</w:t>
      </w:r>
      <w:proofErr w:type="spellEnd"/>
      <w:r w:rsidR="00C226B6" w:rsidRPr="00C226B6">
        <w:rPr>
          <w:rFonts w:cstheme="minorHAnsi"/>
        </w:rPr>
        <w:t xml:space="preserve"> in the </w:t>
      </w:r>
      <w:proofErr w:type="spellStart"/>
      <w:r w:rsidR="00C226B6" w:rsidRPr="00C226B6">
        <w:rPr>
          <w:rFonts w:cstheme="minorHAnsi"/>
        </w:rPr>
        <w:t>nearshore</w:t>
      </w:r>
      <w:proofErr w:type="spellEnd"/>
      <w:r w:rsidR="00C226B6" w:rsidRPr="00C226B6">
        <w:rPr>
          <w:rFonts w:cstheme="minorHAnsi"/>
        </w:rPr>
        <w:t xml:space="preserve"> </w:t>
      </w:r>
      <w:proofErr w:type="spellStart"/>
      <w:r w:rsidR="00C226B6" w:rsidRPr="00C226B6">
        <w:rPr>
          <w:rFonts w:cstheme="minorHAnsi"/>
        </w:rPr>
        <w:t>estuarine</w:t>
      </w:r>
      <w:proofErr w:type="spellEnd"/>
      <w:r w:rsidR="00C226B6" w:rsidRPr="00C226B6">
        <w:rPr>
          <w:rFonts w:cstheme="minorHAnsi"/>
        </w:rPr>
        <w:t xml:space="preserve"> transition</w:t>
      </w:r>
      <w:r w:rsidR="00C226B6" w:rsidRPr="00C226B6">
        <w:rPr>
          <w:rFonts w:cstheme="minorHAnsi"/>
        </w:rPr>
        <w:t xml:space="preserve"> </w:t>
      </w:r>
      <w:r w:rsidR="00C226B6" w:rsidRPr="00C226B6">
        <w:rPr>
          <w:rFonts w:cstheme="minorHAnsi"/>
        </w:rPr>
        <w:t>zone</w:t>
      </w:r>
      <w:r w:rsidR="00C226B6">
        <w:rPr>
          <w:rFonts w:cstheme="minorHAnsi"/>
        </w:rPr>
        <w:t xml:space="preserve"> </w:t>
      </w:r>
      <w:r w:rsidR="00C226B6">
        <w:rPr>
          <w:rFonts w:cstheme="minorHAnsi"/>
          <w:lang w:val="en-US"/>
        </w:rPr>
        <w:t>(Tremblay et</w:t>
      </w:r>
      <w:r w:rsidR="005730F1">
        <w:rPr>
          <w:rFonts w:cstheme="minorHAnsi"/>
          <w:lang w:val="en-US"/>
        </w:rPr>
        <w:t xml:space="preserve"> </w:t>
      </w:r>
      <w:r w:rsidR="00C226B6">
        <w:rPr>
          <w:rFonts w:cstheme="minorHAnsi"/>
          <w:lang w:val="en-US"/>
        </w:rPr>
        <w:t>al., 2014)</w:t>
      </w:r>
      <w:r w:rsidR="00C226B6" w:rsidRPr="00C226B6">
        <w:rPr>
          <w:rFonts w:cstheme="minorHAnsi"/>
        </w:rPr>
        <w:t xml:space="preserve">. </w:t>
      </w:r>
    </w:p>
    <w:p w14:paraId="138D3F8C" w14:textId="2CCB8E0A" w:rsidR="00FE47AF" w:rsidRDefault="00FE47AF" w:rsidP="00FA6E51">
      <w:pPr>
        <w:rPr>
          <w:rFonts w:cstheme="minorHAnsi"/>
          <w:lang w:val="en-US"/>
        </w:rPr>
      </w:pPr>
    </w:p>
    <w:p w14:paraId="7D541250" w14:textId="77777777" w:rsidR="00013068" w:rsidRDefault="00013068" w:rsidP="00013068">
      <w:pPr>
        <w:autoSpaceDE w:val="0"/>
        <w:autoSpaceDN w:val="0"/>
        <w:adjustRightInd w:val="0"/>
        <w:spacing w:after="0" w:line="240" w:lineRule="auto"/>
        <w:jc w:val="both"/>
        <w:rPr>
          <w:rFonts w:cstheme="minorHAnsi"/>
          <w:sz w:val="20"/>
          <w:szCs w:val="20"/>
        </w:rPr>
      </w:pPr>
      <w:proofErr w:type="spellStart"/>
      <w:r>
        <w:rPr>
          <w:rFonts w:cstheme="minorHAnsi"/>
          <w:sz w:val="20"/>
          <w:szCs w:val="20"/>
        </w:rPr>
        <w:lastRenderedPageBreak/>
        <w:t>References</w:t>
      </w:r>
      <w:proofErr w:type="spellEnd"/>
    </w:p>
    <w:p w14:paraId="0EAED155" w14:textId="77777777" w:rsidR="00013068" w:rsidRDefault="00013068" w:rsidP="00013068">
      <w:pPr>
        <w:autoSpaceDE w:val="0"/>
        <w:autoSpaceDN w:val="0"/>
        <w:adjustRightInd w:val="0"/>
        <w:spacing w:after="0" w:line="240" w:lineRule="auto"/>
        <w:jc w:val="both"/>
        <w:rPr>
          <w:rFonts w:cstheme="minorHAnsi"/>
          <w:sz w:val="20"/>
          <w:szCs w:val="20"/>
        </w:rPr>
      </w:pPr>
    </w:p>
    <w:p w14:paraId="30D0EFC1" w14:textId="77777777" w:rsidR="00E74349" w:rsidRDefault="00FA2A7A" w:rsidP="00E74349">
      <w:pPr>
        <w:autoSpaceDE w:val="0"/>
        <w:autoSpaceDN w:val="0"/>
        <w:adjustRightInd w:val="0"/>
        <w:spacing w:after="0" w:line="240" w:lineRule="auto"/>
        <w:jc w:val="both"/>
        <w:rPr>
          <w:rFonts w:cstheme="minorHAnsi"/>
          <w:sz w:val="20"/>
          <w:szCs w:val="20"/>
        </w:rPr>
      </w:pPr>
      <w:proofErr w:type="spellStart"/>
      <w:r w:rsidRPr="00FA2A7A">
        <w:rPr>
          <w:rFonts w:cstheme="minorHAnsi"/>
          <w:sz w:val="20"/>
          <w:szCs w:val="20"/>
        </w:rPr>
        <w:t>Aminot</w:t>
      </w:r>
      <w:proofErr w:type="spellEnd"/>
      <w:r w:rsidRPr="00FA2A7A">
        <w:rPr>
          <w:rFonts w:cstheme="minorHAnsi"/>
          <w:sz w:val="20"/>
          <w:szCs w:val="20"/>
        </w:rPr>
        <w:t xml:space="preserve">, A. and </w:t>
      </w:r>
      <w:proofErr w:type="spellStart"/>
      <w:r w:rsidRPr="00FA2A7A">
        <w:rPr>
          <w:rFonts w:cstheme="minorHAnsi"/>
          <w:sz w:val="20"/>
          <w:szCs w:val="20"/>
        </w:rPr>
        <w:t>Kérouel</w:t>
      </w:r>
      <w:proofErr w:type="spellEnd"/>
      <w:r w:rsidRPr="00FA2A7A">
        <w:rPr>
          <w:rFonts w:cstheme="minorHAnsi"/>
          <w:sz w:val="20"/>
          <w:szCs w:val="20"/>
        </w:rPr>
        <w:t>, R</w:t>
      </w:r>
      <w:r w:rsidR="00A0262E">
        <w:rPr>
          <w:rFonts w:cstheme="minorHAnsi"/>
          <w:sz w:val="20"/>
          <w:szCs w:val="20"/>
        </w:rPr>
        <w:t>, 2007.</w:t>
      </w:r>
      <w:r w:rsidRPr="00FA2A7A">
        <w:rPr>
          <w:rFonts w:cstheme="minorHAnsi"/>
          <w:sz w:val="20"/>
          <w:szCs w:val="20"/>
        </w:rPr>
        <w:t xml:space="preserve"> Dosage automatique des nutriments dans les eaux </w:t>
      </w:r>
      <w:proofErr w:type="gramStart"/>
      <w:r w:rsidRPr="00FA2A7A">
        <w:rPr>
          <w:rFonts w:cstheme="minorHAnsi"/>
          <w:sz w:val="20"/>
          <w:szCs w:val="20"/>
        </w:rPr>
        <w:t>marines:</w:t>
      </w:r>
      <w:proofErr w:type="gramEnd"/>
      <w:r w:rsidRPr="00FA2A7A">
        <w:rPr>
          <w:rFonts w:cstheme="minorHAnsi"/>
          <w:sz w:val="20"/>
          <w:szCs w:val="20"/>
        </w:rPr>
        <w:t xml:space="preserve"> méthodes en flux continu, </w:t>
      </w:r>
      <w:proofErr w:type="spellStart"/>
      <w:r w:rsidRPr="00FA2A7A">
        <w:rPr>
          <w:rFonts w:cstheme="minorHAnsi"/>
          <w:sz w:val="20"/>
          <w:szCs w:val="20"/>
        </w:rPr>
        <w:t>edited</w:t>
      </w:r>
      <w:proofErr w:type="spellEnd"/>
      <w:r w:rsidRPr="00FA2A7A">
        <w:rPr>
          <w:rFonts w:cstheme="minorHAnsi"/>
          <w:sz w:val="20"/>
          <w:szCs w:val="20"/>
        </w:rPr>
        <w:t xml:space="preserve"> by:</w:t>
      </w:r>
      <w:r>
        <w:rPr>
          <w:rFonts w:cstheme="minorHAnsi"/>
          <w:sz w:val="20"/>
          <w:szCs w:val="20"/>
        </w:rPr>
        <w:t xml:space="preserve"> </w:t>
      </w:r>
      <w:r w:rsidRPr="00FA2A7A">
        <w:rPr>
          <w:rFonts w:cstheme="minorHAnsi"/>
          <w:sz w:val="20"/>
          <w:szCs w:val="20"/>
        </w:rPr>
        <w:t>IFREMER, Méthodes d’analyse en milieu marin, 188 pp., 2007.</w:t>
      </w:r>
    </w:p>
    <w:p w14:paraId="102390F3" w14:textId="77777777" w:rsidR="00E74349" w:rsidRDefault="00E74349" w:rsidP="00E74349">
      <w:pPr>
        <w:autoSpaceDE w:val="0"/>
        <w:autoSpaceDN w:val="0"/>
        <w:adjustRightInd w:val="0"/>
        <w:spacing w:after="0" w:line="240" w:lineRule="auto"/>
        <w:jc w:val="both"/>
        <w:rPr>
          <w:rFonts w:ascii="Arial" w:hAnsi="Arial" w:cs="Arial"/>
          <w:b/>
          <w:spacing w:val="-6"/>
        </w:rPr>
      </w:pPr>
    </w:p>
    <w:p w14:paraId="2035A4C8" w14:textId="6B2F0075" w:rsidR="00E74349" w:rsidRPr="00E74349" w:rsidRDefault="00E74349" w:rsidP="00E74349">
      <w:pPr>
        <w:autoSpaceDE w:val="0"/>
        <w:autoSpaceDN w:val="0"/>
        <w:adjustRightInd w:val="0"/>
        <w:spacing w:after="0" w:line="240" w:lineRule="auto"/>
        <w:jc w:val="both"/>
        <w:rPr>
          <w:rFonts w:cstheme="minorHAnsi"/>
          <w:sz w:val="20"/>
          <w:szCs w:val="20"/>
        </w:rPr>
      </w:pPr>
      <w:r w:rsidRPr="001F2CE6">
        <w:rPr>
          <w:rFonts w:ascii="Arial" w:hAnsi="Arial" w:cs="Arial"/>
          <w:b/>
          <w:spacing w:val="-6"/>
        </w:rPr>
        <w:t xml:space="preserve"> </w:t>
      </w:r>
      <w:proofErr w:type="spellStart"/>
      <w:r w:rsidRPr="00E74349">
        <w:rPr>
          <w:rFonts w:cstheme="minorHAnsi"/>
        </w:rPr>
        <w:t>Ardyn</w:t>
      </w:r>
      <w:r w:rsidRPr="00E74349">
        <w:rPr>
          <w:rFonts w:cstheme="minorHAnsi"/>
          <w:spacing w:val="-1"/>
        </w:rPr>
        <w:t>a</w:t>
      </w:r>
      <w:proofErr w:type="spellEnd"/>
      <w:r>
        <w:rPr>
          <w:rFonts w:cstheme="minorHAnsi"/>
          <w:spacing w:val="-1"/>
        </w:rPr>
        <w:t xml:space="preserve"> M.</w:t>
      </w:r>
      <w:r w:rsidRPr="00E74349">
        <w:rPr>
          <w:rFonts w:cstheme="minorHAnsi"/>
        </w:rPr>
        <w:t>,</w:t>
      </w:r>
      <w:r>
        <w:rPr>
          <w:rFonts w:cstheme="minorHAnsi"/>
        </w:rPr>
        <w:t xml:space="preserve"> </w:t>
      </w:r>
      <w:r w:rsidRPr="00E74349">
        <w:rPr>
          <w:rFonts w:cstheme="minorHAnsi"/>
        </w:rPr>
        <w:t>M.</w:t>
      </w:r>
      <w:r w:rsidRPr="00E74349">
        <w:rPr>
          <w:rFonts w:cstheme="minorHAnsi"/>
          <w:spacing w:val="-6"/>
        </w:rPr>
        <w:t xml:space="preserve"> </w:t>
      </w:r>
      <w:proofErr w:type="spellStart"/>
      <w:r w:rsidRPr="00E74349">
        <w:rPr>
          <w:rFonts w:cstheme="minorHAnsi"/>
        </w:rPr>
        <w:t>Babi</w:t>
      </w:r>
      <w:r w:rsidRPr="00E74349">
        <w:rPr>
          <w:rFonts w:cstheme="minorHAnsi"/>
          <w:spacing w:val="-1"/>
        </w:rPr>
        <w:t>n</w:t>
      </w:r>
      <w:proofErr w:type="spellEnd"/>
      <w:r w:rsidRPr="00E74349">
        <w:rPr>
          <w:rFonts w:cstheme="minorHAnsi"/>
        </w:rPr>
        <w:t>,</w:t>
      </w:r>
      <w:r w:rsidRPr="00E74349">
        <w:rPr>
          <w:rFonts w:cstheme="minorHAnsi"/>
          <w:spacing w:val="-6"/>
        </w:rPr>
        <w:t xml:space="preserve"> </w:t>
      </w:r>
      <w:r w:rsidRPr="00E74349">
        <w:rPr>
          <w:rFonts w:cstheme="minorHAnsi"/>
        </w:rPr>
        <w:t>E.</w:t>
      </w:r>
      <w:r w:rsidRPr="00E74349">
        <w:rPr>
          <w:rFonts w:cstheme="minorHAnsi"/>
          <w:spacing w:val="-6"/>
        </w:rPr>
        <w:t xml:space="preserve"> </w:t>
      </w:r>
      <w:proofErr w:type="spellStart"/>
      <w:r w:rsidRPr="00E74349">
        <w:rPr>
          <w:rFonts w:cstheme="minorHAnsi"/>
        </w:rPr>
        <w:t>D</w:t>
      </w:r>
      <w:r w:rsidRPr="00E74349">
        <w:rPr>
          <w:rFonts w:cstheme="minorHAnsi"/>
          <w:spacing w:val="-3"/>
        </w:rPr>
        <w:t>e</w:t>
      </w:r>
      <w:r w:rsidRPr="00E74349">
        <w:rPr>
          <w:rFonts w:cstheme="minorHAnsi"/>
        </w:rPr>
        <w:t>v</w:t>
      </w:r>
      <w:r w:rsidRPr="00E74349">
        <w:rPr>
          <w:rFonts w:cstheme="minorHAnsi"/>
          <w:spacing w:val="-5"/>
        </w:rPr>
        <w:t>r</w:t>
      </w:r>
      <w:r w:rsidRPr="00E74349">
        <w:rPr>
          <w:rFonts w:cstheme="minorHAnsi"/>
        </w:rPr>
        <w:t>e</w:t>
      </w:r>
      <w:r w:rsidRPr="00E74349">
        <w:rPr>
          <w:rFonts w:cstheme="minorHAnsi"/>
          <w:spacing w:val="-1"/>
        </w:rPr>
        <w:t>d</w:t>
      </w:r>
      <w:proofErr w:type="spellEnd"/>
      <w:r w:rsidRPr="00E74349">
        <w:rPr>
          <w:rFonts w:cstheme="minorHAnsi"/>
        </w:rPr>
        <w:t>,</w:t>
      </w:r>
      <w:r w:rsidRPr="00E74349">
        <w:rPr>
          <w:rFonts w:cstheme="minorHAnsi"/>
          <w:spacing w:val="-6"/>
        </w:rPr>
        <w:t xml:space="preserve"> A. Forest</w:t>
      </w:r>
      <w:r w:rsidRPr="00E74349">
        <w:rPr>
          <w:rFonts w:cstheme="minorHAnsi"/>
        </w:rPr>
        <w:t>, E.</w:t>
      </w:r>
      <w:r w:rsidRPr="00E74349">
        <w:rPr>
          <w:rFonts w:cstheme="minorHAnsi"/>
          <w:spacing w:val="-6"/>
        </w:rPr>
        <w:t xml:space="preserve"> </w:t>
      </w:r>
      <w:r w:rsidRPr="00E74349">
        <w:rPr>
          <w:rFonts w:cstheme="minorHAnsi"/>
        </w:rPr>
        <w:t>Reh</w:t>
      </w:r>
      <w:r w:rsidRPr="00E74349">
        <w:rPr>
          <w:rFonts w:cstheme="minorHAnsi"/>
          <w:spacing w:val="-1"/>
        </w:rPr>
        <w:t>m</w:t>
      </w:r>
      <w:r w:rsidRPr="00E74349">
        <w:rPr>
          <w:rFonts w:cstheme="minorHAnsi"/>
        </w:rPr>
        <w:t>,</w:t>
      </w:r>
      <w:r w:rsidRPr="00E74349">
        <w:rPr>
          <w:rFonts w:cstheme="minorHAnsi"/>
          <w:spacing w:val="-6"/>
        </w:rPr>
        <w:t xml:space="preserve"> </w:t>
      </w:r>
      <w:r w:rsidRPr="00E74349">
        <w:rPr>
          <w:rFonts w:cstheme="minorHAnsi"/>
        </w:rPr>
        <w:t>M.</w:t>
      </w:r>
      <w:r w:rsidRPr="00E74349">
        <w:rPr>
          <w:rFonts w:cstheme="minorHAnsi"/>
          <w:spacing w:val="-6"/>
        </w:rPr>
        <w:t xml:space="preserve"> </w:t>
      </w:r>
      <w:proofErr w:type="spellStart"/>
      <w:r w:rsidRPr="00E74349">
        <w:rPr>
          <w:rFonts w:cstheme="minorHAnsi"/>
        </w:rPr>
        <w:t>Ben</w:t>
      </w:r>
      <w:r w:rsidRPr="00E74349">
        <w:rPr>
          <w:rFonts w:cstheme="minorHAnsi"/>
          <w:spacing w:val="-7"/>
        </w:rPr>
        <w:t>o</w:t>
      </w:r>
      <w:r w:rsidRPr="00E74349">
        <w:rPr>
          <w:rFonts w:cstheme="minorHAnsi"/>
          <w:spacing w:val="-62"/>
        </w:rPr>
        <w:t>ˆ</w:t>
      </w:r>
      <w:r w:rsidRPr="00E74349">
        <w:rPr>
          <w:rFonts w:cstheme="minorHAnsi"/>
        </w:rPr>
        <w:t>ıt-Gag</w:t>
      </w:r>
      <w:r w:rsidRPr="00E74349">
        <w:rPr>
          <w:rFonts w:cstheme="minorHAnsi"/>
          <w:spacing w:val="-1"/>
        </w:rPr>
        <w:t>n</w:t>
      </w:r>
      <w:r w:rsidRPr="00E74349">
        <w:rPr>
          <w:rFonts w:cstheme="minorHAnsi"/>
          <w:spacing w:val="-79"/>
        </w:rPr>
        <w:t>e</w:t>
      </w:r>
      <w:proofErr w:type="spellEnd"/>
      <w:r w:rsidRPr="00E74349">
        <w:rPr>
          <w:rFonts w:cstheme="minorHAnsi"/>
          <w:spacing w:val="11"/>
        </w:rPr>
        <w:t>´</w:t>
      </w:r>
      <w:r w:rsidRPr="00E74349">
        <w:rPr>
          <w:rFonts w:cstheme="minorHAnsi"/>
          <w:spacing w:val="-6"/>
        </w:rPr>
        <w:t xml:space="preserve">, </w:t>
      </w:r>
      <w:r w:rsidRPr="00E74349">
        <w:rPr>
          <w:rFonts w:cstheme="minorHAnsi"/>
        </w:rPr>
        <w:t>M.</w:t>
      </w:r>
      <w:r w:rsidRPr="00E74349">
        <w:rPr>
          <w:rFonts w:cstheme="minorHAnsi"/>
          <w:spacing w:val="-6"/>
        </w:rPr>
        <w:t xml:space="preserve"> </w:t>
      </w:r>
      <w:r w:rsidRPr="00E74349">
        <w:rPr>
          <w:rFonts w:cstheme="minorHAnsi"/>
        </w:rPr>
        <w:t>Gosseli</w:t>
      </w:r>
      <w:r w:rsidRPr="00E74349">
        <w:rPr>
          <w:rFonts w:cstheme="minorHAnsi"/>
          <w:spacing w:val="-1"/>
        </w:rPr>
        <w:t>n</w:t>
      </w:r>
      <w:r w:rsidRPr="00E74349">
        <w:rPr>
          <w:rFonts w:cstheme="minorHAnsi"/>
        </w:rPr>
        <w:t>,</w:t>
      </w:r>
      <w:r w:rsidRPr="00E74349">
        <w:rPr>
          <w:rFonts w:cstheme="minorHAnsi"/>
          <w:spacing w:val="-6"/>
        </w:rPr>
        <w:t xml:space="preserve"> P. Raimbault </w:t>
      </w:r>
      <w:r w:rsidRPr="00E74349">
        <w:rPr>
          <w:rFonts w:cstheme="minorHAnsi"/>
        </w:rPr>
        <w:t>and</w:t>
      </w:r>
      <w:r w:rsidRPr="00E74349">
        <w:rPr>
          <w:rFonts w:cstheme="minorHAnsi"/>
          <w:spacing w:val="-6"/>
        </w:rPr>
        <w:t xml:space="preserve"> </w:t>
      </w:r>
      <w:proofErr w:type="gramStart"/>
      <w:r w:rsidRPr="00E74349">
        <w:rPr>
          <w:rFonts w:cstheme="minorHAnsi"/>
          <w:spacing w:val="-5"/>
        </w:rPr>
        <w:t>J</w:t>
      </w:r>
      <w:r w:rsidRPr="00E74349">
        <w:rPr>
          <w:rFonts w:cstheme="minorHAnsi"/>
        </w:rPr>
        <w:t>.</w:t>
      </w:r>
      <w:r w:rsidR="00944D9D">
        <w:rPr>
          <w:rFonts w:cstheme="minorHAnsi"/>
          <w:spacing w:val="-101"/>
        </w:rPr>
        <w:t>E</w:t>
      </w:r>
      <w:r w:rsidRPr="00E74349">
        <w:rPr>
          <w:rFonts w:cstheme="minorHAnsi"/>
          <w:spacing w:val="-20"/>
          <w:position w:val="4"/>
        </w:rPr>
        <w:t xml:space="preserve"> </w:t>
      </w:r>
      <w:r w:rsidRPr="00E74349">
        <w:rPr>
          <w:rFonts w:cstheme="minorHAnsi"/>
        </w:rPr>
        <w:t>.</w:t>
      </w:r>
      <w:proofErr w:type="gramEnd"/>
      <w:r w:rsidR="00944D9D">
        <w:rPr>
          <w:rFonts w:cstheme="minorHAnsi"/>
        </w:rPr>
        <w:t xml:space="preserve"> </w:t>
      </w:r>
      <w:r w:rsidRPr="00E74349">
        <w:rPr>
          <w:rFonts w:cstheme="minorHAnsi"/>
          <w:spacing w:val="-16"/>
        </w:rPr>
        <w:t>T</w:t>
      </w:r>
      <w:r w:rsidRPr="00E74349">
        <w:rPr>
          <w:rFonts w:cstheme="minorHAnsi"/>
          <w:spacing w:val="-5"/>
        </w:rPr>
        <w:t>r</w:t>
      </w:r>
      <w:r w:rsidRPr="00E74349">
        <w:rPr>
          <w:rFonts w:cstheme="minorHAnsi"/>
        </w:rPr>
        <w:t>embla</w:t>
      </w:r>
      <w:r w:rsidRPr="00E74349">
        <w:rPr>
          <w:rFonts w:cstheme="minorHAnsi"/>
          <w:spacing w:val="-1"/>
        </w:rPr>
        <w:t>y,2017.</w:t>
      </w:r>
      <w:r w:rsidRPr="00E74349">
        <w:rPr>
          <w:rFonts w:cstheme="minorHAnsi"/>
          <w:position w:val="7"/>
        </w:rPr>
        <w:t xml:space="preserve"> </w:t>
      </w:r>
      <w:r w:rsidRPr="00E74349">
        <w:rPr>
          <w:rFonts w:cstheme="minorHAnsi"/>
          <w:lang w:eastAsia="fr-FR"/>
        </w:rPr>
        <w:t xml:space="preserve">Ecological phytoplankton niches along a shelf-basin gradient in the coastal Arctic ocean (Beaufort Sea). </w:t>
      </w:r>
      <w:proofErr w:type="spellStart"/>
      <w:r w:rsidRPr="00E74349">
        <w:rPr>
          <w:rFonts w:cstheme="minorHAnsi"/>
          <w:lang w:eastAsia="fr-FR"/>
        </w:rPr>
        <w:t>Limonol</w:t>
      </w:r>
      <w:proofErr w:type="spellEnd"/>
      <w:r w:rsidRPr="00E74349">
        <w:rPr>
          <w:rFonts w:cstheme="minorHAnsi"/>
          <w:lang w:eastAsia="fr-FR"/>
        </w:rPr>
        <w:t xml:space="preserve">. </w:t>
      </w:r>
      <w:proofErr w:type="spellStart"/>
      <w:r w:rsidRPr="00E74349">
        <w:rPr>
          <w:rFonts w:cstheme="minorHAnsi"/>
          <w:lang w:eastAsia="fr-FR"/>
        </w:rPr>
        <w:t>Oceanogr</w:t>
      </w:r>
      <w:proofErr w:type="spellEnd"/>
      <w:r w:rsidRPr="00E74349">
        <w:rPr>
          <w:rFonts w:cstheme="minorHAnsi"/>
          <w:lang w:eastAsia="fr-FR"/>
        </w:rPr>
        <w:t xml:space="preserve">. </w:t>
      </w:r>
      <w:proofErr w:type="spellStart"/>
      <w:proofErr w:type="gramStart"/>
      <w:r w:rsidRPr="00E74349">
        <w:rPr>
          <w:rFonts w:cstheme="minorHAnsi"/>
        </w:rPr>
        <w:t>doi</w:t>
      </w:r>
      <w:proofErr w:type="spellEnd"/>
      <w:r w:rsidRPr="00E74349">
        <w:rPr>
          <w:rFonts w:cstheme="minorHAnsi"/>
        </w:rPr>
        <w:t>:</w:t>
      </w:r>
      <w:proofErr w:type="gramEnd"/>
      <w:r w:rsidRPr="00E74349">
        <w:rPr>
          <w:rFonts w:cstheme="minorHAnsi"/>
        </w:rPr>
        <w:t xml:space="preserve"> 10.1002/lno.10554</w:t>
      </w:r>
    </w:p>
    <w:p w14:paraId="01007ED2" w14:textId="77777777" w:rsidR="00E74349" w:rsidRDefault="00E74349" w:rsidP="00013068">
      <w:pPr>
        <w:autoSpaceDE w:val="0"/>
        <w:autoSpaceDN w:val="0"/>
        <w:adjustRightInd w:val="0"/>
        <w:spacing w:after="0" w:line="240" w:lineRule="auto"/>
        <w:jc w:val="both"/>
        <w:rPr>
          <w:rFonts w:cstheme="minorHAnsi"/>
          <w:sz w:val="20"/>
          <w:szCs w:val="20"/>
        </w:rPr>
      </w:pPr>
    </w:p>
    <w:p w14:paraId="5C959830" w14:textId="42CB015F" w:rsidR="00013068" w:rsidRPr="00FA2A7A" w:rsidRDefault="00013068" w:rsidP="00013068">
      <w:pPr>
        <w:autoSpaceDE w:val="0"/>
        <w:autoSpaceDN w:val="0"/>
        <w:adjustRightInd w:val="0"/>
        <w:spacing w:after="0" w:line="240" w:lineRule="auto"/>
        <w:jc w:val="both"/>
        <w:rPr>
          <w:rFonts w:cstheme="minorHAnsi"/>
          <w:sz w:val="20"/>
          <w:szCs w:val="20"/>
        </w:rPr>
      </w:pPr>
      <w:r w:rsidRPr="00FA2A7A">
        <w:rPr>
          <w:rFonts w:cstheme="minorHAnsi"/>
          <w:sz w:val="20"/>
          <w:szCs w:val="20"/>
        </w:rPr>
        <w:t xml:space="preserve">Holmes, R. M., </w:t>
      </w:r>
      <w:proofErr w:type="spellStart"/>
      <w:r w:rsidRPr="00FA2A7A">
        <w:rPr>
          <w:rFonts w:cstheme="minorHAnsi"/>
          <w:sz w:val="20"/>
          <w:szCs w:val="20"/>
        </w:rPr>
        <w:t>Aminot</w:t>
      </w:r>
      <w:proofErr w:type="spellEnd"/>
      <w:r w:rsidRPr="00FA2A7A">
        <w:rPr>
          <w:rFonts w:cstheme="minorHAnsi"/>
          <w:sz w:val="20"/>
          <w:szCs w:val="20"/>
        </w:rPr>
        <w:t xml:space="preserve">, A., </w:t>
      </w:r>
      <w:proofErr w:type="spellStart"/>
      <w:r w:rsidRPr="00FA2A7A">
        <w:rPr>
          <w:rFonts w:cstheme="minorHAnsi"/>
          <w:sz w:val="20"/>
          <w:szCs w:val="20"/>
        </w:rPr>
        <w:t>Kérouel</w:t>
      </w:r>
      <w:proofErr w:type="spellEnd"/>
      <w:r w:rsidRPr="00FA2A7A">
        <w:rPr>
          <w:rFonts w:cstheme="minorHAnsi"/>
          <w:sz w:val="20"/>
          <w:szCs w:val="20"/>
        </w:rPr>
        <w:t>, R., Hooker, B. A., and Peterson, B. J.</w:t>
      </w:r>
      <w:r>
        <w:rPr>
          <w:rFonts w:cstheme="minorHAnsi"/>
          <w:sz w:val="20"/>
          <w:szCs w:val="20"/>
        </w:rPr>
        <w:t>, 1999.</w:t>
      </w:r>
      <w:r w:rsidRPr="00FA2A7A">
        <w:rPr>
          <w:rFonts w:cstheme="minorHAnsi"/>
          <w:sz w:val="20"/>
          <w:szCs w:val="20"/>
        </w:rPr>
        <w:t xml:space="preserve"> A simple and </w:t>
      </w:r>
      <w:proofErr w:type="spellStart"/>
      <w:r w:rsidRPr="00FA2A7A">
        <w:rPr>
          <w:rFonts w:cstheme="minorHAnsi"/>
          <w:sz w:val="20"/>
          <w:szCs w:val="20"/>
        </w:rPr>
        <w:t>precise</w:t>
      </w:r>
      <w:proofErr w:type="spellEnd"/>
      <w:r w:rsidRPr="00FA2A7A">
        <w:rPr>
          <w:rFonts w:cstheme="minorHAnsi"/>
          <w:sz w:val="20"/>
          <w:szCs w:val="20"/>
        </w:rPr>
        <w:t xml:space="preserve"> </w:t>
      </w:r>
      <w:proofErr w:type="spellStart"/>
      <w:r w:rsidRPr="00FA2A7A">
        <w:rPr>
          <w:rFonts w:cstheme="minorHAnsi"/>
          <w:sz w:val="20"/>
          <w:szCs w:val="20"/>
        </w:rPr>
        <w:t>method</w:t>
      </w:r>
      <w:proofErr w:type="spellEnd"/>
      <w:r w:rsidRPr="00FA2A7A">
        <w:rPr>
          <w:rFonts w:cstheme="minorHAnsi"/>
          <w:sz w:val="20"/>
          <w:szCs w:val="20"/>
        </w:rPr>
        <w:t xml:space="preserve"> of </w:t>
      </w:r>
      <w:proofErr w:type="spellStart"/>
      <w:r w:rsidRPr="00FA2A7A">
        <w:rPr>
          <w:rFonts w:cstheme="minorHAnsi"/>
          <w:sz w:val="20"/>
          <w:szCs w:val="20"/>
        </w:rPr>
        <w:t>measuring</w:t>
      </w:r>
      <w:proofErr w:type="spellEnd"/>
      <w:r w:rsidRPr="00FA2A7A">
        <w:rPr>
          <w:rFonts w:cstheme="minorHAnsi"/>
          <w:sz w:val="20"/>
          <w:szCs w:val="20"/>
        </w:rPr>
        <w:t xml:space="preserve"> ammonium in marine and </w:t>
      </w:r>
      <w:proofErr w:type="spellStart"/>
      <w:r w:rsidRPr="00FA2A7A">
        <w:rPr>
          <w:rFonts w:cstheme="minorHAnsi"/>
          <w:sz w:val="20"/>
          <w:szCs w:val="20"/>
        </w:rPr>
        <w:t>freshwater</w:t>
      </w:r>
      <w:proofErr w:type="spellEnd"/>
      <w:r w:rsidRPr="00FA2A7A">
        <w:rPr>
          <w:rFonts w:cstheme="minorHAnsi"/>
          <w:sz w:val="20"/>
          <w:szCs w:val="20"/>
        </w:rPr>
        <w:t xml:space="preserve"> </w:t>
      </w:r>
      <w:proofErr w:type="spellStart"/>
      <w:r w:rsidRPr="00FA2A7A">
        <w:rPr>
          <w:rFonts w:cstheme="minorHAnsi"/>
          <w:sz w:val="20"/>
          <w:szCs w:val="20"/>
        </w:rPr>
        <w:t>ecosytems</w:t>
      </w:r>
      <w:proofErr w:type="spellEnd"/>
      <w:r w:rsidRPr="00FA2A7A">
        <w:rPr>
          <w:rFonts w:cstheme="minorHAnsi"/>
          <w:sz w:val="20"/>
          <w:szCs w:val="20"/>
        </w:rPr>
        <w:t xml:space="preserve">, Can. J. Fish. </w:t>
      </w:r>
      <w:proofErr w:type="spellStart"/>
      <w:r w:rsidRPr="00FA2A7A">
        <w:rPr>
          <w:rFonts w:cstheme="minorHAnsi"/>
          <w:sz w:val="20"/>
          <w:szCs w:val="20"/>
        </w:rPr>
        <w:t>Aquat</w:t>
      </w:r>
      <w:proofErr w:type="spellEnd"/>
      <w:r w:rsidRPr="00FA2A7A">
        <w:rPr>
          <w:rFonts w:cstheme="minorHAnsi"/>
          <w:sz w:val="20"/>
          <w:szCs w:val="20"/>
        </w:rPr>
        <w:t xml:space="preserve">. </w:t>
      </w:r>
      <w:proofErr w:type="spellStart"/>
      <w:r w:rsidRPr="00FA2A7A">
        <w:rPr>
          <w:rFonts w:cstheme="minorHAnsi"/>
          <w:sz w:val="20"/>
          <w:szCs w:val="20"/>
        </w:rPr>
        <w:t>Sci</w:t>
      </w:r>
      <w:proofErr w:type="spellEnd"/>
      <w:r w:rsidRPr="00FA2A7A">
        <w:rPr>
          <w:rFonts w:cstheme="minorHAnsi"/>
          <w:sz w:val="20"/>
          <w:szCs w:val="20"/>
        </w:rPr>
        <w:t>., 56,</w:t>
      </w:r>
    </w:p>
    <w:p w14:paraId="71FC5375" w14:textId="0968BC9C" w:rsidR="00013068" w:rsidRDefault="00013068" w:rsidP="00013068">
      <w:pPr>
        <w:spacing w:after="0" w:line="240" w:lineRule="auto"/>
        <w:jc w:val="both"/>
        <w:rPr>
          <w:rFonts w:cstheme="minorHAnsi"/>
          <w:sz w:val="20"/>
          <w:szCs w:val="20"/>
        </w:rPr>
      </w:pPr>
      <w:r w:rsidRPr="00FA2A7A">
        <w:rPr>
          <w:rFonts w:cstheme="minorHAnsi"/>
          <w:sz w:val="20"/>
          <w:szCs w:val="20"/>
        </w:rPr>
        <w:t>1801–1808.</w:t>
      </w:r>
    </w:p>
    <w:p w14:paraId="0490D1BD" w14:textId="77777777" w:rsidR="00E74349" w:rsidRDefault="00E74349" w:rsidP="009F6057">
      <w:pPr>
        <w:autoSpaceDE w:val="0"/>
        <w:autoSpaceDN w:val="0"/>
        <w:adjustRightInd w:val="0"/>
        <w:spacing w:after="0" w:line="240" w:lineRule="auto"/>
        <w:jc w:val="both"/>
        <w:rPr>
          <w:rFonts w:cstheme="minorHAnsi"/>
          <w:bCs/>
        </w:rPr>
      </w:pPr>
    </w:p>
    <w:p w14:paraId="775F0F4B" w14:textId="198E5648" w:rsidR="009F6057" w:rsidRPr="005730F1" w:rsidRDefault="009F6057" w:rsidP="009F6057">
      <w:pPr>
        <w:autoSpaceDE w:val="0"/>
        <w:autoSpaceDN w:val="0"/>
        <w:adjustRightInd w:val="0"/>
        <w:spacing w:after="0" w:line="240" w:lineRule="auto"/>
        <w:jc w:val="both"/>
        <w:rPr>
          <w:rFonts w:cstheme="minorHAnsi"/>
          <w:lang w:val="en-US"/>
        </w:rPr>
      </w:pPr>
      <w:r w:rsidRPr="005730F1">
        <w:rPr>
          <w:rFonts w:cstheme="minorHAnsi"/>
          <w:bCs/>
        </w:rPr>
        <w:t xml:space="preserve">Le </w:t>
      </w:r>
      <w:proofErr w:type="spellStart"/>
      <w:r w:rsidRPr="005730F1">
        <w:rPr>
          <w:rFonts w:cstheme="minorHAnsi"/>
          <w:bCs/>
        </w:rPr>
        <w:t>Fouest</w:t>
      </w:r>
      <w:proofErr w:type="spellEnd"/>
      <w:r w:rsidRPr="005730F1">
        <w:rPr>
          <w:rFonts w:cstheme="minorHAnsi"/>
          <w:bCs/>
        </w:rPr>
        <w:t xml:space="preserve"> V.</w:t>
      </w:r>
      <w:r w:rsidRPr="005730F1">
        <w:rPr>
          <w:rFonts w:cstheme="minorHAnsi"/>
          <w:bCs/>
        </w:rPr>
        <w:t xml:space="preserve">, B. </w:t>
      </w:r>
      <w:proofErr w:type="spellStart"/>
      <w:r w:rsidRPr="005730F1">
        <w:rPr>
          <w:rFonts w:cstheme="minorHAnsi"/>
          <w:bCs/>
        </w:rPr>
        <w:t>Zakardjian</w:t>
      </w:r>
      <w:proofErr w:type="spellEnd"/>
      <w:r w:rsidRPr="005730F1">
        <w:rPr>
          <w:rFonts w:cstheme="minorHAnsi"/>
          <w:bCs/>
        </w:rPr>
        <w:t>, H. Xie, P. Raimbault, F. Joux, and M. Babin</w:t>
      </w:r>
      <w:r w:rsidRPr="005730F1">
        <w:rPr>
          <w:rFonts w:cstheme="minorHAnsi"/>
        </w:rPr>
        <w:t>, 2012.</w:t>
      </w:r>
      <w:r w:rsidRPr="005730F1">
        <w:rPr>
          <w:rFonts w:cstheme="minorHAnsi"/>
          <w:bCs/>
        </w:rPr>
        <w:t xml:space="preserve"> </w:t>
      </w:r>
      <w:r w:rsidRPr="005730F1">
        <w:rPr>
          <w:rFonts w:cstheme="minorHAnsi"/>
          <w:bCs/>
          <w:lang w:val="en-US"/>
        </w:rPr>
        <w:t xml:space="preserve">Modeling plankton ecosystem functioning and nitrogen fluxe3 in the oligotrophic waters of the Beaufort Sea, Arctic Ocean: a focus on light-driven processes. </w:t>
      </w:r>
      <w:proofErr w:type="spellStart"/>
      <w:r w:rsidRPr="005730F1">
        <w:rPr>
          <w:rFonts w:cstheme="minorHAnsi"/>
        </w:rPr>
        <w:t>Biogeosciences</w:t>
      </w:r>
      <w:proofErr w:type="spellEnd"/>
      <w:r w:rsidRPr="005730F1">
        <w:rPr>
          <w:rFonts w:cstheme="minorHAnsi"/>
        </w:rPr>
        <w:t xml:space="preserve">, 10, 4785–4800, </w:t>
      </w:r>
      <w:proofErr w:type="gramStart"/>
      <w:r w:rsidRPr="005730F1">
        <w:rPr>
          <w:rFonts w:cstheme="minorHAnsi"/>
        </w:rPr>
        <w:t>doi:</w:t>
      </w:r>
      <w:proofErr w:type="gramEnd"/>
      <w:r w:rsidRPr="005730F1">
        <w:rPr>
          <w:rFonts w:cstheme="minorHAnsi"/>
        </w:rPr>
        <w:t xml:space="preserve">10.5194/bg-10-4785 </w:t>
      </w:r>
    </w:p>
    <w:p w14:paraId="23262F52" w14:textId="77777777" w:rsidR="009F6057" w:rsidRPr="005730F1" w:rsidRDefault="009F6057" w:rsidP="0024307A">
      <w:pPr>
        <w:autoSpaceDE w:val="0"/>
        <w:autoSpaceDN w:val="0"/>
        <w:adjustRightInd w:val="0"/>
        <w:spacing w:after="0" w:line="240" w:lineRule="auto"/>
        <w:rPr>
          <w:rFonts w:cstheme="minorHAnsi"/>
          <w:color w:val="231F20"/>
          <w:sz w:val="18"/>
          <w:szCs w:val="18"/>
        </w:rPr>
      </w:pPr>
    </w:p>
    <w:p w14:paraId="043AD74A" w14:textId="43D7AA64" w:rsidR="005730F1" w:rsidRPr="005730F1" w:rsidRDefault="005730F1" w:rsidP="005730F1">
      <w:pPr>
        <w:spacing w:after="0" w:line="240" w:lineRule="auto"/>
        <w:jc w:val="both"/>
        <w:rPr>
          <w:rFonts w:cstheme="minorHAnsi"/>
          <w:lang w:val="en-GB"/>
        </w:rPr>
      </w:pPr>
      <w:r w:rsidRPr="005730F1">
        <w:rPr>
          <w:rFonts w:cstheme="minorHAnsi"/>
        </w:rPr>
        <w:t xml:space="preserve">Ortega </w:t>
      </w:r>
      <w:proofErr w:type="spellStart"/>
      <w:r w:rsidRPr="005730F1">
        <w:rPr>
          <w:rFonts w:cstheme="minorHAnsi"/>
        </w:rPr>
        <w:t>Retuerta</w:t>
      </w:r>
      <w:proofErr w:type="spellEnd"/>
      <w:r w:rsidRPr="005730F1">
        <w:rPr>
          <w:rFonts w:cstheme="minorHAnsi"/>
        </w:rPr>
        <w:t xml:space="preserve">, E., Jeffrey W.H., Babin M., Bélanger S., Benner R., Marie D., </w:t>
      </w:r>
      <w:proofErr w:type="spellStart"/>
      <w:r w:rsidRPr="005730F1">
        <w:rPr>
          <w:rFonts w:cstheme="minorHAnsi"/>
        </w:rPr>
        <w:t>Matsuoka</w:t>
      </w:r>
      <w:proofErr w:type="spellEnd"/>
      <w:r w:rsidRPr="005730F1">
        <w:rPr>
          <w:rFonts w:cstheme="minorHAnsi"/>
        </w:rPr>
        <w:t xml:space="preserve"> A</w:t>
      </w:r>
      <w:r w:rsidR="00944D9D">
        <w:rPr>
          <w:rFonts w:cstheme="minorHAnsi"/>
        </w:rPr>
        <w:t>.</w:t>
      </w:r>
      <w:r w:rsidRPr="005730F1">
        <w:rPr>
          <w:rFonts w:cstheme="minorHAnsi"/>
        </w:rPr>
        <w:t xml:space="preserve">, </w:t>
      </w:r>
      <w:r w:rsidRPr="005730F1">
        <w:rPr>
          <w:rFonts w:cstheme="minorHAnsi"/>
          <w:bCs/>
        </w:rPr>
        <w:t>Raimbault P</w:t>
      </w:r>
      <w:r w:rsidRPr="005730F1">
        <w:rPr>
          <w:rFonts w:cstheme="minorHAnsi"/>
        </w:rPr>
        <w:t>., Joux F</w:t>
      </w:r>
      <w:r w:rsidR="00944D9D">
        <w:rPr>
          <w:rFonts w:cstheme="minorHAnsi"/>
        </w:rPr>
        <w:t>.</w:t>
      </w:r>
      <w:bookmarkStart w:id="0" w:name="_GoBack"/>
      <w:bookmarkEnd w:id="0"/>
      <w:r w:rsidRPr="005730F1">
        <w:rPr>
          <w:rFonts w:cstheme="minorHAnsi"/>
        </w:rPr>
        <w:t xml:space="preserve">, 2012. </w:t>
      </w:r>
      <w:r w:rsidRPr="005730F1">
        <w:rPr>
          <w:rFonts w:cstheme="minorHAnsi"/>
          <w:lang w:val="en-US"/>
        </w:rPr>
        <w:t xml:space="preserve">On the study of carbon fluxes in the Western Arctic Ocean: Patterns and drivers of bacterial abundance, production and respiration in the coastal Beaufort Sea.  </w:t>
      </w:r>
      <w:proofErr w:type="spellStart"/>
      <w:r w:rsidRPr="005730F1">
        <w:rPr>
          <w:rFonts w:cstheme="minorHAnsi"/>
          <w:lang w:val="en-GB"/>
        </w:rPr>
        <w:t>Biogeoscience</w:t>
      </w:r>
      <w:proofErr w:type="spellEnd"/>
      <w:r w:rsidRPr="005730F1">
        <w:rPr>
          <w:rFonts w:cstheme="minorHAnsi"/>
          <w:lang w:val="en-GB"/>
        </w:rPr>
        <w:t xml:space="preserve">, special issue Malina, </w:t>
      </w:r>
      <w:proofErr w:type="spellStart"/>
      <w:r w:rsidRPr="005730F1">
        <w:rPr>
          <w:rFonts w:cstheme="minorHAnsi"/>
        </w:rPr>
        <w:t>Biogeosciences</w:t>
      </w:r>
      <w:proofErr w:type="spellEnd"/>
      <w:r w:rsidRPr="005730F1">
        <w:rPr>
          <w:rFonts w:cstheme="minorHAnsi"/>
        </w:rPr>
        <w:t>, 9, 3679–3692, doi:10.5194/bg-9-3679</w:t>
      </w:r>
    </w:p>
    <w:p w14:paraId="641E9B82" w14:textId="0540B90D" w:rsidR="0024307A" w:rsidRPr="005730F1" w:rsidRDefault="0024307A" w:rsidP="00013068">
      <w:pPr>
        <w:spacing w:after="0" w:line="240" w:lineRule="auto"/>
        <w:jc w:val="both"/>
        <w:rPr>
          <w:rFonts w:cstheme="minorHAnsi"/>
          <w:sz w:val="20"/>
          <w:szCs w:val="20"/>
        </w:rPr>
      </w:pPr>
    </w:p>
    <w:p w14:paraId="30EA0CE8" w14:textId="62B00D54" w:rsidR="00891886" w:rsidRDefault="00891886" w:rsidP="00013068">
      <w:pPr>
        <w:spacing w:after="0" w:line="240" w:lineRule="auto"/>
        <w:jc w:val="both"/>
        <w:rPr>
          <w:rFonts w:cstheme="minorHAnsi"/>
          <w:sz w:val="20"/>
          <w:szCs w:val="20"/>
        </w:rPr>
      </w:pPr>
      <w:r w:rsidRPr="00FA2A7A">
        <w:rPr>
          <w:rFonts w:cstheme="minorHAnsi"/>
          <w:bCs/>
          <w:sz w:val="20"/>
          <w:szCs w:val="20"/>
          <w:lang w:val="en-US"/>
        </w:rPr>
        <w:t>Raimbault P</w:t>
      </w:r>
      <w:r w:rsidRPr="00FA2A7A">
        <w:rPr>
          <w:rFonts w:cstheme="minorHAnsi"/>
          <w:sz w:val="20"/>
          <w:szCs w:val="20"/>
          <w:lang w:val="en-US"/>
        </w:rPr>
        <w:t xml:space="preserve">., </w:t>
      </w:r>
      <w:proofErr w:type="spellStart"/>
      <w:r w:rsidRPr="00FA2A7A">
        <w:rPr>
          <w:rFonts w:cstheme="minorHAnsi"/>
          <w:sz w:val="20"/>
          <w:szCs w:val="20"/>
          <w:lang w:val="en-US"/>
        </w:rPr>
        <w:t>Slawyk</w:t>
      </w:r>
      <w:proofErr w:type="spellEnd"/>
      <w:r w:rsidRPr="00FA2A7A">
        <w:rPr>
          <w:rFonts w:cstheme="minorHAnsi"/>
          <w:sz w:val="20"/>
          <w:szCs w:val="20"/>
          <w:lang w:val="en-US"/>
        </w:rPr>
        <w:t xml:space="preserve"> G., </w:t>
      </w:r>
      <w:proofErr w:type="spellStart"/>
      <w:r w:rsidRPr="00FA2A7A">
        <w:rPr>
          <w:rFonts w:cstheme="minorHAnsi"/>
          <w:sz w:val="20"/>
          <w:szCs w:val="20"/>
          <w:lang w:val="en-US"/>
        </w:rPr>
        <w:t>Coste</w:t>
      </w:r>
      <w:proofErr w:type="spellEnd"/>
      <w:r w:rsidRPr="00FA2A7A">
        <w:rPr>
          <w:rFonts w:cstheme="minorHAnsi"/>
          <w:sz w:val="20"/>
          <w:szCs w:val="20"/>
          <w:lang w:val="en-US"/>
        </w:rPr>
        <w:t xml:space="preserve"> B., Fry J., </w:t>
      </w:r>
      <w:r w:rsidRPr="00FA2A7A">
        <w:rPr>
          <w:rFonts w:cstheme="minorHAnsi"/>
          <w:bCs/>
          <w:sz w:val="20"/>
          <w:szCs w:val="20"/>
          <w:lang w:val="en-US"/>
        </w:rPr>
        <w:t>1990</w:t>
      </w:r>
      <w:r w:rsidRPr="00FA2A7A">
        <w:rPr>
          <w:rFonts w:cstheme="minorHAnsi"/>
          <w:sz w:val="20"/>
          <w:szCs w:val="20"/>
          <w:lang w:val="en-US"/>
        </w:rPr>
        <w:t xml:space="preserve">. </w:t>
      </w:r>
      <w:r w:rsidRPr="00FA2A7A">
        <w:rPr>
          <w:rFonts w:cstheme="minorHAnsi"/>
          <w:sz w:val="20"/>
          <w:szCs w:val="20"/>
          <w:lang w:val="en-GB"/>
        </w:rPr>
        <w:t xml:space="preserve">Feasibility of using an automated colorimetric procedure for the determination of seawater nitrate in the 0 to 100 </w:t>
      </w:r>
      <w:proofErr w:type="spellStart"/>
      <w:r w:rsidRPr="00FA2A7A">
        <w:rPr>
          <w:rFonts w:cstheme="minorHAnsi"/>
          <w:sz w:val="20"/>
          <w:szCs w:val="20"/>
          <w:lang w:val="en-GB"/>
        </w:rPr>
        <w:t>nM</w:t>
      </w:r>
      <w:proofErr w:type="spellEnd"/>
      <w:r w:rsidRPr="00FA2A7A">
        <w:rPr>
          <w:rFonts w:cstheme="minorHAnsi"/>
          <w:sz w:val="20"/>
          <w:szCs w:val="20"/>
          <w:lang w:val="en-GB"/>
        </w:rPr>
        <w:t xml:space="preserve"> range: Examples from field and culture. </w:t>
      </w:r>
      <w:r w:rsidRPr="00FA2A7A">
        <w:rPr>
          <w:rFonts w:cstheme="minorHAnsi"/>
          <w:i/>
          <w:iCs/>
          <w:sz w:val="20"/>
          <w:szCs w:val="20"/>
        </w:rPr>
        <w:t>Mar. Biol.</w:t>
      </w:r>
      <w:r w:rsidRPr="00FA2A7A">
        <w:rPr>
          <w:rFonts w:cstheme="minorHAnsi"/>
          <w:sz w:val="20"/>
          <w:szCs w:val="20"/>
        </w:rPr>
        <w:t xml:space="preserve">, </w:t>
      </w:r>
      <w:proofErr w:type="gramStart"/>
      <w:r w:rsidRPr="00FA2A7A">
        <w:rPr>
          <w:rFonts w:cstheme="minorHAnsi"/>
          <w:bCs/>
          <w:sz w:val="20"/>
          <w:szCs w:val="20"/>
        </w:rPr>
        <w:t>104</w:t>
      </w:r>
      <w:r w:rsidRPr="00FA2A7A">
        <w:rPr>
          <w:rFonts w:cstheme="minorHAnsi"/>
          <w:sz w:val="20"/>
          <w:szCs w:val="20"/>
        </w:rPr>
        <w:t>:</w:t>
      </w:r>
      <w:proofErr w:type="gramEnd"/>
      <w:r w:rsidRPr="00FA2A7A">
        <w:rPr>
          <w:rFonts w:cstheme="minorHAnsi"/>
          <w:sz w:val="20"/>
          <w:szCs w:val="20"/>
        </w:rPr>
        <w:t xml:space="preserve"> 347-351.</w:t>
      </w:r>
    </w:p>
    <w:p w14:paraId="16FC362C" w14:textId="77777777" w:rsidR="009F6057" w:rsidRPr="00FA2A7A" w:rsidRDefault="009F6057" w:rsidP="00013068">
      <w:pPr>
        <w:spacing w:after="0" w:line="240" w:lineRule="auto"/>
        <w:jc w:val="both"/>
        <w:rPr>
          <w:rFonts w:cstheme="minorHAnsi"/>
          <w:sz w:val="20"/>
          <w:szCs w:val="20"/>
        </w:rPr>
      </w:pPr>
    </w:p>
    <w:p w14:paraId="63916E6D" w14:textId="60382EF3" w:rsidR="00891886" w:rsidRDefault="00891886" w:rsidP="00013068">
      <w:pPr>
        <w:spacing w:after="0" w:line="240" w:lineRule="auto"/>
        <w:jc w:val="both"/>
        <w:rPr>
          <w:rFonts w:cstheme="minorHAnsi"/>
          <w:sz w:val="20"/>
          <w:szCs w:val="20"/>
        </w:rPr>
      </w:pPr>
      <w:r w:rsidRPr="00FA2A7A">
        <w:rPr>
          <w:rFonts w:cstheme="minorHAnsi"/>
          <w:bCs/>
          <w:sz w:val="20"/>
          <w:szCs w:val="20"/>
        </w:rPr>
        <w:t>Raimbault P</w:t>
      </w:r>
      <w:r w:rsidRPr="00FA2A7A">
        <w:rPr>
          <w:rFonts w:cstheme="minorHAnsi"/>
          <w:sz w:val="20"/>
          <w:szCs w:val="20"/>
        </w:rPr>
        <w:t xml:space="preserve">., </w:t>
      </w:r>
      <w:proofErr w:type="spellStart"/>
      <w:r w:rsidRPr="00FA2A7A">
        <w:rPr>
          <w:rFonts w:cstheme="minorHAnsi"/>
          <w:sz w:val="20"/>
          <w:szCs w:val="20"/>
        </w:rPr>
        <w:t>Pouvesle</w:t>
      </w:r>
      <w:proofErr w:type="spellEnd"/>
      <w:r w:rsidRPr="00FA2A7A">
        <w:rPr>
          <w:rFonts w:cstheme="minorHAnsi"/>
          <w:sz w:val="20"/>
          <w:szCs w:val="20"/>
        </w:rPr>
        <w:t xml:space="preserve"> W., </w:t>
      </w:r>
      <w:proofErr w:type="spellStart"/>
      <w:r w:rsidRPr="00FA2A7A">
        <w:rPr>
          <w:rFonts w:cstheme="minorHAnsi"/>
          <w:sz w:val="20"/>
          <w:szCs w:val="20"/>
        </w:rPr>
        <w:t>Sempéré</w:t>
      </w:r>
      <w:proofErr w:type="spellEnd"/>
      <w:r w:rsidRPr="00FA2A7A">
        <w:rPr>
          <w:rFonts w:cstheme="minorHAnsi"/>
          <w:sz w:val="20"/>
          <w:szCs w:val="20"/>
        </w:rPr>
        <w:t xml:space="preserve"> R., Diaz F, Garcia N, 1999a. </w:t>
      </w:r>
      <w:r w:rsidRPr="00FA2A7A">
        <w:rPr>
          <w:rFonts w:cstheme="minorHAnsi"/>
          <w:sz w:val="20"/>
          <w:szCs w:val="20"/>
          <w:lang w:val="en-GB"/>
        </w:rPr>
        <w:t xml:space="preserve">A simple procedure for simultaneous analysis of total and dissolved organic forms of carbon, nitrogen and phosphorus in seawater using the wet-oxidation technic. </w:t>
      </w:r>
      <w:r w:rsidRPr="00FA2A7A">
        <w:rPr>
          <w:rFonts w:cstheme="minorHAnsi"/>
          <w:i/>
          <w:iCs/>
          <w:sz w:val="20"/>
          <w:szCs w:val="20"/>
        </w:rPr>
        <w:t xml:space="preserve">Mar. </w:t>
      </w:r>
      <w:proofErr w:type="spellStart"/>
      <w:r w:rsidRPr="00FA2A7A">
        <w:rPr>
          <w:rFonts w:cstheme="minorHAnsi"/>
          <w:i/>
          <w:iCs/>
          <w:sz w:val="20"/>
          <w:szCs w:val="20"/>
        </w:rPr>
        <w:t>chem</w:t>
      </w:r>
      <w:proofErr w:type="spellEnd"/>
      <w:r w:rsidRPr="00FA2A7A">
        <w:rPr>
          <w:rFonts w:cstheme="minorHAnsi"/>
          <w:sz w:val="20"/>
          <w:szCs w:val="20"/>
        </w:rPr>
        <w:t>., 66 : 161-169</w:t>
      </w:r>
    </w:p>
    <w:p w14:paraId="5746EFA0" w14:textId="77777777" w:rsidR="009F6057" w:rsidRPr="00FA2A7A" w:rsidRDefault="009F6057" w:rsidP="00013068">
      <w:pPr>
        <w:spacing w:after="0" w:line="240" w:lineRule="auto"/>
        <w:jc w:val="both"/>
        <w:rPr>
          <w:rFonts w:cstheme="minorHAnsi"/>
          <w:sz w:val="20"/>
          <w:szCs w:val="20"/>
        </w:rPr>
      </w:pPr>
    </w:p>
    <w:p w14:paraId="47481D98" w14:textId="5763B50D" w:rsidR="00891886" w:rsidRDefault="00891886" w:rsidP="00013068">
      <w:pPr>
        <w:spacing w:after="0" w:line="240" w:lineRule="auto"/>
        <w:jc w:val="both"/>
        <w:rPr>
          <w:rFonts w:cstheme="minorHAnsi"/>
          <w:sz w:val="20"/>
          <w:szCs w:val="20"/>
        </w:rPr>
      </w:pPr>
      <w:r w:rsidRPr="00FA2A7A">
        <w:rPr>
          <w:rFonts w:cstheme="minorHAnsi"/>
          <w:bCs/>
          <w:sz w:val="20"/>
          <w:szCs w:val="20"/>
          <w:lang w:val="en-US"/>
        </w:rPr>
        <w:t>Raimbault P</w:t>
      </w:r>
      <w:r w:rsidRPr="00FA2A7A">
        <w:rPr>
          <w:rFonts w:cstheme="minorHAnsi"/>
          <w:sz w:val="20"/>
          <w:szCs w:val="20"/>
          <w:lang w:val="en-US"/>
        </w:rPr>
        <w:t xml:space="preserve">., </w:t>
      </w:r>
      <w:proofErr w:type="spellStart"/>
      <w:r w:rsidRPr="00FA2A7A">
        <w:rPr>
          <w:rFonts w:cstheme="minorHAnsi"/>
          <w:sz w:val="20"/>
          <w:szCs w:val="20"/>
          <w:lang w:val="en-US"/>
        </w:rPr>
        <w:t>Slawyk</w:t>
      </w:r>
      <w:proofErr w:type="spellEnd"/>
      <w:r w:rsidRPr="00FA2A7A">
        <w:rPr>
          <w:rFonts w:cstheme="minorHAnsi"/>
          <w:sz w:val="20"/>
          <w:szCs w:val="20"/>
          <w:lang w:val="en-US"/>
        </w:rPr>
        <w:t xml:space="preserve"> G., </w:t>
      </w:r>
      <w:proofErr w:type="spellStart"/>
      <w:r w:rsidRPr="00FA2A7A">
        <w:rPr>
          <w:rFonts w:cstheme="minorHAnsi"/>
          <w:sz w:val="20"/>
          <w:szCs w:val="20"/>
          <w:lang w:val="en-US"/>
        </w:rPr>
        <w:t>Boudjellal</w:t>
      </w:r>
      <w:proofErr w:type="spellEnd"/>
      <w:r w:rsidRPr="00FA2A7A">
        <w:rPr>
          <w:rFonts w:cstheme="minorHAnsi"/>
          <w:sz w:val="20"/>
          <w:szCs w:val="20"/>
          <w:lang w:val="en-US"/>
        </w:rPr>
        <w:t xml:space="preserve"> B., </w:t>
      </w:r>
      <w:proofErr w:type="spellStart"/>
      <w:r w:rsidRPr="00FA2A7A">
        <w:rPr>
          <w:rFonts w:cstheme="minorHAnsi"/>
          <w:sz w:val="20"/>
          <w:szCs w:val="20"/>
          <w:lang w:val="en-US"/>
        </w:rPr>
        <w:t>Coatanoan</w:t>
      </w:r>
      <w:proofErr w:type="spellEnd"/>
      <w:r w:rsidRPr="00FA2A7A">
        <w:rPr>
          <w:rFonts w:cstheme="minorHAnsi"/>
          <w:sz w:val="20"/>
          <w:szCs w:val="20"/>
          <w:lang w:val="en-US"/>
        </w:rPr>
        <w:t xml:space="preserve"> C., Conan P., </w:t>
      </w:r>
      <w:proofErr w:type="spellStart"/>
      <w:r w:rsidRPr="00FA2A7A">
        <w:rPr>
          <w:rFonts w:cstheme="minorHAnsi"/>
          <w:sz w:val="20"/>
          <w:szCs w:val="20"/>
          <w:lang w:val="en-US"/>
        </w:rPr>
        <w:t>Coste</w:t>
      </w:r>
      <w:proofErr w:type="spellEnd"/>
      <w:r w:rsidRPr="00FA2A7A">
        <w:rPr>
          <w:rFonts w:cstheme="minorHAnsi"/>
          <w:sz w:val="20"/>
          <w:szCs w:val="20"/>
          <w:lang w:val="en-US"/>
        </w:rPr>
        <w:t xml:space="preserve"> B., Garcia N., </w:t>
      </w:r>
      <w:proofErr w:type="spellStart"/>
      <w:r w:rsidRPr="00FA2A7A">
        <w:rPr>
          <w:rFonts w:cstheme="minorHAnsi"/>
          <w:sz w:val="20"/>
          <w:szCs w:val="20"/>
          <w:lang w:val="en-US"/>
        </w:rPr>
        <w:t>Moutin</w:t>
      </w:r>
      <w:proofErr w:type="spellEnd"/>
      <w:r w:rsidRPr="00FA2A7A">
        <w:rPr>
          <w:rFonts w:cstheme="minorHAnsi"/>
          <w:sz w:val="20"/>
          <w:szCs w:val="20"/>
          <w:lang w:val="en-US"/>
        </w:rPr>
        <w:t xml:space="preserve"> T., </w:t>
      </w:r>
      <w:proofErr w:type="spellStart"/>
      <w:r w:rsidRPr="00FA2A7A">
        <w:rPr>
          <w:rFonts w:cstheme="minorHAnsi"/>
          <w:sz w:val="20"/>
          <w:szCs w:val="20"/>
          <w:lang w:val="en-US"/>
        </w:rPr>
        <w:t>Pujo</w:t>
      </w:r>
      <w:proofErr w:type="spellEnd"/>
      <w:r w:rsidRPr="00FA2A7A">
        <w:rPr>
          <w:rFonts w:cstheme="minorHAnsi"/>
          <w:sz w:val="20"/>
          <w:szCs w:val="20"/>
          <w:lang w:val="en-US"/>
        </w:rPr>
        <w:t xml:space="preserve">-Pay M., 1999b. </w:t>
      </w:r>
      <w:r w:rsidRPr="00FA2A7A">
        <w:rPr>
          <w:rFonts w:cstheme="minorHAnsi"/>
          <w:sz w:val="20"/>
          <w:szCs w:val="20"/>
          <w:lang w:val="en-GB"/>
        </w:rPr>
        <w:t xml:space="preserve">Biomass, new production and export in the equatorial Pacific at 150°W: Evidence for intense nitrogen recycling. </w:t>
      </w:r>
      <w:r w:rsidRPr="00FA2A7A">
        <w:rPr>
          <w:rFonts w:cstheme="minorHAnsi"/>
          <w:i/>
          <w:iCs/>
          <w:sz w:val="20"/>
          <w:szCs w:val="20"/>
        </w:rPr>
        <w:t xml:space="preserve">J. </w:t>
      </w:r>
      <w:proofErr w:type="spellStart"/>
      <w:r w:rsidRPr="00FA2A7A">
        <w:rPr>
          <w:rFonts w:cstheme="minorHAnsi"/>
          <w:i/>
          <w:iCs/>
          <w:sz w:val="20"/>
          <w:szCs w:val="20"/>
        </w:rPr>
        <w:t>Geophys</w:t>
      </w:r>
      <w:proofErr w:type="spellEnd"/>
      <w:r w:rsidRPr="00FA2A7A">
        <w:rPr>
          <w:rFonts w:cstheme="minorHAnsi"/>
          <w:i/>
          <w:iCs/>
          <w:sz w:val="20"/>
          <w:szCs w:val="20"/>
        </w:rPr>
        <w:t xml:space="preserve">. </w:t>
      </w:r>
      <w:proofErr w:type="spellStart"/>
      <w:r w:rsidRPr="00FA2A7A">
        <w:rPr>
          <w:rFonts w:cstheme="minorHAnsi"/>
          <w:i/>
          <w:iCs/>
          <w:sz w:val="20"/>
          <w:szCs w:val="20"/>
        </w:rPr>
        <w:t>Res</w:t>
      </w:r>
      <w:proofErr w:type="spellEnd"/>
      <w:r w:rsidRPr="00FA2A7A">
        <w:rPr>
          <w:rFonts w:cstheme="minorHAnsi"/>
          <w:i/>
          <w:iCs/>
          <w:sz w:val="20"/>
          <w:szCs w:val="20"/>
        </w:rPr>
        <w:t>.</w:t>
      </w:r>
      <w:r w:rsidRPr="00FA2A7A">
        <w:rPr>
          <w:rFonts w:cstheme="minorHAnsi"/>
          <w:sz w:val="20"/>
          <w:szCs w:val="20"/>
        </w:rPr>
        <w:t xml:space="preserve"> 104, 3341-3356</w:t>
      </w:r>
    </w:p>
    <w:p w14:paraId="27258B17" w14:textId="77777777" w:rsidR="009F6057" w:rsidRPr="00FA2A7A" w:rsidRDefault="009F6057" w:rsidP="00013068">
      <w:pPr>
        <w:spacing w:after="0" w:line="240" w:lineRule="auto"/>
        <w:jc w:val="both"/>
        <w:rPr>
          <w:rFonts w:cstheme="minorHAnsi"/>
          <w:sz w:val="20"/>
          <w:szCs w:val="20"/>
        </w:rPr>
      </w:pPr>
    </w:p>
    <w:p w14:paraId="0A3A5F69" w14:textId="6655C340" w:rsidR="00891886" w:rsidRDefault="00891886" w:rsidP="00013068">
      <w:pPr>
        <w:spacing w:after="0" w:line="240" w:lineRule="auto"/>
        <w:jc w:val="both"/>
        <w:rPr>
          <w:rStyle w:val="pbtocpages"/>
          <w:rFonts w:cstheme="minorHAnsi"/>
          <w:sz w:val="20"/>
          <w:szCs w:val="20"/>
          <w:lang w:val="en-GB"/>
        </w:rPr>
      </w:pPr>
      <w:r w:rsidRPr="00FA2A7A">
        <w:rPr>
          <w:rFonts w:cstheme="minorHAnsi"/>
          <w:bCs/>
          <w:sz w:val="20"/>
          <w:szCs w:val="20"/>
          <w:lang w:val="en-GB"/>
        </w:rPr>
        <w:t>Raimbault P.</w:t>
      </w:r>
      <w:r w:rsidRPr="00FA2A7A">
        <w:rPr>
          <w:rFonts w:cstheme="minorHAnsi"/>
          <w:sz w:val="20"/>
          <w:szCs w:val="20"/>
          <w:lang w:val="en-GB"/>
        </w:rPr>
        <w:t xml:space="preserve">, N. Garcia 2008. Evidence for efficient regenerated production and dinitrogen fixation in nitrogen-depleted waters of the South Pacific Ocean: Impact on new and export production estimates. </w:t>
      </w:r>
      <w:proofErr w:type="spellStart"/>
      <w:r w:rsidRPr="00FA2A7A">
        <w:rPr>
          <w:rStyle w:val="pbtocpages"/>
          <w:rFonts w:cstheme="minorHAnsi"/>
          <w:sz w:val="20"/>
          <w:szCs w:val="20"/>
          <w:lang w:val="en-GB"/>
        </w:rPr>
        <w:t>Biogeosciences</w:t>
      </w:r>
      <w:proofErr w:type="spellEnd"/>
      <w:r w:rsidRPr="00FA2A7A">
        <w:rPr>
          <w:rStyle w:val="pbtocpages"/>
          <w:rFonts w:cstheme="minorHAnsi"/>
          <w:sz w:val="20"/>
          <w:szCs w:val="20"/>
          <w:lang w:val="en-GB"/>
        </w:rPr>
        <w:t>., 5, 323-338.</w:t>
      </w:r>
    </w:p>
    <w:p w14:paraId="03305C8C" w14:textId="77777777" w:rsidR="009F6057" w:rsidRPr="00FA2A7A" w:rsidRDefault="009F6057" w:rsidP="00013068">
      <w:pPr>
        <w:spacing w:after="0" w:line="240" w:lineRule="auto"/>
        <w:jc w:val="both"/>
        <w:rPr>
          <w:rStyle w:val="pbtocpages"/>
          <w:rFonts w:cstheme="minorHAnsi"/>
          <w:bCs/>
          <w:sz w:val="20"/>
          <w:szCs w:val="20"/>
          <w:lang w:val="en-GB"/>
        </w:rPr>
      </w:pPr>
    </w:p>
    <w:p w14:paraId="56FE3804" w14:textId="77777777" w:rsidR="00013068" w:rsidRPr="00FA2A7A" w:rsidRDefault="00013068" w:rsidP="00013068">
      <w:pPr>
        <w:spacing w:after="0" w:line="240" w:lineRule="auto"/>
        <w:jc w:val="both"/>
        <w:rPr>
          <w:rFonts w:cstheme="minorHAnsi"/>
          <w:sz w:val="20"/>
          <w:szCs w:val="20"/>
          <w:lang w:val="en-US"/>
        </w:rPr>
      </w:pPr>
      <w:r w:rsidRPr="00FA2A7A">
        <w:rPr>
          <w:rFonts w:cstheme="minorHAnsi"/>
          <w:sz w:val="20"/>
          <w:szCs w:val="20"/>
          <w:lang w:val="en-US"/>
        </w:rPr>
        <w:t xml:space="preserve">Tremblay J.E., Raimbault P., Garcia N., </w:t>
      </w:r>
      <w:proofErr w:type="spellStart"/>
      <w:r w:rsidRPr="00FA2A7A">
        <w:rPr>
          <w:rFonts w:cstheme="minorHAnsi"/>
          <w:sz w:val="20"/>
          <w:szCs w:val="20"/>
          <w:lang w:val="en-US"/>
        </w:rPr>
        <w:t>Lansard</w:t>
      </w:r>
      <w:proofErr w:type="spellEnd"/>
      <w:r w:rsidRPr="00FA2A7A">
        <w:rPr>
          <w:rFonts w:cstheme="minorHAnsi"/>
          <w:sz w:val="20"/>
          <w:szCs w:val="20"/>
          <w:lang w:val="en-US"/>
        </w:rPr>
        <w:t xml:space="preserve"> B., </w:t>
      </w:r>
      <w:proofErr w:type="spellStart"/>
      <w:r w:rsidRPr="00FA2A7A">
        <w:rPr>
          <w:rFonts w:cstheme="minorHAnsi"/>
          <w:sz w:val="20"/>
          <w:szCs w:val="20"/>
          <w:lang w:val="en-US"/>
        </w:rPr>
        <w:t>Babin</w:t>
      </w:r>
      <w:proofErr w:type="spellEnd"/>
      <w:r w:rsidRPr="00FA2A7A">
        <w:rPr>
          <w:rFonts w:cstheme="minorHAnsi"/>
          <w:sz w:val="20"/>
          <w:szCs w:val="20"/>
          <w:lang w:val="en-US"/>
        </w:rPr>
        <w:t xml:space="preserve"> M., Gagnon J., 2014. Impact of river discharge, upwelling and vertical mixing on the nutrient loading and productivity of the Canadian Beaufort shelf. </w:t>
      </w:r>
      <w:proofErr w:type="spellStart"/>
      <w:r w:rsidRPr="00FA2A7A">
        <w:rPr>
          <w:rFonts w:cstheme="minorHAnsi"/>
          <w:sz w:val="20"/>
          <w:szCs w:val="20"/>
          <w:lang w:val="en-US"/>
        </w:rPr>
        <w:t>Biogeosciences</w:t>
      </w:r>
      <w:proofErr w:type="spellEnd"/>
      <w:r w:rsidRPr="00FA2A7A">
        <w:rPr>
          <w:rFonts w:cstheme="minorHAnsi"/>
          <w:sz w:val="20"/>
          <w:szCs w:val="20"/>
          <w:lang w:val="en-US"/>
        </w:rPr>
        <w:t xml:space="preserve">, 11, 1-16, </w:t>
      </w:r>
      <w:proofErr w:type="spellStart"/>
      <w:r w:rsidRPr="00FA2A7A">
        <w:rPr>
          <w:rFonts w:cstheme="minorHAnsi"/>
          <w:sz w:val="20"/>
          <w:szCs w:val="20"/>
          <w:lang w:val="en-US"/>
        </w:rPr>
        <w:t>doi</w:t>
      </w:r>
      <w:proofErr w:type="spellEnd"/>
      <w:r w:rsidRPr="00FA2A7A">
        <w:rPr>
          <w:rFonts w:cstheme="minorHAnsi"/>
          <w:sz w:val="20"/>
          <w:szCs w:val="20"/>
          <w:lang w:val="en-US"/>
        </w:rPr>
        <w:t>: 10.5194/bg-11-1-2014.</w:t>
      </w:r>
    </w:p>
    <w:p w14:paraId="34986F9A" w14:textId="2A6BD051" w:rsidR="00013068" w:rsidRDefault="00013068" w:rsidP="00013068">
      <w:pPr>
        <w:spacing w:after="0" w:line="240" w:lineRule="auto"/>
        <w:jc w:val="both"/>
        <w:rPr>
          <w:rFonts w:cstheme="minorHAnsi"/>
          <w:sz w:val="20"/>
          <w:szCs w:val="20"/>
          <w:lang w:val="en-US"/>
        </w:rPr>
      </w:pPr>
    </w:p>
    <w:p w14:paraId="05238D92" w14:textId="3FFABADC" w:rsidR="00975B83" w:rsidRDefault="00975B83" w:rsidP="00013068">
      <w:pPr>
        <w:spacing w:after="0" w:line="240" w:lineRule="auto"/>
        <w:jc w:val="both"/>
        <w:rPr>
          <w:rFonts w:cstheme="minorHAnsi"/>
          <w:sz w:val="20"/>
          <w:szCs w:val="20"/>
          <w:lang w:val="en-US"/>
        </w:rPr>
      </w:pPr>
    </w:p>
    <w:sectPr w:rsidR="00975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dvSTONE-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D79D8"/>
    <w:multiLevelType w:val="multilevel"/>
    <w:tmpl w:val="4B0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821DC"/>
    <w:multiLevelType w:val="multilevel"/>
    <w:tmpl w:val="758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8480A"/>
    <w:multiLevelType w:val="hybridMultilevel"/>
    <w:tmpl w:val="DD50D9D0"/>
    <w:lvl w:ilvl="0" w:tplc="219492F4">
      <w:start w:val="1"/>
      <w:numFmt w:val="decimal"/>
      <w:lvlText w:val="%1."/>
      <w:lvlJc w:val="left"/>
      <w:pPr>
        <w:ind w:left="360" w:hanging="360"/>
      </w:pPr>
      <w:rPr>
        <w:rFonts w:cs="Times New Roman" w:hint="default"/>
        <w:b w:val="0"/>
        <w:bCs w:val="0"/>
        <w:sz w:val="24"/>
        <w:szCs w:val="24"/>
      </w:rPr>
    </w:lvl>
    <w:lvl w:ilvl="1" w:tplc="BC7C61AE">
      <w:start w:val="1"/>
      <w:numFmt w:val="upperRoman"/>
      <w:lvlText w:val="%2."/>
      <w:lvlJc w:val="left"/>
      <w:pPr>
        <w:ind w:left="1942" w:hanging="720"/>
      </w:pPr>
      <w:rPr>
        <w:rFonts w:cs="Times New Roman" w:hint="default"/>
      </w:rPr>
    </w:lvl>
    <w:lvl w:ilvl="2" w:tplc="040C001B" w:tentative="1">
      <w:start w:val="1"/>
      <w:numFmt w:val="lowerRoman"/>
      <w:lvlText w:val="%3."/>
      <w:lvlJc w:val="right"/>
      <w:pPr>
        <w:ind w:left="2302" w:hanging="180"/>
      </w:pPr>
      <w:rPr>
        <w:rFonts w:cs="Times New Roman"/>
      </w:rPr>
    </w:lvl>
    <w:lvl w:ilvl="3" w:tplc="040C000F" w:tentative="1">
      <w:start w:val="1"/>
      <w:numFmt w:val="decimal"/>
      <w:lvlText w:val="%4."/>
      <w:lvlJc w:val="left"/>
      <w:pPr>
        <w:ind w:left="3022" w:hanging="360"/>
      </w:pPr>
      <w:rPr>
        <w:rFonts w:cs="Times New Roman"/>
      </w:rPr>
    </w:lvl>
    <w:lvl w:ilvl="4" w:tplc="040C0019" w:tentative="1">
      <w:start w:val="1"/>
      <w:numFmt w:val="lowerLetter"/>
      <w:lvlText w:val="%5."/>
      <w:lvlJc w:val="left"/>
      <w:pPr>
        <w:ind w:left="3742" w:hanging="360"/>
      </w:pPr>
      <w:rPr>
        <w:rFonts w:cs="Times New Roman"/>
      </w:rPr>
    </w:lvl>
    <w:lvl w:ilvl="5" w:tplc="040C001B" w:tentative="1">
      <w:start w:val="1"/>
      <w:numFmt w:val="lowerRoman"/>
      <w:lvlText w:val="%6."/>
      <w:lvlJc w:val="right"/>
      <w:pPr>
        <w:ind w:left="4462" w:hanging="180"/>
      </w:pPr>
      <w:rPr>
        <w:rFonts w:cs="Times New Roman"/>
      </w:rPr>
    </w:lvl>
    <w:lvl w:ilvl="6" w:tplc="040C000F" w:tentative="1">
      <w:start w:val="1"/>
      <w:numFmt w:val="decimal"/>
      <w:lvlText w:val="%7."/>
      <w:lvlJc w:val="left"/>
      <w:pPr>
        <w:ind w:left="5182" w:hanging="360"/>
      </w:pPr>
      <w:rPr>
        <w:rFonts w:cs="Times New Roman"/>
      </w:rPr>
    </w:lvl>
    <w:lvl w:ilvl="7" w:tplc="040C0019" w:tentative="1">
      <w:start w:val="1"/>
      <w:numFmt w:val="lowerLetter"/>
      <w:lvlText w:val="%8."/>
      <w:lvlJc w:val="left"/>
      <w:pPr>
        <w:ind w:left="5902" w:hanging="360"/>
      </w:pPr>
      <w:rPr>
        <w:rFonts w:cs="Times New Roman"/>
      </w:rPr>
    </w:lvl>
    <w:lvl w:ilvl="8" w:tplc="040C001B" w:tentative="1">
      <w:start w:val="1"/>
      <w:numFmt w:val="lowerRoman"/>
      <w:lvlText w:val="%9."/>
      <w:lvlJc w:val="right"/>
      <w:pPr>
        <w:ind w:left="6622"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04C"/>
    <w:rsid w:val="000036A2"/>
    <w:rsid w:val="00006E16"/>
    <w:rsid w:val="00013068"/>
    <w:rsid w:val="00022B10"/>
    <w:rsid w:val="000346DE"/>
    <w:rsid w:val="00045369"/>
    <w:rsid w:val="00046DBE"/>
    <w:rsid w:val="000719EC"/>
    <w:rsid w:val="00087EDF"/>
    <w:rsid w:val="0009431D"/>
    <w:rsid w:val="000A70B6"/>
    <w:rsid w:val="000B3685"/>
    <w:rsid w:val="000B4AC4"/>
    <w:rsid w:val="000C0C63"/>
    <w:rsid w:val="000C169C"/>
    <w:rsid w:val="000C58EE"/>
    <w:rsid w:val="000D2A96"/>
    <w:rsid w:val="000D6655"/>
    <w:rsid w:val="000E207D"/>
    <w:rsid w:val="00111043"/>
    <w:rsid w:val="00116F8B"/>
    <w:rsid w:val="00144B31"/>
    <w:rsid w:val="00161AD1"/>
    <w:rsid w:val="001728AD"/>
    <w:rsid w:val="0017430C"/>
    <w:rsid w:val="00174C6F"/>
    <w:rsid w:val="00192FDB"/>
    <w:rsid w:val="001B236B"/>
    <w:rsid w:val="001D4EBB"/>
    <w:rsid w:val="001E2DC0"/>
    <w:rsid w:val="001E5A9D"/>
    <w:rsid w:val="001F5AE2"/>
    <w:rsid w:val="0024307A"/>
    <w:rsid w:val="00243F34"/>
    <w:rsid w:val="0025558E"/>
    <w:rsid w:val="00260C44"/>
    <w:rsid w:val="00262029"/>
    <w:rsid w:val="002655C4"/>
    <w:rsid w:val="00270A24"/>
    <w:rsid w:val="00276B16"/>
    <w:rsid w:val="00276C8C"/>
    <w:rsid w:val="0028776D"/>
    <w:rsid w:val="00292510"/>
    <w:rsid w:val="002C1D1F"/>
    <w:rsid w:val="002C4458"/>
    <w:rsid w:val="002C47BA"/>
    <w:rsid w:val="002E53DF"/>
    <w:rsid w:val="002E5851"/>
    <w:rsid w:val="002F347D"/>
    <w:rsid w:val="003008DB"/>
    <w:rsid w:val="00315117"/>
    <w:rsid w:val="00316243"/>
    <w:rsid w:val="00320522"/>
    <w:rsid w:val="00335B70"/>
    <w:rsid w:val="00342F23"/>
    <w:rsid w:val="00343FFF"/>
    <w:rsid w:val="00347483"/>
    <w:rsid w:val="00353371"/>
    <w:rsid w:val="003807AE"/>
    <w:rsid w:val="003871C0"/>
    <w:rsid w:val="00394647"/>
    <w:rsid w:val="003C28BB"/>
    <w:rsid w:val="003F6804"/>
    <w:rsid w:val="00410A57"/>
    <w:rsid w:val="00427519"/>
    <w:rsid w:val="004364E8"/>
    <w:rsid w:val="00453AC2"/>
    <w:rsid w:val="0045622C"/>
    <w:rsid w:val="00462EF6"/>
    <w:rsid w:val="0048679F"/>
    <w:rsid w:val="00487F4C"/>
    <w:rsid w:val="0049010F"/>
    <w:rsid w:val="004922C4"/>
    <w:rsid w:val="00497651"/>
    <w:rsid w:val="004A3D6D"/>
    <w:rsid w:val="004D273A"/>
    <w:rsid w:val="004D4154"/>
    <w:rsid w:val="004D685A"/>
    <w:rsid w:val="004E385B"/>
    <w:rsid w:val="00527FF1"/>
    <w:rsid w:val="0053524B"/>
    <w:rsid w:val="00536DF9"/>
    <w:rsid w:val="00542E29"/>
    <w:rsid w:val="00543AE6"/>
    <w:rsid w:val="005453D7"/>
    <w:rsid w:val="00562ACA"/>
    <w:rsid w:val="0056324A"/>
    <w:rsid w:val="00564C1D"/>
    <w:rsid w:val="005710A3"/>
    <w:rsid w:val="005730F1"/>
    <w:rsid w:val="00581360"/>
    <w:rsid w:val="00583806"/>
    <w:rsid w:val="00586013"/>
    <w:rsid w:val="0059396D"/>
    <w:rsid w:val="005C07E9"/>
    <w:rsid w:val="005C098C"/>
    <w:rsid w:val="005C632E"/>
    <w:rsid w:val="005D0EAE"/>
    <w:rsid w:val="005D23CB"/>
    <w:rsid w:val="005E7BBC"/>
    <w:rsid w:val="005F0B12"/>
    <w:rsid w:val="00604D82"/>
    <w:rsid w:val="006325A8"/>
    <w:rsid w:val="00633432"/>
    <w:rsid w:val="00636B0F"/>
    <w:rsid w:val="00641369"/>
    <w:rsid w:val="006417FC"/>
    <w:rsid w:val="00646A72"/>
    <w:rsid w:val="006666CD"/>
    <w:rsid w:val="00667E6D"/>
    <w:rsid w:val="00681B11"/>
    <w:rsid w:val="0068272C"/>
    <w:rsid w:val="006851EC"/>
    <w:rsid w:val="00691297"/>
    <w:rsid w:val="006962A3"/>
    <w:rsid w:val="006B2708"/>
    <w:rsid w:val="006C0EFA"/>
    <w:rsid w:val="006C4499"/>
    <w:rsid w:val="006C6585"/>
    <w:rsid w:val="006D25B6"/>
    <w:rsid w:val="006D5FB8"/>
    <w:rsid w:val="006E51CE"/>
    <w:rsid w:val="006F1EB5"/>
    <w:rsid w:val="00700DD8"/>
    <w:rsid w:val="00713B35"/>
    <w:rsid w:val="00714144"/>
    <w:rsid w:val="00722E5B"/>
    <w:rsid w:val="007233CE"/>
    <w:rsid w:val="00737FFB"/>
    <w:rsid w:val="0074110D"/>
    <w:rsid w:val="007442A2"/>
    <w:rsid w:val="00754994"/>
    <w:rsid w:val="00756D3E"/>
    <w:rsid w:val="00762BAD"/>
    <w:rsid w:val="0076717F"/>
    <w:rsid w:val="007723D6"/>
    <w:rsid w:val="00775AB3"/>
    <w:rsid w:val="00781704"/>
    <w:rsid w:val="007823F0"/>
    <w:rsid w:val="00782512"/>
    <w:rsid w:val="007858FA"/>
    <w:rsid w:val="00790706"/>
    <w:rsid w:val="00793FD7"/>
    <w:rsid w:val="00794230"/>
    <w:rsid w:val="007A6187"/>
    <w:rsid w:val="007A6F0A"/>
    <w:rsid w:val="007A7F23"/>
    <w:rsid w:val="007C1FF5"/>
    <w:rsid w:val="007C580C"/>
    <w:rsid w:val="007F1553"/>
    <w:rsid w:val="007F17C4"/>
    <w:rsid w:val="007F1AF7"/>
    <w:rsid w:val="007F6627"/>
    <w:rsid w:val="00803E19"/>
    <w:rsid w:val="00804D23"/>
    <w:rsid w:val="0081258E"/>
    <w:rsid w:val="00825CC8"/>
    <w:rsid w:val="00831B3B"/>
    <w:rsid w:val="008339A3"/>
    <w:rsid w:val="00836954"/>
    <w:rsid w:val="00836B14"/>
    <w:rsid w:val="0084484A"/>
    <w:rsid w:val="00861849"/>
    <w:rsid w:val="00867A92"/>
    <w:rsid w:val="008775E5"/>
    <w:rsid w:val="008845D7"/>
    <w:rsid w:val="008856CB"/>
    <w:rsid w:val="00891886"/>
    <w:rsid w:val="00893772"/>
    <w:rsid w:val="00897030"/>
    <w:rsid w:val="008A46CC"/>
    <w:rsid w:val="008B3CCC"/>
    <w:rsid w:val="008B49C2"/>
    <w:rsid w:val="008B670F"/>
    <w:rsid w:val="008D5D88"/>
    <w:rsid w:val="009122A7"/>
    <w:rsid w:val="009144A2"/>
    <w:rsid w:val="00920947"/>
    <w:rsid w:val="009253AA"/>
    <w:rsid w:val="00925DA1"/>
    <w:rsid w:val="009262EE"/>
    <w:rsid w:val="00932BBB"/>
    <w:rsid w:val="00940B93"/>
    <w:rsid w:val="00944D9D"/>
    <w:rsid w:val="009452E3"/>
    <w:rsid w:val="00967AEF"/>
    <w:rsid w:val="00970BE2"/>
    <w:rsid w:val="00975B83"/>
    <w:rsid w:val="00994781"/>
    <w:rsid w:val="009A0189"/>
    <w:rsid w:val="009C194C"/>
    <w:rsid w:val="009D1A2A"/>
    <w:rsid w:val="009D57C4"/>
    <w:rsid w:val="009D6D79"/>
    <w:rsid w:val="009D6E5A"/>
    <w:rsid w:val="009F0BB9"/>
    <w:rsid w:val="009F6057"/>
    <w:rsid w:val="009F6F40"/>
    <w:rsid w:val="00A0262E"/>
    <w:rsid w:val="00A0304C"/>
    <w:rsid w:val="00A30A3D"/>
    <w:rsid w:val="00A33093"/>
    <w:rsid w:val="00A33BCF"/>
    <w:rsid w:val="00A41A8C"/>
    <w:rsid w:val="00A509C6"/>
    <w:rsid w:val="00A731A5"/>
    <w:rsid w:val="00A77041"/>
    <w:rsid w:val="00A77509"/>
    <w:rsid w:val="00A812BD"/>
    <w:rsid w:val="00A823BB"/>
    <w:rsid w:val="00A82C07"/>
    <w:rsid w:val="00A87317"/>
    <w:rsid w:val="00A95660"/>
    <w:rsid w:val="00AC08DA"/>
    <w:rsid w:val="00AD40EB"/>
    <w:rsid w:val="00AE43F2"/>
    <w:rsid w:val="00B11BA8"/>
    <w:rsid w:val="00B20BEF"/>
    <w:rsid w:val="00B328B2"/>
    <w:rsid w:val="00B46600"/>
    <w:rsid w:val="00B50CF0"/>
    <w:rsid w:val="00B51E54"/>
    <w:rsid w:val="00B663FD"/>
    <w:rsid w:val="00B7738C"/>
    <w:rsid w:val="00B8332E"/>
    <w:rsid w:val="00B87781"/>
    <w:rsid w:val="00B878D2"/>
    <w:rsid w:val="00B96C03"/>
    <w:rsid w:val="00BB02D3"/>
    <w:rsid w:val="00BB3601"/>
    <w:rsid w:val="00BB3E72"/>
    <w:rsid w:val="00BB4101"/>
    <w:rsid w:val="00BD0B29"/>
    <w:rsid w:val="00BE14B7"/>
    <w:rsid w:val="00BE20C8"/>
    <w:rsid w:val="00BE4531"/>
    <w:rsid w:val="00BE6DAD"/>
    <w:rsid w:val="00BE755D"/>
    <w:rsid w:val="00BF65FD"/>
    <w:rsid w:val="00C02587"/>
    <w:rsid w:val="00C03CC3"/>
    <w:rsid w:val="00C15C3B"/>
    <w:rsid w:val="00C21C58"/>
    <w:rsid w:val="00C226B6"/>
    <w:rsid w:val="00C2462A"/>
    <w:rsid w:val="00C30E24"/>
    <w:rsid w:val="00C339BD"/>
    <w:rsid w:val="00C46BF4"/>
    <w:rsid w:val="00C475F3"/>
    <w:rsid w:val="00C51B62"/>
    <w:rsid w:val="00C54DC0"/>
    <w:rsid w:val="00C61BE7"/>
    <w:rsid w:val="00C96F4D"/>
    <w:rsid w:val="00CA1525"/>
    <w:rsid w:val="00CA74C1"/>
    <w:rsid w:val="00CB2F88"/>
    <w:rsid w:val="00CB34FA"/>
    <w:rsid w:val="00CB6600"/>
    <w:rsid w:val="00CD29FA"/>
    <w:rsid w:val="00CE5E46"/>
    <w:rsid w:val="00CF3A27"/>
    <w:rsid w:val="00CF3D02"/>
    <w:rsid w:val="00D02A91"/>
    <w:rsid w:val="00D060D3"/>
    <w:rsid w:val="00D35A3D"/>
    <w:rsid w:val="00D423D6"/>
    <w:rsid w:val="00D4593A"/>
    <w:rsid w:val="00D540F3"/>
    <w:rsid w:val="00D556A6"/>
    <w:rsid w:val="00D61198"/>
    <w:rsid w:val="00D61DC5"/>
    <w:rsid w:val="00D641E3"/>
    <w:rsid w:val="00D66E2E"/>
    <w:rsid w:val="00D67C10"/>
    <w:rsid w:val="00D81B52"/>
    <w:rsid w:val="00D93AE0"/>
    <w:rsid w:val="00DA0015"/>
    <w:rsid w:val="00DB4D0B"/>
    <w:rsid w:val="00DB721C"/>
    <w:rsid w:val="00DB7F91"/>
    <w:rsid w:val="00DC27E3"/>
    <w:rsid w:val="00DD2EED"/>
    <w:rsid w:val="00DD3C71"/>
    <w:rsid w:val="00DD43EE"/>
    <w:rsid w:val="00DE659D"/>
    <w:rsid w:val="00E1054A"/>
    <w:rsid w:val="00E13474"/>
    <w:rsid w:val="00E15790"/>
    <w:rsid w:val="00E16BC0"/>
    <w:rsid w:val="00E24B0B"/>
    <w:rsid w:val="00E37ADA"/>
    <w:rsid w:val="00E41EBB"/>
    <w:rsid w:val="00E47C3E"/>
    <w:rsid w:val="00E536F6"/>
    <w:rsid w:val="00E552D6"/>
    <w:rsid w:val="00E57898"/>
    <w:rsid w:val="00E65B43"/>
    <w:rsid w:val="00E67C04"/>
    <w:rsid w:val="00E74349"/>
    <w:rsid w:val="00E83166"/>
    <w:rsid w:val="00E93912"/>
    <w:rsid w:val="00EA1863"/>
    <w:rsid w:val="00EC5376"/>
    <w:rsid w:val="00ED419C"/>
    <w:rsid w:val="00ED5F4B"/>
    <w:rsid w:val="00ED777E"/>
    <w:rsid w:val="00EE0227"/>
    <w:rsid w:val="00EE5907"/>
    <w:rsid w:val="00EF1CB9"/>
    <w:rsid w:val="00F14701"/>
    <w:rsid w:val="00F26ED0"/>
    <w:rsid w:val="00F3256A"/>
    <w:rsid w:val="00F3285A"/>
    <w:rsid w:val="00F4102D"/>
    <w:rsid w:val="00F50F66"/>
    <w:rsid w:val="00F544E4"/>
    <w:rsid w:val="00F56CFA"/>
    <w:rsid w:val="00F57206"/>
    <w:rsid w:val="00F622A5"/>
    <w:rsid w:val="00F701BC"/>
    <w:rsid w:val="00F732AA"/>
    <w:rsid w:val="00F76BDF"/>
    <w:rsid w:val="00F77F03"/>
    <w:rsid w:val="00FA2A7A"/>
    <w:rsid w:val="00FA63BA"/>
    <w:rsid w:val="00FA6E51"/>
    <w:rsid w:val="00FB495D"/>
    <w:rsid w:val="00FB68C7"/>
    <w:rsid w:val="00FC1C55"/>
    <w:rsid w:val="00FD0BB2"/>
    <w:rsid w:val="00FE47AF"/>
    <w:rsid w:val="00FF4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24AD17E"/>
  <w15:chartTrackingRefBased/>
  <w15:docId w15:val="{36C73920-3C75-4B21-AE37-ED37965E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28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semiHidden/>
    <w:rsid w:val="007442A2"/>
    <w:rPr>
      <w:sz w:val="16"/>
      <w:szCs w:val="16"/>
    </w:rPr>
  </w:style>
  <w:style w:type="paragraph" w:styleId="Commentaire">
    <w:name w:val="annotation text"/>
    <w:basedOn w:val="Normal"/>
    <w:link w:val="CommentaireCar"/>
    <w:semiHidden/>
    <w:rsid w:val="007442A2"/>
    <w:pPr>
      <w:spacing w:after="0" w:line="240" w:lineRule="auto"/>
    </w:pPr>
    <w:rPr>
      <w:rFonts w:ascii="Times New Roman" w:eastAsia="Times New Roman" w:hAnsi="Times New Roman" w:cs="Times New Roman"/>
      <w:sz w:val="24"/>
      <w:szCs w:val="24"/>
      <w:lang w:eastAsia="fr-FR"/>
    </w:rPr>
  </w:style>
  <w:style w:type="character" w:customStyle="1" w:styleId="CommentaireCar">
    <w:name w:val="Commentaire Car"/>
    <w:basedOn w:val="Policepardfaut"/>
    <w:link w:val="Commentaire"/>
    <w:semiHidden/>
    <w:rsid w:val="007442A2"/>
    <w:rPr>
      <w:rFonts w:ascii="Times New Roman" w:eastAsia="Times New Roman" w:hAnsi="Times New Roman" w:cs="Times New Roman"/>
      <w:sz w:val="24"/>
      <w:szCs w:val="24"/>
      <w:lang w:eastAsia="fr-FR"/>
    </w:rPr>
  </w:style>
  <w:style w:type="character" w:customStyle="1" w:styleId="A2">
    <w:name w:val="A2"/>
    <w:rsid w:val="007442A2"/>
    <w:rPr>
      <w:color w:val="000000"/>
      <w:sz w:val="20"/>
      <w:szCs w:val="20"/>
    </w:rPr>
  </w:style>
  <w:style w:type="character" w:customStyle="1" w:styleId="A10">
    <w:name w:val="A10"/>
    <w:rsid w:val="007442A2"/>
    <w:rPr>
      <w:i/>
      <w:iCs/>
      <w:color w:val="000000"/>
      <w:sz w:val="11"/>
      <w:szCs w:val="11"/>
    </w:rPr>
  </w:style>
  <w:style w:type="paragraph" w:styleId="Textedebulles">
    <w:name w:val="Balloon Text"/>
    <w:basedOn w:val="Normal"/>
    <w:link w:val="TextedebullesCar"/>
    <w:uiPriority w:val="99"/>
    <w:semiHidden/>
    <w:unhideWhenUsed/>
    <w:rsid w:val="007442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42A2"/>
    <w:rPr>
      <w:rFonts w:ascii="Segoe UI" w:hAnsi="Segoe UI" w:cs="Segoe UI"/>
      <w:sz w:val="18"/>
      <w:szCs w:val="18"/>
    </w:rPr>
  </w:style>
  <w:style w:type="character" w:styleId="Lienhypertexte">
    <w:name w:val="Hyperlink"/>
    <w:basedOn w:val="Policepardfaut"/>
    <w:uiPriority w:val="99"/>
    <w:rsid w:val="00831B3B"/>
    <w:rPr>
      <w:color w:val="0000FF"/>
      <w:u w:val="single"/>
    </w:rPr>
  </w:style>
  <w:style w:type="paragraph" w:customStyle="1" w:styleId="HTMLBody">
    <w:name w:val="HTML Body"/>
    <w:uiPriority w:val="99"/>
    <w:rsid w:val="00831B3B"/>
    <w:pPr>
      <w:spacing w:after="0" w:line="240" w:lineRule="auto"/>
    </w:pPr>
    <w:rPr>
      <w:rFonts w:ascii="Arial" w:eastAsia="Times New Roman" w:hAnsi="Arial" w:cs="Arial"/>
      <w:sz w:val="20"/>
      <w:szCs w:val="20"/>
      <w:lang w:eastAsia="fr-FR"/>
    </w:rPr>
  </w:style>
  <w:style w:type="paragraph" w:styleId="Rvision">
    <w:name w:val="Revision"/>
    <w:hidden/>
    <w:uiPriority w:val="99"/>
    <w:semiHidden/>
    <w:rsid w:val="00CA74C1"/>
    <w:pPr>
      <w:spacing w:after="0" w:line="240" w:lineRule="auto"/>
    </w:pPr>
  </w:style>
  <w:style w:type="character" w:customStyle="1" w:styleId="pbtocpages">
    <w:name w:val="pb_toc_pages"/>
    <w:basedOn w:val="Policepardfaut"/>
    <w:uiPriority w:val="99"/>
    <w:rsid w:val="00891886"/>
    <w:rPr>
      <w:rFonts w:cs="Times New Roman"/>
    </w:rPr>
  </w:style>
  <w:style w:type="paragraph" w:customStyle="1" w:styleId="Heading31">
    <w:name w:val="Heading 31"/>
    <w:basedOn w:val="Normal"/>
    <w:uiPriority w:val="1"/>
    <w:qFormat/>
    <w:rsid w:val="00E74349"/>
    <w:pPr>
      <w:widowControl w:val="0"/>
      <w:spacing w:after="0" w:line="240" w:lineRule="auto"/>
      <w:ind w:left="20"/>
      <w:outlineLvl w:val="3"/>
    </w:pPr>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4121">
      <w:bodyDiv w:val="1"/>
      <w:marLeft w:val="0"/>
      <w:marRight w:val="0"/>
      <w:marTop w:val="0"/>
      <w:marBottom w:val="0"/>
      <w:divBdr>
        <w:top w:val="none" w:sz="0" w:space="0" w:color="auto"/>
        <w:left w:val="none" w:sz="0" w:space="0" w:color="auto"/>
        <w:bottom w:val="none" w:sz="0" w:space="0" w:color="auto"/>
        <w:right w:val="none" w:sz="0" w:space="0" w:color="auto"/>
      </w:divBdr>
    </w:div>
    <w:div w:id="172766174">
      <w:bodyDiv w:val="1"/>
      <w:marLeft w:val="0"/>
      <w:marRight w:val="0"/>
      <w:marTop w:val="0"/>
      <w:marBottom w:val="0"/>
      <w:divBdr>
        <w:top w:val="none" w:sz="0" w:space="0" w:color="auto"/>
        <w:left w:val="none" w:sz="0" w:space="0" w:color="auto"/>
        <w:bottom w:val="none" w:sz="0" w:space="0" w:color="auto"/>
        <w:right w:val="none" w:sz="0" w:space="0" w:color="auto"/>
      </w:divBdr>
    </w:div>
    <w:div w:id="305866742">
      <w:bodyDiv w:val="1"/>
      <w:marLeft w:val="0"/>
      <w:marRight w:val="0"/>
      <w:marTop w:val="0"/>
      <w:marBottom w:val="0"/>
      <w:divBdr>
        <w:top w:val="none" w:sz="0" w:space="0" w:color="auto"/>
        <w:left w:val="none" w:sz="0" w:space="0" w:color="auto"/>
        <w:bottom w:val="none" w:sz="0" w:space="0" w:color="auto"/>
        <w:right w:val="none" w:sz="0" w:space="0" w:color="auto"/>
      </w:divBdr>
    </w:div>
    <w:div w:id="455296256">
      <w:bodyDiv w:val="1"/>
      <w:marLeft w:val="0"/>
      <w:marRight w:val="0"/>
      <w:marTop w:val="0"/>
      <w:marBottom w:val="0"/>
      <w:divBdr>
        <w:top w:val="none" w:sz="0" w:space="0" w:color="auto"/>
        <w:left w:val="none" w:sz="0" w:space="0" w:color="auto"/>
        <w:bottom w:val="none" w:sz="0" w:space="0" w:color="auto"/>
        <w:right w:val="none" w:sz="0" w:space="0" w:color="auto"/>
      </w:divBdr>
    </w:div>
    <w:div w:id="469980277">
      <w:bodyDiv w:val="1"/>
      <w:marLeft w:val="0"/>
      <w:marRight w:val="0"/>
      <w:marTop w:val="0"/>
      <w:marBottom w:val="0"/>
      <w:divBdr>
        <w:top w:val="none" w:sz="0" w:space="0" w:color="auto"/>
        <w:left w:val="none" w:sz="0" w:space="0" w:color="auto"/>
        <w:bottom w:val="none" w:sz="0" w:space="0" w:color="auto"/>
        <w:right w:val="none" w:sz="0" w:space="0" w:color="auto"/>
      </w:divBdr>
    </w:div>
    <w:div w:id="563761546">
      <w:bodyDiv w:val="1"/>
      <w:marLeft w:val="0"/>
      <w:marRight w:val="0"/>
      <w:marTop w:val="0"/>
      <w:marBottom w:val="0"/>
      <w:divBdr>
        <w:top w:val="none" w:sz="0" w:space="0" w:color="auto"/>
        <w:left w:val="none" w:sz="0" w:space="0" w:color="auto"/>
        <w:bottom w:val="none" w:sz="0" w:space="0" w:color="auto"/>
        <w:right w:val="none" w:sz="0" w:space="0" w:color="auto"/>
      </w:divBdr>
    </w:div>
    <w:div w:id="573929675">
      <w:bodyDiv w:val="1"/>
      <w:marLeft w:val="0"/>
      <w:marRight w:val="0"/>
      <w:marTop w:val="0"/>
      <w:marBottom w:val="0"/>
      <w:divBdr>
        <w:top w:val="none" w:sz="0" w:space="0" w:color="auto"/>
        <w:left w:val="none" w:sz="0" w:space="0" w:color="auto"/>
        <w:bottom w:val="none" w:sz="0" w:space="0" w:color="auto"/>
        <w:right w:val="none" w:sz="0" w:space="0" w:color="auto"/>
      </w:divBdr>
    </w:div>
    <w:div w:id="620499709">
      <w:bodyDiv w:val="1"/>
      <w:marLeft w:val="0"/>
      <w:marRight w:val="0"/>
      <w:marTop w:val="0"/>
      <w:marBottom w:val="0"/>
      <w:divBdr>
        <w:top w:val="none" w:sz="0" w:space="0" w:color="auto"/>
        <w:left w:val="none" w:sz="0" w:space="0" w:color="auto"/>
        <w:bottom w:val="none" w:sz="0" w:space="0" w:color="auto"/>
        <w:right w:val="none" w:sz="0" w:space="0" w:color="auto"/>
      </w:divBdr>
    </w:div>
    <w:div w:id="662928666">
      <w:bodyDiv w:val="1"/>
      <w:marLeft w:val="0"/>
      <w:marRight w:val="0"/>
      <w:marTop w:val="0"/>
      <w:marBottom w:val="0"/>
      <w:divBdr>
        <w:top w:val="none" w:sz="0" w:space="0" w:color="auto"/>
        <w:left w:val="none" w:sz="0" w:space="0" w:color="auto"/>
        <w:bottom w:val="none" w:sz="0" w:space="0" w:color="auto"/>
        <w:right w:val="none" w:sz="0" w:space="0" w:color="auto"/>
      </w:divBdr>
    </w:div>
    <w:div w:id="681517083">
      <w:bodyDiv w:val="1"/>
      <w:marLeft w:val="0"/>
      <w:marRight w:val="0"/>
      <w:marTop w:val="0"/>
      <w:marBottom w:val="0"/>
      <w:divBdr>
        <w:top w:val="none" w:sz="0" w:space="0" w:color="auto"/>
        <w:left w:val="none" w:sz="0" w:space="0" w:color="auto"/>
        <w:bottom w:val="none" w:sz="0" w:space="0" w:color="auto"/>
        <w:right w:val="none" w:sz="0" w:space="0" w:color="auto"/>
      </w:divBdr>
    </w:div>
    <w:div w:id="725420020">
      <w:bodyDiv w:val="1"/>
      <w:marLeft w:val="0"/>
      <w:marRight w:val="0"/>
      <w:marTop w:val="0"/>
      <w:marBottom w:val="0"/>
      <w:divBdr>
        <w:top w:val="none" w:sz="0" w:space="0" w:color="auto"/>
        <w:left w:val="none" w:sz="0" w:space="0" w:color="auto"/>
        <w:bottom w:val="none" w:sz="0" w:space="0" w:color="auto"/>
        <w:right w:val="none" w:sz="0" w:space="0" w:color="auto"/>
      </w:divBdr>
    </w:div>
    <w:div w:id="732506749">
      <w:bodyDiv w:val="1"/>
      <w:marLeft w:val="0"/>
      <w:marRight w:val="0"/>
      <w:marTop w:val="0"/>
      <w:marBottom w:val="0"/>
      <w:divBdr>
        <w:top w:val="none" w:sz="0" w:space="0" w:color="auto"/>
        <w:left w:val="none" w:sz="0" w:space="0" w:color="auto"/>
        <w:bottom w:val="none" w:sz="0" w:space="0" w:color="auto"/>
        <w:right w:val="none" w:sz="0" w:space="0" w:color="auto"/>
      </w:divBdr>
    </w:div>
    <w:div w:id="738747329">
      <w:bodyDiv w:val="1"/>
      <w:marLeft w:val="0"/>
      <w:marRight w:val="0"/>
      <w:marTop w:val="0"/>
      <w:marBottom w:val="0"/>
      <w:divBdr>
        <w:top w:val="none" w:sz="0" w:space="0" w:color="auto"/>
        <w:left w:val="none" w:sz="0" w:space="0" w:color="auto"/>
        <w:bottom w:val="none" w:sz="0" w:space="0" w:color="auto"/>
        <w:right w:val="none" w:sz="0" w:space="0" w:color="auto"/>
      </w:divBdr>
    </w:div>
    <w:div w:id="755178174">
      <w:bodyDiv w:val="1"/>
      <w:marLeft w:val="0"/>
      <w:marRight w:val="0"/>
      <w:marTop w:val="0"/>
      <w:marBottom w:val="0"/>
      <w:divBdr>
        <w:top w:val="none" w:sz="0" w:space="0" w:color="auto"/>
        <w:left w:val="none" w:sz="0" w:space="0" w:color="auto"/>
        <w:bottom w:val="none" w:sz="0" w:space="0" w:color="auto"/>
        <w:right w:val="none" w:sz="0" w:space="0" w:color="auto"/>
      </w:divBdr>
    </w:div>
    <w:div w:id="790247812">
      <w:bodyDiv w:val="1"/>
      <w:marLeft w:val="0"/>
      <w:marRight w:val="0"/>
      <w:marTop w:val="0"/>
      <w:marBottom w:val="0"/>
      <w:divBdr>
        <w:top w:val="none" w:sz="0" w:space="0" w:color="auto"/>
        <w:left w:val="none" w:sz="0" w:space="0" w:color="auto"/>
        <w:bottom w:val="none" w:sz="0" w:space="0" w:color="auto"/>
        <w:right w:val="none" w:sz="0" w:space="0" w:color="auto"/>
      </w:divBdr>
    </w:div>
    <w:div w:id="835681657">
      <w:bodyDiv w:val="1"/>
      <w:marLeft w:val="0"/>
      <w:marRight w:val="0"/>
      <w:marTop w:val="0"/>
      <w:marBottom w:val="0"/>
      <w:divBdr>
        <w:top w:val="none" w:sz="0" w:space="0" w:color="auto"/>
        <w:left w:val="none" w:sz="0" w:space="0" w:color="auto"/>
        <w:bottom w:val="none" w:sz="0" w:space="0" w:color="auto"/>
        <w:right w:val="none" w:sz="0" w:space="0" w:color="auto"/>
      </w:divBdr>
    </w:div>
    <w:div w:id="1063718432">
      <w:bodyDiv w:val="1"/>
      <w:marLeft w:val="0"/>
      <w:marRight w:val="0"/>
      <w:marTop w:val="0"/>
      <w:marBottom w:val="0"/>
      <w:divBdr>
        <w:top w:val="none" w:sz="0" w:space="0" w:color="auto"/>
        <w:left w:val="none" w:sz="0" w:space="0" w:color="auto"/>
        <w:bottom w:val="none" w:sz="0" w:space="0" w:color="auto"/>
        <w:right w:val="none" w:sz="0" w:space="0" w:color="auto"/>
      </w:divBdr>
    </w:div>
    <w:div w:id="1134181177">
      <w:bodyDiv w:val="1"/>
      <w:marLeft w:val="0"/>
      <w:marRight w:val="0"/>
      <w:marTop w:val="0"/>
      <w:marBottom w:val="0"/>
      <w:divBdr>
        <w:top w:val="none" w:sz="0" w:space="0" w:color="auto"/>
        <w:left w:val="none" w:sz="0" w:space="0" w:color="auto"/>
        <w:bottom w:val="none" w:sz="0" w:space="0" w:color="auto"/>
        <w:right w:val="none" w:sz="0" w:space="0" w:color="auto"/>
      </w:divBdr>
    </w:div>
    <w:div w:id="1198087439">
      <w:bodyDiv w:val="1"/>
      <w:marLeft w:val="0"/>
      <w:marRight w:val="0"/>
      <w:marTop w:val="0"/>
      <w:marBottom w:val="0"/>
      <w:divBdr>
        <w:top w:val="none" w:sz="0" w:space="0" w:color="auto"/>
        <w:left w:val="none" w:sz="0" w:space="0" w:color="auto"/>
        <w:bottom w:val="none" w:sz="0" w:space="0" w:color="auto"/>
        <w:right w:val="none" w:sz="0" w:space="0" w:color="auto"/>
      </w:divBdr>
    </w:div>
    <w:div w:id="1462963963">
      <w:bodyDiv w:val="1"/>
      <w:marLeft w:val="0"/>
      <w:marRight w:val="0"/>
      <w:marTop w:val="0"/>
      <w:marBottom w:val="0"/>
      <w:divBdr>
        <w:top w:val="none" w:sz="0" w:space="0" w:color="auto"/>
        <w:left w:val="none" w:sz="0" w:space="0" w:color="auto"/>
        <w:bottom w:val="none" w:sz="0" w:space="0" w:color="auto"/>
        <w:right w:val="none" w:sz="0" w:space="0" w:color="auto"/>
      </w:divBdr>
    </w:div>
    <w:div w:id="1590389089">
      <w:bodyDiv w:val="1"/>
      <w:marLeft w:val="0"/>
      <w:marRight w:val="0"/>
      <w:marTop w:val="0"/>
      <w:marBottom w:val="0"/>
      <w:divBdr>
        <w:top w:val="none" w:sz="0" w:space="0" w:color="auto"/>
        <w:left w:val="none" w:sz="0" w:space="0" w:color="auto"/>
        <w:bottom w:val="none" w:sz="0" w:space="0" w:color="auto"/>
        <w:right w:val="none" w:sz="0" w:space="0" w:color="auto"/>
      </w:divBdr>
    </w:div>
    <w:div w:id="1713842941">
      <w:bodyDiv w:val="1"/>
      <w:marLeft w:val="0"/>
      <w:marRight w:val="0"/>
      <w:marTop w:val="0"/>
      <w:marBottom w:val="0"/>
      <w:divBdr>
        <w:top w:val="none" w:sz="0" w:space="0" w:color="auto"/>
        <w:left w:val="none" w:sz="0" w:space="0" w:color="auto"/>
        <w:bottom w:val="none" w:sz="0" w:space="0" w:color="auto"/>
        <w:right w:val="none" w:sz="0" w:space="0" w:color="auto"/>
      </w:divBdr>
    </w:div>
    <w:div w:id="1750492796">
      <w:bodyDiv w:val="1"/>
      <w:marLeft w:val="0"/>
      <w:marRight w:val="0"/>
      <w:marTop w:val="0"/>
      <w:marBottom w:val="0"/>
      <w:divBdr>
        <w:top w:val="none" w:sz="0" w:space="0" w:color="auto"/>
        <w:left w:val="none" w:sz="0" w:space="0" w:color="auto"/>
        <w:bottom w:val="none" w:sz="0" w:space="0" w:color="auto"/>
        <w:right w:val="none" w:sz="0" w:space="0" w:color="auto"/>
      </w:divBdr>
    </w:div>
    <w:div w:id="1753238122">
      <w:bodyDiv w:val="1"/>
      <w:marLeft w:val="0"/>
      <w:marRight w:val="0"/>
      <w:marTop w:val="0"/>
      <w:marBottom w:val="0"/>
      <w:divBdr>
        <w:top w:val="none" w:sz="0" w:space="0" w:color="auto"/>
        <w:left w:val="none" w:sz="0" w:space="0" w:color="auto"/>
        <w:bottom w:val="none" w:sz="0" w:space="0" w:color="auto"/>
        <w:right w:val="none" w:sz="0" w:space="0" w:color="auto"/>
      </w:divBdr>
    </w:div>
    <w:div w:id="1816024890">
      <w:bodyDiv w:val="1"/>
      <w:marLeft w:val="0"/>
      <w:marRight w:val="0"/>
      <w:marTop w:val="0"/>
      <w:marBottom w:val="0"/>
      <w:divBdr>
        <w:top w:val="none" w:sz="0" w:space="0" w:color="auto"/>
        <w:left w:val="none" w:sz="0" w:space="0" w:color="auto"/>
        <w:bottom w:val="none" w:sz="0" w:space="0" w:color="auto"/>
        <w:right w:val="none" w:sz="0" w:space="0" w:color="auto"/>
      </w:divBdr>
    </w:div>
    <w:div w:id="1824539565">
      <w:bodyDiv w:val="1"/>
      <w:marLeft w:val="0"/>
      <w:marRight w:val="0"/>
      <w:marTop w:val="0"/>
      <w:marBottom w:val="0"/>
      <w:divBdr>
        <w:top w:val="none" w:sz="0" w:space="0" w:color="auto"/>
        <w:left w:val="none" w:sz="0" w:space="0" w:color="auto"/>
        <w:bottom w:val="none" w:sz="0" w:space="0" w:color="auto"/>
        <w:right w:val="none" w:sz="0" w:space="0" w:color="auto"/>
      </w:divBdr>
    </w:div>
    <w:div w:id="1978879447">
      <w:bodyDiv w:val="1"/>
      <w:marLeft w:val="0"/>
      <w:marRight w:val="0"/>
      <w:marTop w:val="0"/>
      <w:marBottom w:val="0"/>
      <w:divBdr>
        <w:top w:val="none" w:sz="0" w:space="0" w:color="auto"/>
        <w:left w:val="none" w:sz="0" w:space="0" w:color="auto"/>
        <w:bottom w:val="none" w:sz="0" w:space="0" w:color="auto"/>
        <w:right w:val="none" w:sz="0" w:space="0" w:color="auto"/>
      </w:divBdr>
    </w:div>
    <w:div w:id="2030255916">
      <w:bodyDiv w:val="1"/>
      <w:marLeft w:val="0"/>
      <w:marRight w:val="0"/>
      <w:marTop w:val="0"/>
      <w:marBottom w:val="0"/>
      <w:divBdr>
        <w:top w:val="none" w:sz="0" w:space="0" w:color="auto"/>
        <w:left w:val="none" w:sz="0" w:space="0" w:color="auto"/>
        <w:bottom w:val="none" w:sz="0" w:space="0" w:color="auto"/>
        <w:right w:val="none" w:sz="0" w:space="0" w:color="auto"/>
      </w:divBdr>
    </w:div>
    <w:div w:id="2035645152">
      <w:bodyDiv w:val="1"/>
      <w:marLeft w:val="0"/>
      <w:marRight w:val="0"/>
      <w:marTop w:val="0"/>
      <w:marBottom w:val="0"/>
      <w:divBdr>
        <w:top w:val="none" w:sz="0" w:space="0" w:color="auto"/>
        <w:left w:val="none" w:sz="0" w:space="0" w:color="auto"/>
        <w:bottom w:val="none" w:sz="0" w:space="0" w:color="auto"/>
        <w:right w:val="none" w:sz="0" w:space="0" w:color="auto"/>
      </w:divBdr>
    </w:div>
    <w:div w:id="207627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9EAD-240A-47FD-8043-8787EA18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1583</Words>
  <Characters>8712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raimbault</dc:creator>
  <cp:keywords/>
  <dc:description/>
  <cp:lastModifiedBy>raimbault</cp:lastModifiedBy>
  <cp:revision>11</cp:revision>
  <dcterms:created xsi:type="dcterms:W3CDTF">2020-05-29T06:31:00Z</dcterms:created>
  <dcterms:modified xsi:type="dcterms:W3CDTF">2020-05-29T09:20:00Z</dcterms:modified>
</cp:coreProperties>
</file>