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29A69" w14:textId="7602C894" w:rsidR="00486B2A" w:rsidRPr="0052001D" w:rsidRDefault="00486B2A" w:rsidP="00486B2A">
      <w:pPr>
        <w:pStyle w:val="NormalWeb"/>
        <w:rPr>
          <w:rFonts w:ascii="Aptos" w:hAnsi="Aptos"/>
          <w:b/>
          <w:bCs/>
          <w:sz w:val="36"/>
          <w:szCs w:val="36"/>
        </w:rPr>
      </w:pPr>
      <w:r w:rsidRPr="0052001D">
        <w:rPr>
          <w:rFonts w:ascii="Aptos" w:hAnsi="Aptos"/>
          <w:b/>
          <w:bCs/>
          <w:sz w:val="36"/>
          <w:szCs w:val="36"/>
        </w:rPr>
        <w:t>Normalized Global / Phosphoproteomics Data for Clustering via PCA</w:t>
      </w:r>
    </w:p>
    <w:p w14:paraId="7DBF6181" w14:textId="254987B1" w:rsidR="00486B2A" w:rsidRPr="0052001D" w:rsidRDefault="00486B2A" w:rsidP="00486B2A">
      <w:pPr>
        <w:pStyle w:val="NormalWeb"/>
        <w:rPr>
          <w:rFonts w:ascii="Aptos" w:hAnsi="Aptos"/>
        </w:rPr>
      </w:pPr>
      <w:r w:rsidRPr="0052001D">
        <w:rPr>
          <w:rFonts w:ascii="Aptos" w:hAnsi="Aptos"/>
        </w:rPr>
        <w:t xml:space="preserve">The datasets analyzed in this study included both </w:t>
      </w:r>
      <w:r w:rsidRPr="0052001D">
        <w:rPr>
          <w:rStyle w:val="Strong"/>
          <w:rFonts w:ascii="Aptos" w:eastAsiaTheme="majorEastAsia" w:hAnsi="Aptos"/>
        </w:rPr>
        <w:t>global proteomics</w:t>
      </w:r>
      <w:r w:rsidRPr="0052001D">
        <w:rPr>
          <w:rFonts w:ascii="Aptos" w:hAnsi="Aptos"/>
        </w:rPr>
        <w:t xml:space="preserve"> and </w:t>
      </w:r>
      <w:r w:rsidRPr="0052001D">
        <w:rPr>
          <w:rStyle w:val="Strong"/>
          <w:rFonts w:ascii="Aptos" w:eastAsiaTheme="majorEastAsia" w:hAnsi="Aptos"/>
        </w:rPr>
        <w:t>phosphoproteomics</w:t>
      </w:r>
      <w:r w:rsidRPr="0052001D">
        <w:rPr>
          <w:rFonts w:ascii="Aptos" w:hAnsi="Aptos"/>
        </w:rPr>
        <w:t xml:space="preserve"> measurements collected from two experimental cohorts of cNF (cutaneous neurofibroma) organoid samples. Each cohort comprised multiple tumor specimens derived from different patients.</w:t>
      </w:r>
    </w:p>
    <w:p w14:paraId="320C9477" w14:textId="77777777" w:rsidR="00486B2A" w:rsidRPr="0052001D" w:rsidRDefault="00486B2A" w:rsidP="00486B2A">
      <w:pPr>
        <w:pStyle w:val="NormalWeb"/>
        <w:rPr>
          <w:rFonts w:ascii="Aptos" w:hAnsi="Aptos"/>
        </w:rPr>
      </w:pPr>
      <w:r w:rsidRPr="0052001D">
        <w:rPr>
          <w:rFonts w:ascii="Aptos" w:hAnsi="Aptos"/>
        </w:rPr>
        <w:t>For each dataset (global proteins and phosphosites), raw intensity values were preprocessed to ensure comparability across cohorts:</w:t>
      </w:r>
    </w:p>
    <w:p w14:paraId="27A863C9" w14:textId="77777777" w:rsidR="00486B2A" w:rsidRPr="0052001D" w:rsidRDefault="00486B2A" w:rsidP="00486B2A">
      <w:pPr>
        <w:pStyle w:val="NormalWeb"/>
        <w:numPr>
          <w:ilvl w:val="0"/>
          <w:numId w:val="1"/>
        </w:numPr>
        <w:rPr>
          <w:rFonts w:ascii="Aptos" w:hAnsi="Aptos"/>
        </w:rPr>
      </w:pPr>
      <w:r w:rsidRPr="0052001D">
        <w:rPr>
          <w:rStyle w:val="Strong"/>
          <w:rFonts w:ascii="Aptos" w:eastAsiaTheme="majorEastAsia" w:hAnsi="Aptos"/>
        </w:rPr>
        <w:t>Missing values and zeros:</w:t>
      </w:r>
      <w:r w:rsidRPr="0052001D">
        <w:rPr>
          <w:rFonts w:ascii="Aptos" w:hAnsi="Aptos"/>
        </w:rPr>
        <w:t xml:space="preserve"> Zero measurements were replaced with missing values (NA) to prevent skew during normalization.</w:t>
      </w:r>
    </w:p>
    <w:p w14:paraId="0208E599" w14:textId="77777777" w:rsidR="00486B2A" w:rsidRPr="0052001D" w:rsidRDefault="00486B2A" w:rsidP="00486B2A">
      <w:pPr>
        <w:pStyle w:val="NormalWeb"/>
        <w:numPr>
          <w:ilvl w:val="0"/>
          <w:numId w:val="1"/>
        </w:numPr>
        <w:rPr>
          <w:rFonts w:ascii="Aptos" w:hAnsi="Aptos"/>
        </w:rPr>
      </w:pPr>
      <w:r w:rsidRPr="0052001D">
        <w:rPr>
          <w:rStyle w:val="Strong"/>
          <w:rFonts w:ascii="Aptos" w:eastAsiaTheme="majorEastAsia" w:hAnsi="Aptos"/>
        </w:rPr>
        <w:t>Feature filtering:</w:t>
      </w:r>
      <w:r w:rsidRPr="0052001D">
        <w:rPr>
          <w:rFonts w:ascii="Aptos" w:hAnsi="Aptos"/>
        </w:rPr>
        <w:t xml:space="preserve"> Proteins or phosphosites absent in more than 50% of samples were removed to reduce noise and improve robustness.</w:t>
      </w:r>
    </w:p>
    <w:p w14:paraId="2A5CCE50" w14:textId="563495CC" w:rsidR="00486B2A" w:rsidRPr="0052001D" w:rsidRDefault="00486B2A" w:rsidP="00486B2A">
      <w:pPr>
        <w:pStyle w:val="NormalWeb"/>
        <w:numPr>
          <w:ilvl w:val="0"/>
          <w:numId w:val="1"/>
        </w:numPr>
        <w:rPr>
          <w:rFonts w:ascii="Aptos" w:hAnsi="Aptos"/>
        </w:rPr>
      </w:pPr>
      <w:r w:rsidRPr="0052001D">
        <w:rPr>
          <w:rStyle w:val="Strong"/>
          <w:rFonts w:ascii="Aptos" w:eastAsiaTheme="majorEastAsia" w:hAnsi="Aptos"/>
        </w:rPr>
        <w:t>Normalization:</w:t>
      </w:r>
      <w:r w:rsidRPr="0052001D">
        <w:rPr>
          <w:rFonts w:ascii="Aptos" w:hAnsi="Aptos"/>
        </w:rPr>
        <w:t xml:space="preserve"> Remaining values were log2-transformed with a small offset (to prevent log(0)/undefined) and scaled using a modified z-score (median centering and median absolute deviation scaling). This approach places samples on a common scale while down-weighting outliers.</w:t>
      </w:r>
    </w:p>
    <w:p w14:paraId="4563A197" w14:textId="77777777" w:rsidR="00486B2A" w:rsidRPr="0052001D" w:rsidRDefault="00486B2A" w:rsidP="00486B2A">
      <w:pPr>
        <w:pStyle w:val="NormalWeb"/>
        <w:numPr>
          <w:ilvl w:val="0"/>
          <w:numId w:val="1"/>
        </w:numPr>
        <w:rPr>
          <w:rFonts w:ascii="Aptos" w:hAnsi="Aptos"/>
        </w:rPr>
      </w:pPr>
      <w:r w:rsidRPr="0052001D">
        <w:rPr>
          <w:rStyle w:val="Strong"/>
          <w:rFonts w:ascii="Aptos" w:eastAsiaTheme="majorEastAsia" w:hAnsi="Aptos"/>
        </w:rPr>
        <w:t>Cohort separation:</w:t>
      </w:r>
      <w:r w:rsidRPr="0052001D">
        <w:rPr>
          <w:rFonts w:ascii="Aptos" w:hAnsi="Aptos"/>
        </w:rPr>
        <w:t xml:space="preserve"> Each cohort was processed independently to account for technical differences, then merged into a single combined dataset.</w:t>
      </w:r>
    </w:p>
    <w:p w14:paraId="1A3AF620" w14:textId="5CF3F65D" w:rsidR="00486B2A" w:rsidRPr="0052001D" w:rsidRDefault="00486B2A" w:rsidP="00486B2A">
      <w:pPr>
        <w:pStyle w:val="NormalWeb"/>
        <w:numPr>
          <w:ilvl w:val="0"/>
          <w:numId w:val="1"/>
        </w:numPr>
        <w:rPr>
          <w:rFonts w:ascii="Aptos" w:hAnsi="Aptos"/>
        </w:rPr>
      </w:pPr>
      <w:r w:rsidRPr="0052001D">
        <w:rPr>
          <w:rStyle w:val="Strong"/>
          <w:rFonts w:ascii="Aptos" w:eastAsiaTheme="majorEastAsia" w:hAnsi="Aptos"/>
        </w:rPr>
        <w:t>Batch correction:</w:t>
      </w:r>
      <w:r w:rsidRPr="0052001D">
        <w:rPr>
          <w:rFonts w:ascii="Aptos" w:hAnsi="Aptos"/>
        </w:rPr>
        <w:t xml:space="preserve"> To address systematic differences between cohorts, ComBat (sva R package) was used, producing batch-adjusted abundance matrices for both global proteomics and phosphoproteomics.</w:t>
      </w:r>
    </w:p>
    <w:p w14:paraId="6D583513" w14:textId="533EA4EA" w:rsidR="00486B2A" w:rsidRPr="0052001D" w:rsidRDefault="00486B2A" w:rsidP="00486B2A">
      <w:pPr>
        <w:pStyle w:val="NormalWeb"/>
        <w:spacing w:before="0" w:beforeAutospacing="0" w:after="0" w:afterAutospacing="0"/>
        <w:rPr>
          <w:rFonts w:ascii="Aptos" w:hAnsi="Aptos"/>
        </w:rPr>
      </w:pPr>
      <w:r w:rsidRPr="0052001D">
        <w:rPr>
          <w:rFonts w:ascii="Aptos" w:hAnsi="Aptos"/>
        </w:rPr>
        <w:t xml:space="preserve">The resulting normalized and corrected data provided a harmonized view of protein and phosphosite abundance across all patients and cohorts, enabling joint exploratory analysis such as PCA (Figures: </w:t>
      </w:r>
      <w:r w:rsidRPr="0052001D">
        <w:rPr>
          <w:rStyle w:val="Emphasis"/>
          <w:rFonts w:ascii="Aptos" w:hAnsi="Aptos"/>
        </w:rPr>
        <w:t>phosphoCorrectedPCA.pdf</w:t>
      </w:r>
      <w:r w:rsidRPr="0052001D">
        <w:rPr>
          <w:rFonts w:ascii="Aptos" w:hAnsi="Aptos"/>
        </w:rPr>
        <w:t xml:space="preserve"> and </w:t>
      </w:r>
      <w:r w:rsidRPr="0052001D">
        <w:rPr>
          <w:rStyle w:val="Emphasis"/>
          <w:rFonts w:ascii="Aptos" w:hAnsi="Aptos"/>
        </w:rPr>
        <w:t>globalCorrectedPCA.pdf</w:t>
      </w:r>
      <w:r w:rsidRPr="0052001D">
        <w:rPr>
          <w:rFonts w:ascii="Aptos" w:hAnsi="Aptos"/>
        </w:rPr>
        <w:t>).</w:t>
      </w:r>
    </w:p>
    <w:p w14:paraId="53CA5AFF" w14:textId="77777777" w:rsidR="00486B2A" w:rsidRPr="0052001D" w:rsidRDefault="00486B2A" w:rsidP="00486B2A">
      <w:pPr>
        <w:pStyle w:val="NormalWeb"/>
        <w:spacing w:before="0" w:beforeAutospacing="0" w:after="0" w:afterAutospacing="0"/>
        <w:rPr>
          <w:rFonts w:ascii="Aptos" w:hAnsi="Aptos"/>
        </w:rPr>
      </w:pPr>
    </w:p>
    <w:p w14:paraId="298909CE" w14:textId="7A641A77" w:rsidR="00486B2A" w:rsidRPr="0052001D" w:rsidRDefault="00486B2A" w:rsidP="00486B2A">
      <w:pPr>
        <w:spacing w:after="0" w:line="240" w:lineRule="auto"/>
        <w:outlineLvl w:val="2"/>
        <w:rPr>
          <w:rFonts w:ascii="Aptos" w:eastAsia="Times New Roman" w:hAnsi="Aptos" w:cs="Times New Roman"/>
          <w:b/>
          <w:bCs/>
          <w:kern w:val="0"/>
          <w14:ligatures w14:val="none"/>
        </w:rPr>
      </w:pPr>
      <w:r w:rsidRPr="0052001D">
        <w:rPr>
          <w:rFonts w:ascii="Aptos" w:eastAsia="Times New Roman" w:hAnsi="Aptos" w:cs="Times New Roman"/>
          <w:kern w:val="0"/>
          <w14:ligatures w14:val="none"/>
        </w:rPr>
        <w:t>Figure:</w:t>
      </w:r>
      <w:r w:rsidRPr="0052001D">
        <w:rPr>
          <w:rFonts w:ascii="Aptos" w:eastAsia="Times New Roman" w:hAnsi="Aptos" w:cs="Times New Roman"/>
          <w:b/>
          <w:bCs/>
          <w:kern w:val="0"/>
          <w14:ligatures w14:val="none"/>
        </w:rPr>
        <w:t xml:space="preserve"> phosphoCorrectedPCA.pdf</w:t>
      </w:r>
    </w:p>
    <w:p w14:paraId="7534176C" w14:textId="6F8EB1DC" w:rsidR="00486B2A" w:rsidRPr="0052001D" w:rsidRDefault="00486B2A" w:rsidP="00486B2A">
      <w:pPr>
        <w:spacing w:after="0"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t>This figure shows the results of a principal component analysis (PCA) performed on the phosphoproteomics data after normalization and batch correction using ComBat. Prior to correction, samples clustered primarily by cohort, reflecting a strong batch effect. After adjustment, the major sources of variation correspond more closely to biological factors, such as patient identity and tumor replicate. Each point represents an individual sample, colored by patient and shaped by tumor designation, enabling visualization of patient-specific clustering patterns. The correction substantially reduced separation by cohort, suggesting that technical batch effects were effectively mitigated and that the remaining signal more likely reflects underlying biological differences in phosphoproteome profiles.</w:t>
      </w:r>
    </w:p>
    <w:p w14:paraId="51D847E2" w14:textId="77777777" w:rsidR="00486B2A" w:rsidRPr="0052001D" w:rsidRDefault="00486B2A" w:rsidP="00486B2A">
      <w:pPr>
        <w:spacing w:after="0" w:line="240" w:lineRule="auto"/>
        <w:rPr>
          <w:rFonts w:ascii="Aptos" w:eastAsia="Times New Roman" w:hAnsi="Aptos" w:cs="Times New Roman"/>
          <w:kern w:val="0"/>
          <w14:ligatures w14:val="none"/>
        </w:rPr>
      </w:pPr>
    </w:p>
    <w:p w14:paraId="721FAD25" w14:textId="77777777" w:rsidR="00486B2A" w:rsidRPr="0052001D" w:rsidRDefault="00486B2A" w:rsidP="00486B2A">
      <w:pPr>
        <w:spacing w:after="0" w:line="240" w:lineRule="auto"/>
        <w:outlineLvl w:val="2"/>
        <w:rPr>
          <w:rFonts w:ascii="Aptos" w:eastAsia="Times New Roman" w:hAnsi="Aptos" w:cs="Times New Roman"/>
          <w:b/>
          <w:bCs/>
          <w:kern w:val="0"/>
          <w14:ligatures w14:val="none"/>
        </w:rPr>
      </w:pPr>
      <w:r w:rsidRPr="0052001D">
        <w:rPr>
          <w:rFonts w:ascii="Aptos" w:eastAsia="Times New Roman" w:hAnsi="Aptos" w:cs="Times New Roman"/>
          <w:kern w:val="0"/>
          <w14:ligatures w14:val="none"/>
        </w:rPr>
        <w:t>Figure:</w:t>
      </w:r>
      <w:r w:rsidRPr="0052001D">
        <w:rPr>
          <w:rFonts w:ascii="Aptos" w:eastAsia="Times New Roman" w:hAnsi="Aptos" w:cs="Times New Roman"/>
          <w:b/>
          <w:bCs/>
          <w:kern w:val="0"/>
          <w14:ligatures w14:val="none"/>
        </w:rPr>
        <w:t xml:space="preserve"> globalCorrectedPCA.pdf</w:t>
      </w:r>
    </w:p>
    <w:p w14:paraId="6EBACF09" w14:textId="60ECA916" w:rsidR="00486B2A" w:rsidRPr="0052001D" w:rsidRDefault="00486B2A" w:rsidP="00486B2A">
      <w:pPr>
        <w:spacing w:after="0" w:line="240" w:lineRule="auto"/>
        <w:outlineLvl w:val="2"/>
        <w:rPr>
          <w:rFonts w:ascii="Aptos" w:eastAsia="Times New Roman" w:hAnsi="Aptos" w:cs="Times New Roman"/>
          <w:b/>
          <w:bCs/>
          <w:kern w:val="0"/>
          <w14:ligatures w14:val="none"/>
        </w:rPr>
      </w:pPr>
      <w:r w:rsidRPr="0052001D">
        <w:rPr>
          <w:rFonts w:ascii="Aptos" w:eastAsia="Times New Roman" w:hAnsi="Aptos" w:cs="Times New Roman"/>
          <w:kern w:val="0"/>
          <w14:ligatures w14:val="none"/>
        </w:rPr>
        <w:t xml:space="preserve">This figure presents a PCA of the global proteomics dataset following the same normalization and ComBat batch correction procedure. Similar to the phosphoproteomics </w:t>
      </w:r>
      <w:r w:rsidRPr="0052001D">
        <w:rPr>
          <w:rFonts w:ascii="Aptos" w:eastAsia="Times New Roman" w:hAnsi="Aptos" w:cs="Times New Roman"/>
          <w:kern w:val="0"/>
          <w14:ligatures w14:val="none"/>
        </w:rPr>
        <w:lastRenderedPageBreak/>
        <w:t>analysis, initial clustering was dominated by cohort effects; however, correction aligned the data so that patient identity, rather than cohort, explained the primary axes of variation. Each sample is again colored by patient and shaped by tumor replicate, allowing assessment of within-patient reproducibility and between-patient divergence. The improved alignment indicates that batch effects were successfully minimized, and the corrected data provide a more reliable basis for downstream analyses of patient- and tumor-specific proteomic signatures.</w:t>
      </w:r>
    </w:p>
    <w:p w14:paraId="60EBC6CD" w14:textId="3F58808D" w:rsidR="00B15B7D" w:rsidRPr="0052001D" w:rsidRDefault="004C4A60">
      <w:pPr>
        <w:rPr>
          <w:rFonts w:ascii="Aptos" w:hAnsi="Aptos"/>
        </w:rPr>
      </w:pPr>
      <w:r>
        <w:rPr>
          <w:rFonts w:ascii="Aptos" w:eastAsia="Times New Roman" w:hAnsi="Aptos" w:cs="Times New Roman"/>
          <w:noProof/>
          <w:kern w:val="0"/>
        </w:rPr>
        <w:pict w14:anchorId="1C88875F">
          <v:rect id="_x0000_i1026" alt="" style="width:468pt;height:.05pt;mso-width-percent:0;mso-height-percent:0;mso-width-percent:0;mso-height-percent:0" o:hralign="center" o:hrstd="t" o:hr="t" fillcolor="#a0a0a0" stroked="f"/>
        </w:pict>
      </w:r>
    </w:p>
    <w:p w14:paraId="3ECF9F8C" w14:textId="77777777" w:rsidR="00FD7EC2" w:rsidRPr="0052001D" w:rsidRDefault="00FD7EC2">
      <w:pPr>
        <w:rPr>
          <w:rFonts w:ascii="Aptos" w:hAnsi="Aptos"/>
          <w:b/>
          <w:bCs/>
        </w:rPr>
      </w:pPr>
    </w:p>
    <w:p w14:paraId="0CF31B7E" w14:textId="493C409A" w:rsidR="00486B2A" w:rsidRPr="0052001D" w:rsidRDefault="00486B2A">
      <w:pPr>
        <w:rPr>
          <w:rFonts w:ascii="Aptos" w:hAnsi="Aptos"/>
          <w:b/>
          <w:bCs/>
          <w:sz w:val="36"/>
          <w:szCs w:val="36"/>
        </w:rPr>
      </w:pPr>
      <w:r w:rsidRPr="0052001D">
        <w:rPr>
          <w:rFonts w:ascii="Aptos" w:hAnsi="Aptos"/>
          <w:b/>
          <w:bCs/>
          <w:sz w:val="36"/>
          <w:szCs w:val="36"/>
        </w:rPr>
        <w:t>Biomarker Evaluation using Batch-Corrected Global / Phosphoproteomics Data</w:t>
      </w:r>
    </w:p>
    <w:p w14:paraId="292995D1" w14:textId="77777777" w:rsidR="00486B2A" w:rsidRPr="0097166A" w:rsidRDefault="00486B2A" w:rsidP="00486B2A">
      <w:p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t xml:space="preserve">For this biomarker evaluation analysis, </w:t>
      </w:r>
      <w:r w:rsidRPr="0097166A">
        <w:rPr>
          <w:rFonts w:ascii="Aptos" w:eastAsia="Times New Roman" w:hAnsi="Aptos" w:cs="Times New Roman"/>
          <w:kern w:val="0"/>
          <w14:ligatures w14:val="none"/>
        </w:rPr>
        <w:t>we brought together four different data types collected on the same patient-derived samples:</w:t>
      </w:r>
    </w:p>
    <w:p w14:paraId="3B652CC5" w14:textId="6AD06339" w:rsidR="00486B2A" w:rsidRPr="0097166A" w:rsidRDefault="00486B2A" w:rsidP="00486B2A">
      <w:pPr>
        <w:numPr>
          <w:ilvl w:val="0"/>
          <w:numId w:val="2"/>
        </w:numPr>
        <w:spacing w:before="100" w:beforeAutospacing="1" w:after="100" w:afterAutospacing="1" w:line="240" w:lineRule="auto"/>
        <w:rPr>
          <w:rFonts w:ascii="Aptos" w:eastAsia="Times New Roman" w:hAnsi="Aptos" w:cs="Times New Roman"/>
          <w:kern w:val="0"/>
          <w14:ligatures w14:val="none"/>
        </w:rPr>
      </w:pPr>
      <w:r w:rsidRPr="0097166A">
        <w:rPr>
          <w:rFonts w:ascii="Aptos" w:eastAsia="Times New Roman" w:hAnsi="Aptos" w:cs="Times New Roman"/>
          <w:b/>
          <w:bCs/>
          <w:kern w:val="0"/>
          <w14:ligatures w14:val="none"/>
        </w:rPr>
        <w:t>Drug sensitivity measurements</w:t>
      </w:r>
      <w:r w:rsidRPr="0097166A">
        <w:rPr>
          <w:rFonts w:ascii="Aptos" w:eastAsia="Times New Roman" w:hAnsi="Aptos" w:cs="Times New Roman"/>
          <w:kern w:val="0"/>
          <w14:ligatures w14:val="none"/>
        </w:rPr>
        <w:t xml:space="preserve"> – single-dose viability values (and some full dose–response curves) across a large panel of compounds.</w:t>
      </w:r>
      <w:r w:rsidR="0097166A" w:rsidRPr="0097166A">
        <w:rPr>
          <w:rFonts w:ascii="Aptos" w:hAnsi="Aptos"/>
        </w:rPr>
        <w:t xml:space="preserve"> For drugs with multiple doses enabling curve fitting, dose</w:t>
      </w:r>
      <w:r w:rsidR="0097166A">
        <w:rPr>
          <w:rFonts w:ascii="Aptos" w:hAnsi="Aptos"/>
        </w:rPr>
        <w:t>-</w:t>
      </w:r>
      <w:r w:rsidR="0097166A" w:rsidRPr="0097166A">
        <w:rPr>
          <w:rFonts w:ascii="Aptos" w:hAnsi="Aptos"/>
        </w:rPr>
        <w:t xml:space="preserve">response fit_auc (area under the fitted viability curve; </w:t>
      </w:r>
      <w:r w:rsidR="0097166A">
        <w:rPr>
          <w:rFonts w:ascii="Aptos" w:hAnsi="Aptos"/>
        </w:rPr>
        <w:t>lower AUC</w:t>
      </w:r>
      <w:r w:rsidR="0097166A" w:rsidRPr="0097166A">
        <w:rPr>
          <w:rFonts w:ascii="Aptos" w:hAnsi="Aptos"/>
        </w:rPr>
        <w:t xml:space="preserve"> </w:t>
      </w:r>
      <w:r w:rsidR="0097166A">
        <w:rPr>
          <w:rFonts w:ascii="Aptos" w:hAnsi="Aptos" w:cs="Cambria Math"/>
        </w:rPr>
        <w:t>=</w:t>
      </w:r>
      <w:r w:rsidR="0097166A" w:rsidRPr="0097166A">
        <w:rPr>
          <w:rFonts w:ascii="Aptos" w:hAnsi="Aptos"/>
        </w:rPr>
        <w:t xml:space="preserve"> higher sensitivity) was also analyzed.</w:t>
      </w:r>
    </w:p>
    <w:p w14:paraId="33736419" w14:textId="77777777" w:rsidR="00486B2A" w:rsidRPr="0097166A" w:rsidRDefault="00486B2A" w:rsidP="00486B2A">
      <w:pPr>
        <w:numPr>
          <w:ilvl w:val="0"/>
          <w:numId w:val="2"/>
        </w:numPr>
        <w:spacing w:before="100" w:beforeAutospacing="1" w:after="100" w:afterAutospacing="1" w:line="240" w:lineRule="auto"/>
        <w:rPr>
          <w:rFonts w:ascii="Aptos" w:eastAsia="Times New Roman" w:hAnsi="Aptos" w:cs="Times New Roman"/>
          <w:kern w:val="0"/>
          <w14:ligatures w14:val="none"/>
        </w:rPr>
      </w:pPr>
      <w:r w:rsidRPr="0097166A">
        <w:rPr>
          <w:rFonts w:ascii="Aptos" w:eastAsia="Times New Roman" w:hAnsi="Aptos" w:cs="Times New Roman"/>
          <w:b/>
          <w:bCs/>
          <w:kern w:val="0"/>
          <w14:ligatures w14:val="none"/>
        </w:rPr>
        <w:t>RNA sequencing</w:t>
      </w:r>
      <w:r w:rsidRPr="0097166A">
        <w:rPr>
          <w:rFonts w:ascii="Aptos" w:eastAsia="Times New Roman" w:hAnsi="Aptos" w:cs="Times New Roman"/>
          <w:kern w:val="0"/>
          <w14:ligatures w14:val="none"/>
        </w:rPr>
        <w:t xml:space="preserve"> – transcript abundance data (to be harmonized into long format in subsequent steps).</w:t>
      </w:r>
    </w:p>
    <w:p w14:paraId="6CD3E773" w14:textId="77777777" w:rsidR="00486B2A" w:rsidRPr="0097166A" w:rsidRDefault="00486B2A" w:rsidP="00486B2A">
      <w:pPr>
        <w:numPr>
          <w:ilvl w:val="0"/>
          <w:numId w:val="2"/>
        </w:numPr>
        <w:spacing w:before="100" w:beforeAutospacing="1" w:after="100" w:afterAutospacing="1" w:line="240" w:lineRule="auto"/>
        <w:rPr>
          <w:rFonts w:ascii="Aptos" w:eastAsia="Times New Roman" w:hAnsi="Aptos" w:cs="Times New Roman"/>
          <w:kern w:val="0"/>
          <w14:ligatures w14:val="none"/>
        </w:rPr>
      </w:pPr>
      <w:r w:rsidRPr="0097166A">
        <w:rPr>
          <w:rFonts w:ascii="Aptos" w:eastAsia="Times New Roman" w:hAnsi="Aptos" w:cs="Times New Roman"/>
          <w:b/>
          <w:bCs/>
          <w:kern w:val="0"/>
          <w14:ligatures w14:val="none"/>
        </w:rPr>
        <w:t>Global proteomics</w:t>
      </w:r>
      <w:r w:rsidRPr="0097166A">
        <w:rPr>
          <w:rFonts w:ascii="Aptos" w:eastAsia="Times New Roman" w:hAnsi="Aptos" w:cs="Times New Roman"/>
          <w:kern w:val="0"/>
          <w14:ligatures w14:val="none"/>
        </w:rPr>
        <w:t xml:space="preserve"> – normalized protein abundance values, batch-corrected across cohorts.</w:t>
      </w:r>
    </w:p>
    <w:p w14:paraId="186314DA" w14:textId="77777777" w:rsidR="00486B2A" w:rsidRPr="0097166A" w:rsidRDefault="00486B2A" w:rsidP="00486B2A">
      <w:pPr>
        <w:numPr>
          <w:ilvl w:val="0"/>
          <w:numId w:val="2"/>
        </w:numPr>
        <w:spacing w:before="100" w:beforeAutospacing="1" w:after="100" w:afterAutospacing="1" w:line="240" w:lineRule="auto"/>
        <w:rPr>
          <w:rFonts w:ascii="Aptos" w:eastAsia="Times New Roman" w:hAnsi="Aptos" w:cs="Times New Roman"/>
          <w:kern w:val="0"/>
          <w14:ligatures w14:val="none"/>
        </w:rPr>
      </w:pPr>
      <w:r w:rsidRPr="0097166A">
        <w:rPr>
          <w:rFonts w:ascii="Aptos" w:eastAsia="Times New Roman" w:hAnsi="Aptos" w:cs="Times New Roman"/>
          <w:b/>
          <w:bCs/>
          <w:kern w:val="0"/>
          <w14:ligatures w14:val="none"/>
        </w:rPr>
        <w:t>Phosphoproteomics</w:t>
      </w:r>
      <w:r w:rsidRPr="0097166A">
        <w:rPr>
          <w:rFonts w:ascii="Aptos" w:eastAsia="Times New Roman" w:hAnsi="Aptos" w:cs="Times New Roman"/>
          <w:kern w:val="0"/>
          <w14:ligatures w14:val="none"/>
        </w:rPr>
        <w:t xml:space="preserve"> – normalized and batch-corrected site-specific phosphorylation abundances.</w:t>
      </w:r>
    </w:p>
    <w:p w14:paraId="2C239C3B" w14:textId="77777777" w:rsidR="00486B2A" w:rsidRPr="0052001D" w:rsidRDefault="00486B2A" w:rsidP="00486B2A">
      <w:pPr>
        <w:spacing w:before="100" w:beforeAutospacing="1" w:after="100" w:afterAutospacing="1" w:line="240" w:lineRule="auto"/>
        <w:rPr>
          <w:rFonts w:ascii="Aptos" w:eastAsia="Times New Roman" w:hAnsi="Aptos" w:cs="Times New Roman"/>
          <w:kern w:val="0"/>
          <w14:ligatures w14:val="none"/>
        </w:rPr>
      </w:pPr>
      <w:r w:rsidRPr="0097166A">
        <w:rPr>
          <w:rFonts w:ascii="Aptos" w:eastAsia="Times New Roman" w:hAnsi="Aptos" w:cs="Times New Roman"/>
          <w:kern w:val="0"/>
          <w14:ligatures w14:val="none"/>
        </w:rPr>
        <w:t>To enable cross-modality analyses, all datasets were filtered to retain only those specimens present in both the drug response data</w:t>
      </w:r>
      <w:r w:rsidRPr="0052001D">
        <w:rPr>
          <w:rFonts w:ascii="Aptos" w:eastAsia="Times New Roman" w:hAnsi="Aptos" w:cs="Times New Roman"/>
          <w:kern w:val="0"/>
          <w14:ligatures w14:val="none"/>
        </w:rPr>
        <w:t xml:space="preserve"> and at least one molecular modality. This produced a shared set of samples suitable for correlation and biomarker discovery analyses.</w:t>
      </w:r>
    </w:p>
    <w:p w14:paraId="1216D79A" w14:textId="77777777" w:rsidR="00486B2A" w:rsidRPr="0052001D" w:rsidRDefault="00486B2A" w:rsidP="00486B2A">
      <w:pPr>
        <w:numPr>
          <w:ilvl w:val="0"/>
          <w:numId w:val="3"/>
        </w:num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b/>
          <w:bCs/>
          <w:kern w:val="0"/>
          <w14:ligatures w14:val="none"/>
        </w:rPr>
        <w:t>Proteomics:</w:t>
      </w:r>
      <w:r w:rsidRPr="0052001D">
        <w:rPr>
          <w:rFonts w:ascii="Aptos" w:eastAsia="Times New Roman" w:hAnsi="Aptos" w:cs="Times New Roman"/>
          <w:kern w:val="0"/>
          <w14:ligatures w14:val="none"/>
        </w:rPr>
        <w:t xml:space="preserve"> Both global and phosphoproteomic data were restructured into sample-by-feature matrices, where rows represent specimens and columns represent either proteins (global) or phosphosites (phospho). Abundance values correspond to batch-corrected, log-scaled measurements.</w:t>
      </w:r>
    </w:p>
    <w:p w14:paraId="1159D756" w14:textId="2010119E" w:rsidR="00486B2A" w:rsidRPr="0052001D" w:rsidRDefault="00486B2A" w:rsidP="00486B2A">
      <w:pPr>
        <w:numPr>
          <w:ilvl w:val="0"/>
          <w:numId w:val="3"/>
        </w:num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b/>
          <w:bCs/>
          <w:kern w:val="0"/>
          <w14:ligatures w14:val="none"/>
        </w:rPr>
        <w:t>Drug sensitivity:</w:t>
      </w:r>
      <w:r w:rsidRPr="0052001D">
        <w:rPr>
          <w:rFonts w:ascii="Aptos" w:eastAsia="Times New Roman" w:hAnsi="Aptos" w:cs="Times New Roman"/>
          <w:kern w:val="0"/>
          <w14:ligatures w14:val="none"/>
        </w:rPr>
        <w:t xml:space="preserve"> Viability data (expressed in relative units of surviving fraction at given doses) were reformatted into a specimen-by-drug matrix, with average values across replicates used where multiple measurements existed.</w:t>
      </w:r>
      <w:r w:rsidR="0097166A" w:rsidRPr="0097166A">
        <w:t xml:space="preserve"> </w:t>
      </w:r>
      <w:r w:rsidR="0097166A" w:rsidRPr="0097166A">
        <w:rPr>
          <w:rFonts w:ascii="Aptos" w:hAnsi="Aptos"/>
        </w:rPr>
        <w:t xml:space="preserve">Separately, a fit_auc specimen×drug matrix was constructed by averaging per-drug fit_auc across replicates, retaining only drugs present in </w:t>
      </w:r>
      <w:r w:rsidR="0097166A" w:rsidRPr="0097166A">
        <w:rPr>
          <w:rStyle w:val="HTMLCode"/>
          <w:rFonts w:ascii="Aptos" w:eastAsiaTheme="majorEastAsia" w:hAnsi="Aptos"/>
          <w:sz w:val="24"/>
          <w:szCs w:val="24"/>
        </w:rPr>
        <w:t>syn69947322</w:t>
      </w:r>
      <w:r w:rsidR="0097166A">
        <w:rPr>
          <w:rStyle w:val="HTMLCode"/>
          <w:rFonts w:ascii="Aptos" w:eastAsiaTheme="majorEastAsia" w:hAnsi="Aptos"/>
          <w:sz w:val="24"/>
          <w:szCs w:val="24"/>
        </w:rPr>
        <w:t>.</w:t>
      </w:r>
    </w:p>
    <w:p w14:paraId="6130AF22" w14:textId="1384D2AB" w:rsidR="00343AEB" w:rsidRPr="0052001D" w:rsidRDefault="00486B2A" w:rsidP="00343AEB">
      <w:pPr>
        <w:numPr>
          <w:ilvl w:val="0"/>
          <w:numId w:val="3"/>
        </w:num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b/>
          <w:bCs/>
          <w:kern w:val="0"/>
          <w14:ligatures w14:val="none"/>
        </w:rPr>
        <w:lastRenderedPageBreak/>
        <w:t>Filtering:</w:t>
      </w:r>
      <w:r w:rsidRPr="0052001D">
        <w:rPr>
          <w:rFonts w:ascii="Aptos" w:eastAsia="Times New Roman" w:hAnsi="Aptos" w:cs="Times New Roman"/>
          <w:kern w:val="0"/>
          <w14:ligatures w14:val="none"/>
        </w:rPr>
        <w:t xml:space="preserve"> Only drugs with complete measurements across all available specimens were retained for certain analyses, yielding a consistent comparison set (“full drugs”).</w:t>
      </w:r>
      <w:r w:rsidR="0097166A" w:rsidRPr="0097166A">
        <w:t xml:space="preserve"> </w:t>
      </w:r>
      <w:r w:rsidR="0097166A">
        <w:t>For fit_auc, additional coverage summaries (mean, SD, n specimens per drug) were calculated to support ranking and visualization.</w:t>
      </w:r>
    </w:p>
    <w:p w14:paraId="6E14E210" w14:textId="69F4AF26" w:rsidR="00343AEB" w:rsidRPr="0052001D" w:rsidRDefault="00343AEB" w:rsidP="00343AEB">
      <w:p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t>Drug Count: 238</w:t>
      </w:r>
    </w:p>
    <w:p w14:paraId="0965467C" w14:textId="1C321D3A" w:rsidR="00343AEB" w:rsidRPr="0052001D" w:rsidRDefault="00343AEB" w:rsidP="00343AEB">
      <w:pPr>
        <w:spacing w:after="0"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t>Drug list:</w:t>
      </w:r>
    </w:p>
    <w:p w14:paraId="758174F5" w14:textId="0D4699DD" w:rsidR="00343AEB" w:rsidRPr="0052001D" w:rsidRDefault="00343AEB" w:rsidP="00343AEB">
      <w:pPr>
        <w:spacing w:after="0"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t>Abemaciclib, ABT-737, Adagrasib, Adavosertib, Afatinib, Alectinib, Alisertib, Alpelisib, Alvespimycin, Alvocidib, Anlotinib, Apitolisib, ARS-1620, Avapritinib, AVL-292, Avutometinib, Axitinib, Barasertib, Batoprotafib, Belinostat, Belzutifan, BI-3406, BI-847325, BI-D1870, Bimiralisib, Binimetinib, Birinapant, BLU9931, BMS-536924, Bosutinib, Brigatinib, Brivanib, Brukinsa, Brustaol, Cabozantinib, Calquence, Capivasertib, Capmatinib, CBL0137, CCT-018159, Cedazuridine, Ceralasertib, Cerdulatinib, Ceritinib, CFT8634, Cobimetinib, Copanlisib, CPI-613, Crenolanib, Crizotinib, Dabrafenib, Dacomitinib, Danusertib, Daporinad, Daprodustat, Dasatinib, Defactinib, Derazantinib, Digoxin, Dinaciclib, Dovitinib, Doxorubicin, Duvelisib, Eganelisib, Elimusertib, Enasidenib, Encorafenib, Enitociclib, Ensartinib, Entinostat, Entrectinib, Enzastaurin, Everolimus, Fadraciclib, Famotidine, Fedratinib, Fimepinostat, Fisogatinib, FRAX597, Futibatinib, Galunisertib, Ganetespib, Gefitinib, Geldanamycin, Gilteritinib, Glasdegib, GNE-617, GSK2256098, H 89 2HCl, Ibrutinib, Idasanutlin, IKK-16, Imatinib, INCB188053, INCB191856, Infigratinib, Ipatasertib, Ivosidenib, JNJ-7706621, Ketotifen, KO-947, KW-2478, Lapatinib, Larotrectinib, Lenvatinib, Lestaurtinib, Letrozole, Lifirafenib, Linsitinib, Lorlatinib, Losartan, Losmapimod, Lovastatin, Luminespib, LY231514, LY3023414, Manumycin A, Merestinib, Metformin, Methotrexate, Midostaurin, Mirdametinib, MK-2206, ML 210, MLN2480, Molibresib, Napabucasin, Navitoclax, Nedisertib, Nedometinib, Neratinib, Nilotinib, Nintedanib, Nirogacestat, NT219, NVP-BEZ235, Octreotide, Olaparib, Olutasidenib, Omipalisib, Onalespib, Onametostat, Onvansertib, Osimertinib, Pacritinib, Palbociclib, Pan-RAS-IN-1, Panobinostat, Pazopanib, PCNA-I1, Pelabresib, Pemigatinib, Pemrametostat, PF-562271, Pimozide, Pirtobrutinib, PLX-3397, Ponatinib, Pralsetinib, Prexasertib, PT2385, Quizartinib, Ranitidine, Rapamycin, Ravoxertinib, Regorafenib, Repotrectinib, Retaspimycin, Ribociclib, Ripretinib, RMC-6236, RO4929097, Rogaratinib, Romidepsin, Roxadustat, Rucaparib, Ruxolitinib, Sapanisertib, SAR405838, Seclidemstat, Selinexor, Selpercatinib, Selumetinib, Sertraline, Siremadlin, Sitravatinib, SNX-2112, SNX-5422, Sonidegib, Sorafenib, Sotatercept, Sotorasib, Subasumstat, Sulfasalazine, Sunitinib, Surufatinib, SW106065, Tadalafil, TAE226, TAK-243, Tanespimycin, Tazemetostat, TED-347, Tegavivint, Telaglenastat, Temozolomide, Temsirolimus, Tepotinib, THZ1, Ticlopidine, Tipifarnib, Tivantinib, Tivozanib, TK216, Tofacitinib, Tomivosertib, Tovorafenib, Tozasertib, Trametinib, Tretinoin, Trilaciclib, Triptolide, Ulixertinib, Umbralisib, UNC2025, Unesbulin, Vactosertib, Vandetanib, Vemurafenib, Venetoclax, Vismodegib, Vistusertib, Vociprotafib, Volasertib, Vorinostat, VS-6766, Y-27632, Zanzalintinib</w:t>
      </w:r>
    </w:p>
    <w:p w14:paraId="798BA045" w14:textId="77777777" w:rsidR="00343AEB" w:rsidRPr="0052001D" w:rsidRDefault="00343AEB" w:rsidP="00343AEB">
      <w:pPr>
        <w:spacing w:after="0" w:line="240" w:lineRule="auto"/>
        <w:rPr>
          <w:rFonts w:ascii="Aptos" w:eastAsia="Times New Roman" w:hAnsi="Aptos" w:cs="Times New Roman"/>
          <w:kern w:val="0"/>
          <w14:ligatures w14:val="none"/>
        </w:rPr>
      </w:pPr>
    </w:p>
    <w:p w14:paraId="399F426B" w14:textId="77777777" w:rsidR="00343AEB" w:rsidRPr="0052001D" w:rsidRDefault="00343AEB" w:rsidP="00343AEB">
      <w:pPr>
        <w:spacing w:after="0" w:line="240" w:lineRule="auto"/>
        <w:rPr>
          <w:rFonts w:ascii="Aptos" w:eastAsia="Times New Roman" w:hAnsi="Aptos" w:cs="Times New Roman"/>
          <w:kern w:val="0"/>
          <w14:ligatures w14:val="none"/>
        </w:rPr>
      </w:pPr>
    </w:p>
    <w:p w14:paraId="49BBF399" w14:textId="2DC3CB67" w:rsidR="00343AEB" w:rsidRPr="0052001D" w:rsidRDefault="00486B2A" w:rsidP="00343AEB">
      <w:pPr>
        <w:spacing w:after="0" w:line="240" w:lineRule="auto"/>
        <w:outlineLvl w:val="2"/>
        <w:rPr>
          <w:rFonts w:ascii="Aptos" w:eastAsia="Times New Roman" w:hAnsi="Aptos" w:cs="Times New Roman"/>
          <w:b/>
          <w:bCs/>
          <w:kern w:val="0"/>
          <w:sz w:val="27"/>
          <w:szCs w:val="27"/>
          <w14:ligatures w14:val="none"/>
        </w:rPr>
      </w:pPr>
      <w:r w:rsidRPr="0052001D">
        <w:rPr>
          <w:rFonts w:ascii="Aptos" w:eastAsia="Times New Roman" w:hAnsi="Aptos" w:cs="Times New Roman"/>
          <w:b/>
          <w:bCs/>
          <w:kern w:val="0"/>
          <w:sz w:val="27"/>
          <w:szCs w:val="27"/>
          <w14:ligatures w14:val="none"/>
        </w:rPr>
        <w:t>Exploratory Analysis of Drug Responses</w:t>
      </w:r>
    </w:p>
    <w:p w14:paraId="43531A42" w14:textId="418AB662" w:rsidR="00486B2A" w:rsidRPr="0052001D" w:rsidRDefault="00486B2A" w:rsidP="00486B2A">
      <w:p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lastRenderedPageBreak/>
        <w:t xml:space="preserve">We performed initial </w:t>
      </w:r>
      <w:r w:rsidR="000552E1" w:rsidRPr="0052001D">
        <w:rPr>
          <w:rFonts w:ascii="Aptos" w:eastAsia="Times New Roman" w:hAnsi="Aptos" w:cs="Times New Roman"/>
          <w:kern w:val="0"/>
          <w14:ligatures w14:val="none"/>
        </w:rPr>
        <w:t>exploration</w:t>
      </w:r>
      <w:r w:rsidRPr="0052001D">
        <w:rPr>
          <w:rFonts w:ascii="Aptos" w:eastAsia="Times New Roman" w:hAnsi="Aptos" w:cs="Times New Roman"/>
          <w:kern w:val="0"/>
          <w14:ligatures w14:val="none"/>
        </w:rPr>
        <w:t xml:space="preserve"> of the drug dataset to understand variability and efficacy across the compound panel</w:t>
      </w:r>
      <w:r w:rsidR="000552E1" w:rsidRPr="0052001D">
        <w:rPr>
          <w:rFonts w:ascii="Aptos" w:eastAsia="Times New Roman" w:hAnsi="Aptos" w:cs="Times New Roman"/>
          <w:kern w:val="0"/>
          <w14:ligatures w14:val="none"/>
        </w:rPr>
        <w:t>.</w:t>
      </w:r>
    </w:p>
    <w:p w14:paraId="6A1C6F6E" w14:textId="77777777" w:rsidR="00A82187" w:rsidRPr="0052001D" w:rsidRDefault="00A82187" w:rsidP="00A82187">
      <w:pPr>
        <w:pStyle w:val="NormalWeb"/>
        <w:rPr>
          <w:rFonts w:ascii="Aptos" w:hAnsi="Aptos"/>
        </w:rPr>
      </w:pPr>
      <w:r w:rsidRPr="0052001D">
        <w:rPr>
          <w:rStyle w:val="Strong"/>
          <w:rFonts w:ascii="Aptos" w:eastAsiaTheme="majorEastAsia" w:hAnsi="Aptos"/>
        </w:rPr>
        <w:t>Correlation of molecular features with drug response</w:t>
      </w:r>
    </w:p>
    <w:p w14:paraId="5FEBBE87" w14:textId="77777777" w:rsidR="00A82187" w:rsidRPr="0052001D" w:rsidRDefault="00A82187" w:rsidP="00A82187">
      <w:pPr>
        <w:pStyle w:val="NormalWeb"/>
        <w:numPr>
          <w:ilvl w:val="0"/>
          <w:numId w:val="6"/>
        </w:numPr>
        <w:rPr>
          <w:rFonts w:ascii="Aptos" w:hAnsi="Aptos"/>
        </w:rPr>
      </w:pPr>
      <w:r w:rsidRPr="0052001D">
        <w:rPr>
          <w:rFonts w:ascii="Aptos" w:hAnsi="Aptos"/>
        </w:rPr>
        <w:t>Spearman correlations were computed between every drug (response profile) and every molecular feature (protein or phosphosite).</w:t>
      </w:r>
    </w:p>
    <w:p w14:paraId="71F92CA3" w14:textId="77777777" w:rsidR="00A82187" w:rsidRPr="0052001D" w:rsidRDefault="00A82187" w:rsidP="00A82187">
      <w:pPr>
        <w:pStyle w:val="NormalWeb"/>
        <w:numPr>
          <w:ilvl w:val="0"/>
          <w:numId w:val="6"/>
        </w:numPr>
        <w:rPr>
          <w:rFonts w:ascii="Aptos" w:hAnsi="Aptos"/>
        </w:rPr>
      </w:pPr>
      <w:r w:rsidRPr="0052001D">
        <w:rPr>
          <w:rFonts w:ascii="Aptos" w:hAnsi="Aptos"/>
        </w:rPr>
        <w:t>Significance values were estimated via permutation-based correlation tests, with multiple testing correction applied (FDR).</w:t>
      </w:r>
    </w:p>
    <w:p w14:paraId="33DDE178" w14:textId="099E4163" w:rsidR="00A82187" w:rsidRPr="0052001D" w:rsidRDefault="00A82187" w:rsidP="00486B2A">
      <w:pPr>
        <w:pStyle w:val="NormalWeb"/>
        <w:numPr>
          <w:ilvl w:val="0"/>
          <w:numId w:val="6"/>
        </w:numPr>
        <w:rPr>
          <w:rFonts w:ascii="Aptos" w:hAnsi="Aptos"/>
        </w:rPr>
      </w:pPr>
      <w:r w:rsidRPr="0052001D">
        <w:rPr>
          <w:rFonts w:ascii="Aptos" w:hAnsi="Aptos"/>
        </w:rPr>
        <w:t xml:space="preserve">Features were separated into </w:t>
      </w:r>
      <w:r w:rsidRPr="0052001D">
        <w:rPr>
          <w:rStyle w:val="Strong"/>
          <w:rFonts w:ascii="Aptos" w:eastAsiaTheme="majorEastAsia" w:hAnsi="Aptos"/>
        </w:rPr>
        <w:t>positive correlations</w:t>
      </w:r>
      <w:r w:rsidRPr="0052001D">
        <w:rPr>
          <w:rFonts w:ascii="Aptos" w:hAnsi="Aptos"/>
        </w:rPr>
        <w:t xml:space="preserve"> (higher abundance/phosphorylation associated with higher viability, i.e. resistance) and </w:t>
      </w:r>
      <w:r w:rsidRPr="0052001D">
        <w:rPr>
          <w:rStyle w:val="Strong"/>
          <w:rFonts w:ascii="Aptos" w:eastAsiaTheme="majorEastAsia" w:hAnsi="Aptos"/>
        </w:rPr>
        <w:t>negative correlations</w:t>
      </w:r>
      <w:r w:rsidRPr="0052001D">
        <w:rPr>
          <w:rFonts w:ascii="Aptos" w:hAnsi="Aptos"/>
        </w:rPr>
        <w:t xml:space="preserve"> (higher abundance/phosphorylation associated with lower viability, i.e. sensitivity).</w:t>
      </w:r>
    </w:p>
    <w:p w14:paraId="78E2DEB1" w14:textId="0FC5AC17" w:rsidR="00FD7EC2" w:rsidRPr="0052001D" w:rsidRDefault="00FD7EC2" w:rsidP="00FD7EC2">
      <w:pPr>
        <w:spacing w:after="0" w:line="240" w:lineRule="auto"/>
        <w:outlineLvl w:val="2"/>
        <w:rPr>
          <w:rFonts w:ascii="Aptos" w:eastAsia="Times New Roman" w:hAnsi="Aptos" w:cs="Times New Roman"/>
          <w:b/>
          <w:bCs/>
          <w:kern w:val="0"/>
          <w:sz w:val="27"/>
          <w:szCs w:val="27"/>
          <w14:ligatures w14:val="none"/>
        </w:rPr>
      </w:pPr>
      <w:r w:rsidRPr="0052001D">
        <w:rPr>
          <w:rFonts w:ascii="Aptos" w:eastAsia="Times New Roman" w:hAnsi="Aptos" w:cs="Times New Roman"/>
          <w:b/>
          <w:bCs/>
          <w:kern w:val="0"/>
          <w:sz w:val="27"/>
          <w:szCs w:val="27"/>
          <w14:ligatures w14:val="none"/>
        </w:rPr>
        <w:t>Figure: most_efficacious</w:t>
      </w:r>
      <w:r w:rsidR="002838B2">
        <w:rPr>
          <w:rFonts w:ascii="Aptos" w:eastAsia="Times New Roman" w:hAnsi="Aptos" w:cs="Times New Roman"/>
          <w:b/>
          <w:bCs/>
          <w:kern w:val="0"/>
          <w:sz w:val="27"/>
          <w:szCs w:val="27"/>
          <w14:ligatures w14:val="none"/>
        </w:rPr>
        <w:t>_&lt;metric&gt;</w:t>
      </w:r>
      <w:r w:rsidRPr="0052001D">
        <w:rPr>
          <w:rFonts w:ascii="Aptos" w:eastAsia="Times New Roman" w:hAnsi="Aptos" w:cs="Times New Roman"/>
          <w:b/>
          <w:bCs/>
          <w:kern w:val="0"/>
          <w:sz w:val="27"/>
          <w:szCs w:val="27"/>
          <w14:ligatures w14:val="none"/>
        </w:rPr>
        <w:t>.png</w:t>
      </w:r>
      <w:r w:rsidR="002838B2">
        <w:rPr>
          <w:rFonts w:ascii="Aptos" w:eastAsia="Times New Roman" w:hAnsi="Aptos" w:cs="Times New Roman"/>
          <w:b/>
          <w:bCs/>
          <w:kern w:val="0"/>
          <w:sz w:val="27"/>
          <w:szCs w:val="27"/>
          <w14:ligatures w14:val="none"/>
        </w:rPr>
        <w:t>/pdf</w:t>
      </w:r>
    </w:p>
    <w:p w14:paraId="607761D5" w14:textId="618F7496" w:rsidR="00FD7EC2" w:rsidRPr="0052001D" w:rsidRDefault="00FD7EC2" w:rsidP="00FD7EC2">
      <w:pPr>
        <w:spacing w:after="0"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t>This scatterplot highlights the subset of drugs that were most efficacious across the patient samples, defined as compounds with an average cell viability below 0.5 (i.e., less than 50% survival). Each point represents a drug, positioned by its mean viability (y-axis) and labeled along the x-axis. Point size reflects the variability in response across specimens, while point color indicates the number of samples tested. Several compounds demonstrate both strong overall activity and consistent performance across patients, suggesting broad-spectrum effectiveness.</w:t>
      </w:r>
    </w:p>
    <w:p w14:paraId="44BCCA5E" w14:textId="77777777" w:rsidR="00FD7EC2" w:rsidRPr="0052001D" w:rsidRDefault="00FD7EC2" w:rsidP="00FD7EC2">
      <w:pPr>
        <w:spacing w:after="0" w:line="240" w:lineRule="auto"/>
        <w:rPr>
          <w:rFonts w:ascii="Aptos" w:eastAsia="Times New Roman" w:hAnsi="Aptos" w:cs="Times New Roman"/>
          <w:kern w:val="0"/>
          <w14:ligatures w14:val="none"/>
        </w:rPr>
      </w:pPr>
    </w:p>
    <w:p w14:paraId="5EF1165F" w14:textId="2E34AD65" w:rsidR="00FD7EC2" w:rsidRPr="0052001D" w:rsidRDefault="00FD7EC2" w:rsidP="00FD7EC2">
      <w:pPr>
        <w:spacing w:after="0" w:line="240" w:lineRule="auto"/>
        <w:outlineLvl w:val="2"/>
        <w:rPr>
          <w:rFonts w:ascii="Aptos" w:eastAsia="Times New Roman" w:hAnsi="Aptos" w:cs="Times New Roman"/>
          <w:b/>
          <w:bCs/>
          <w:kern w:val="0"/>
          <w:sz w:val="27"/>
          <w:szCs w:val="27"/>
          <w14:ligatures w14:val="none"/>
        </w:rPr>
      </w:pPr>
      <w:r w:rsidRPr="0052001D">
        <w:rPr>
          <w:rFonts w:ascii="Aptos" w:eastAsia="Times New Roman" w:hAnsi="Aptos" w:cs="Times New Roman"/>
          <w:b/>
          <w:bCs/>
          <w:kern w:val="0"/>
          <w:sz w:val="27"/>
          <w:szCs w:val="27"/>
          <w14:ligatures w14:val="none"/>
        </w:rPr>
        <w:t>Figure: most_variable</w:t>
      </w:r>
      <w:r w:rsidR="002838B2">
        <w:rPr>
          <w:rFonts w:ascii="Aptos" w:eastAsia="Times New Roman" w:hAnsi="Aptos" w:cs="Times New Roman"/>
          <w:b/>
          <w:bCs/>
          <w:kern w:val="0"/>
          <w:sz w:val="27"/>
          <w:szCs w:val="27"/>
          <w14:ligatures w14:val="none"/>
        </w:rPr>
        <w:t>_&lt;metric&gt;</w:t>
      </w:r>
      <w:r w:rsidRPr="0052001D">
        <w:rPr>
          <w:rFonts w:ascii="Aptos" w:eastAsia="Times New Roman" w:hAnsi="Aptos" w:cs="Times New Roman"/>
          <w:b/>
          <w:bCs/>
          <w:kern w:val="0"/>
          <w:sz w:val="27"/>
          <w:szCs w:val="27"/>
          <w14:ligatures w14:val="none"/>
        </w:rPr>
        <w:t>.p</w:t>
      </w:r>
      <w:r w:rsidR="002838B2">
        <w:rPr>
          <w:rFonts w:ascii="Aptos" w:eastAsia="Times New Roman" w:hAnsi="Aptos" w:cs="Times New Roman"/>
          <w:b/>
          <w:bCs/>
          <w:kern w:val="0"/>
          <w:sz w:val="27"/>
          <w:szCs w:val="27"/>
          <w14:ligatures w14:val="none"/>
        </w:rPr>
        <w:t>ng/pdf</w:t>
      </w:r>
    </w:p>
    <w:p w14:paraId="6F77E76E" w14:textId="00C4595E" w:rsidR="00FD7EC2" w:rsidRPr="0052001D" w:rsidRDefault="00FD7EC2" w:rsidP="00FD7EC2">
      <w:pPr>
        <w:spacing w:after="0"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t>This scatterplot highlights drugs with the highest variability in response across specimens, defined as those with a standard deviation greater than 0.15. Here, each point again represents a drug, with mean viability on the y-axis and drug identity on the x-axis. Point size encodes variability, and color denotes the number of samples measured. Unlike the most efficacious plot, these compounds are not necessarily the most potent but instead show strong heterogeneity between patients. Such drugs may provide the greatest opportunity for biomarker discovery, as differences in response are more likely to be explained by underlying molecular features.</w:t>
      </w:r>
    </w:p>
    <w:p w14:paraId="7B94A07A" w14:textId="77777777" w:rsidR="00FD7EC2" w:rsidRPr="0052001D" w:rsidRDefault="00FD7EC2" w:rsidP="00FD7EC2">
      <w:pPr>
        <w:spacing w:after="0" w:line="240" w:lineRule="auto"/>
        <w:rPr>
          <w:rFonts w:ascii="Aptos" w:eastAsia="Times New Roman" w:hAnsi="Aptos" w:cs="Times New Roman"/>
          <w:kern w:val="0"/>
          <w14:ligatures w14:val="none"/>
        </w:rPr>
      </w:pPr>
    </w:p>
    <w:p w14:paraId="65F64D3C" w14:textId="31A7199A" w:rsidR="00FD7EC2" w:rsidRPr="0052001D" w:rsidRDefault="00FD7EC2" w:rsidP="00FD7EC2">
      <w:pPr>
        <w:spacing w:after="0" w:line="240" w:lineRule="auto"/>
        <w:outlineLvl w:val="2"/>
        <w:rPr>
          <w:rFonts w:ascii="Aptos" w:eastAsia="Times New Roman" w:hAnsi="Aptos" w:cs="Times New Roman"/>
          <w:b/>
          <w:bCs/>
          <w:kern w:val="0"/>
          <w:sz w:val="27"/>
          <w:szCs w:val="27"/>
          <w14:ligatures w14:val="none"/>
        </w:rPr>
      </w:pPr>
      <w:r w:rsidRPr="0052001D">
        <w:rPr>
          <w:rFonts w:ascii="Aptos" w:eastAsia="Times New Roman" w:hAnsi="Aptos" w:cs="Times New Roman"/>
          <w:b/>
          <w:bCs/>
          <w:kern w:val="0"/>
          <w:sz w:val="27"/>
          <w:szCs w:val="27"/>
          <w14:ligatures w14:val="none"/>
        </w:rPr>
        <w:t xml:space="preserve">Figure: </w:t>
      </w:r>
      <w:r w:rsidR="00C71250">
        <w:rPr>
          <w:rFonts w:ascii="Aptos" w:eastAsia="Times New Roman" w:hAnsi="Aptos" w:cs="Times New Roman"/>
          <w:b/>
          <w:bCs/>
          <w:kern w:val="0"/>
          <w:sz w:val="27"/>
          <w:szCs w:val="27"/>
          <w14:ligatures w14:val="none"/>
        </w:rPr>
        <w:t>&lt;omics&gt;_</w:t>
      </w:r>
      <w:r w:rsidRPr="0052001D">
        <w:rPr>
          <w:rFonts w:ascii="Aptos" w:eastAsia="Times New Roman" w:hAnsi="Aptos" w:cs="Times New Roman"/>
          <w:b/>
          <w:bCs/>
          <w:kern w:val="0"/>
          <w:sz w:val="27"/>
          <w:szCs w:val="27"/>
          <w14:ligatures w14:val="none"/>
        </w:rPr>
        <w:t>drug_heatmap_large</w:t>
      </w:r>
      <w:r w:rsidR="00C71250">
        <w:rPr>
          <w:rFonts w:ascii="Aptos" w:eastAsia="Times New Roman" w:hAnsi="Aptos" w:cs="Times New Roman"/>
          <w:b/>
          <w:bCs/>
          <w:kern w:val="0"/>
          <w:sz w:val="27"/>
          <w:szCs w:val="27"/>
          <w14:ligatures w14:val="none"/>
        </w:rPr>
        <w:t>_viability</w:t>
      </w:r>
      <w:r w:rsidRPr="0052001D">
        <w:rPr>
          <w:rFonts w:ascii="Aptos" w:eastAsia="Times New Roman" w:hAnsi="Aptos" w:cs="Times New Roman"/>
          <w:b/>
          <w:bCs/>
          <w:kern w:val="0"/>
          <w:sz w:val="27"/>
          <w:szCs w:val="27"/>
          <w14:ligatures w14:val="none"/>
        </w:rPr>
        <w:t>.pdf</w:t>
      </w:r>
    </w:p>
    <w:p w14:paraId="34FDF4C1" w14:textId="609FFCB3" w:rsidR="00FD7EC2" w:rsidRPr="0052001D" w:rsidRDefault="00FD7EC2" w:rsidP="00FD7EC2">
      <w:pPr>
        <w:spacing w:after="0"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t xml:space="preserve">This heatmap displays drug response values </w:t>
      </w:r>
      <w:r w:rsidR="00957ED6" w:rsidRPr="0052001D">
        <w:rPr>
          <w:rFonts w:ascii="Aptos" w:eastAsia="Times New Roman" w:hAnsi="Aptos" w:cs="Times New Roman"/>
          <w:kern w:val="0"/>
          <w14:ligatures w14:val="none"/>
        </w:rPr>
        <w:t xml:space="preserve">(viability) </w:t>
      </w:r>
      <w:r w:rsidRPr="0052001D">
        <w:rPr>
          <w:rFonts w:ascii="Aptos" w:eastAsia="Times New Roman" w:hAnsi="Aptos" w:cs="Times New Roman"/>
          <w:kern w:val="0"/>
          <w14:ligatures w14:val="none"/>
        </w:rPr>
        <w:t>for the subset of drugs measured consistently across all specimens (“full drugs”). Rows correspond to patient samples and columns to drugs. Hierarchical clustering of both rows and columns highlights patterns of similarity, revealing groups of patients with shared sensitivity profiles as well as clusters of compounds with correlated activity. The visualization provides a global overview of drug response heterogeneity across the cohort, serving as a baseline reference for linking molecular features to therapeutic sensitivity.</w:t>
      </w:r>
    </w:p>
    <w:p w14:paraId="6F8B47C8" w14:textId="77777777" w:rsidR="00486B2A" w:rsidRPr="0052001D" w:rsidRDefault="00486B2A" w:rsidP="00A82187">
      <w:pPr>
        <w:spacing w:after="0"/>
        <w:rPr>
          <w:rFonts w:ascii="Aptos" w:hAnsi="Aptos"/>
        </w:rPr>
      </w:pPr>
    </w:p>
    <w:p w14:paraId="3959E5C9" w14:textId="06E0012A" w:rsidR="00A82187" w:rsidRPr="0052001D" w:rsidRDefault="00A82187" w:rsidP="00A82187">
      <w:pPr>
        <w:spacing w:after="0" w:line="240" w:lineRule="auto"/>
        <w:outlineLvl w:val="2"/>
        <w:rPr>
          <w:rFonts w:ascii="Aptos" w:eastAsia="Times New Roman" w:hAnsi="Aptos" w:cs="Times New Roman"/>
          <w:b/>
          <w:bCs/>
          <w:kern w:val="0"/>
          <w:sz w:val="27"/>
          <w:szCs w:val="27"/>
          <w14:ligatures w14:val="none"/>
        </w:rPr>
      </w:pPr>
      <w:r w:rsidRPr="0052001D">
        <w:rPr>
          <w:rFonts w:ascii="Aptos" w:eastAsia="Times New Roman" w:hAnsi="Aptos" w:cs="Times New Roman"/>
          <w:b/>
          <w:bCs/>
          <w:kern w:val="0"/>
          <w:sz w:val="27"/>
          <w:szCs w:val="27"/>
          <w14:ligatures w14:val="none"/>
        </w:rPr>
        <w:t xml:space="preserve">Figure: </w:t>
      </w:r>
      <w:r w:rsidR="002838B2">
        <w:rPr>
          <w:rFonts w:ascii="Aptos" w:eastAsia="Times New Roman" w:hAnsi="Aptos" w:cs="Times New Roman"/>
          <w:b/>
          <w:bCs/>
          <w:kern w:val="0"/>
          <w:sz w:val="27"/>
          <w:szCs w:val="27"/>
          <w14:ligatures w14:val="none"/>
        </w:rPr>
        <w:t>&lt;metric&gt;_</w:t>
      </w:r>
      <w:r w:rsidRPr="0052001D">
        <w:rPr>
          <w:rFonts w:ascii="Aptos" w:eastAsia="Times New Roman" w:hAnsi="Aptos" w:cs="Times New Roman"/>
          <w:b/>
          <w:bCs/>
          <w:kern w:val="0"/>
          <w:sz w:val="27"/>
          <w:szCs w:val="27"/>
          <w14:ligatures w14:val="none"/>
        </w:rPr>
        <w:t>cor_features_by_drug.pdf</w:t>
      </w:r>
    </w:p>
    <w:p w14:paraId="48D11BD9" w14:textId="4A77B4EA" w:rsidR="00A82187" w:rsidRPr="0097166A" w:rsidRDefault="00A82187" w:rsidP="00A82187">
      <w:pPr>
        <w:spacing w:after="0" w:line="240" w:lineRule="auto"/>
        <w:rPr>
          <w:rFonts w:ascii="Aptos" w:eastAsia="Times New Roman" w:hAnsi="Aptos" w:cs="Times New Roman"/>
          <w:b/>
          <w:bCs/>
          <w:kern w:val="0"/>
          <w14:ligatures w14:val="none"/>
        </w:rPr>
      </w:pPr>
      <w:r w:rsidRPr="0052001D">
        <w:rPr>
          <w:rFonts w:ascii="Aptos" w:eastAsia="Times New Roman" w:hAnsi="Aptos" w:cs="Times New Roman"/>
          <w:kern w:val="0"/>
          <w14:ligatures w14:val="none"/>
        </w:rPr>
        <w:lastRenderedPageBreak/>
        <w:t xml:space="preserve">Bar charts summarizing, for each drug, the number of molecular features (proteins or phosphosites) that correlate with response at FDR &lt; 0.25, separated by direction (features associated with </w:t>
      </w:r>
      <w:r w:rsidRPr="0052001D">
        <w:rPr>
          <w:rFonts w:ascii="Aptos" w:eastAsia="Times New Roman" w:hAnsi="Aptos" w:cs="Times New Roman"/>
          <w:b/>
          <w:bCs/>
          <w:kern w:val="0"/>
          <w14:ligatures w14:val="none"/>
        </w:rPr>
        <w:t>resistance</w:t>
      </w:r>
      <w:r w:rsidRPr="0052001D">
        <w:rPr>
          <w:rFonts w:ascii="Aptos" w:eastAsia="Times New Roman" w:hAnsi="Aptos" w:cs="Times New Roman"/>
          <w:kern w:val="0"/>
          <w14:ligatures w14:val="none"/>
        </w:rPr>
        <w:t xml:space="preserve"> vs </w:t>
      </w:r>
      <w:r w:rsidRPr="0052001D">
        <w:rPr>
          <w:rFonts w:ascii="Aptos" w:eastAsia="Times New Roman" w:hAnsi="Aptos" w:cs="Times New Roman"/>
          <w:b/>
          <w:bCs/>
          <w:kern w:val="0"/>
          <w14:ligatures w14:val="none"/>
        </w:rPr>
        <w:t>sensitivity</w:t>
      </w:r>
      <w:r w:rsidRPr="0052001D">
        <w:rPr>
          <w:rFonts w:ascii="Aptos" w:eastAsia="Times New Roman" w:hAnsi="Aptos" w:cs="Times New Roman"/>
          <w:kern w:val="0"/>
          <w14:ligatures w14:val="none"/>
        </w:rPr>
        <w:t>) and faceted by data modality. These counts provide a quick sense of which drugs show the richest correlational signal.</w:t>
      </w:r>
      <w:r w:rsidR="0097166A" w:rsidRPr="0097166A">
        <w:t xml:space="preserve"> </w:t>
      </w:r>
    </w:p>
    <w:p w14:paraId="73656AD6" w14:textId="77777777" w:rsidR="0097166A" w:rsidRDefault="0097166A" w:rsidP="00A82187">
      <w:pPr>
        <w:spacing w:after="0" w:line="240" w:lineRule="auto"/>
        <w:rPr>
          <w:rFonts w:ascii="Aptos" w:eastAsia="Times New Roman" w:hAnsi="Aptos" w:cs="Times New Roman"/>
          <w:kern w:val="0"/>
          <w14:ligatures w14:val="none"/>
        </w:rPr>
      </w:pPr>
    </w:p>
    <w:p w14:paraId="43541346" w14:textId="0BF6D404" w:rsidR="0097166A" w:rsidRPr="0097166A" w:rsidRDefault="0097166A" w:rsidP="00A82187">
      <w:pPr>
        <w:spacing w:after="0" w:line="240" w:lineRule="auto"/>
      </w:pPr>
      <w:r w:rsidRPr="0097166A">
        <w:rPr>
          <w:rStyle w:val="Strong"/>
          <w:b w:val="0"/>
          <w:bCs w:val="0"/>
        </w:rPr>
        <w:t>Additional fit_auc figures:</w:t>
      </w:r>
      <w:r>
        <w:br/>
        <w:t xml:space="preserve">• </w:t>
      </w:r>
      <w:r>
        <w:rPr>
          <w:rStyle w:val="Strong"/>
        </w:rPr>
        <w:t>Figure: most_sensitive</w:t>
      </w:r>
      <w:r w:rsidR="00C71250">
        <w:rPr>
          <w:rStyle w:val="Strong"/>
        </w:rPr>
        <w:t>_auc</w:t>
      </w:r>
      <w:r>
        <w:rPr>
          <w:rStyle w:val="Strong"/>
        </w:rPr>
        <w:t>.pdf</w:t>
      </w:r>
      <w:r>
        <w:t xml:space="preserve"> — scatter plot of drugs ranked by mean fit_auc (y-axis); point size = SD of fit_auc across specimens; color = number of specimens.</w:t>
      </w:r>
      <w:r>
        <w:br/>
        <w:t xml:space="preserve">• </w:t>
      </w:r>
      <w:r>
        <w:rPr>
          <w:rStyle w:val="Strong"/>
        </w:rPr>
        <w:t>Figure: most_variable</w:t>
      </w:r>
      <w:r w:rsidR="00C71250">
        <w:rPr>
          <w:rStyle w:val="Strong"/>
        </w:rPr>
        <w:t>_auc</w:t>
      </w:r>
      <w:r>
        <w:rPr>
          <w:rStyle w:val="Strong"/>
        </w:rPr>
        <w:t>.pdf</w:t>
      </w:r>
      <w:r>
        <w:t xml:space="preserve"> — scatter plot of drugs ranked by SD of fit_auc (y-axis); point size = number of specimens.</w:t>
      </w:r>
    </w:p>
    <w:p w14:paraId="0A45C33E" w14:textId="77777777" w:rsidR="00A82187" w:rsidRPr="0052001D" w:rsidRDefault="00A82187" w:rsidP="00A82187">
      <w:pPr>
        <w:spacing w:after="0" w:line="240" w:lineRule="auto"/>
        <w:rPr>
          <w:rFonts w:ascii="Aptos" w:eastAsia="Times New Roman" w:hAnsi="Aptos" w:cs="Times New Roman"/>
          <w:kern w:val="0"/>
          <w14:ligatures w14:val="none"/>
        </w:rPr>
      </w:pPr>
    </w:p>
    <w:p w14:paraId="5BAD9427" w14:textId="77777777" w:rsidR="00A82187" w:rsidRPr="0052001D" w:rsidRDefault="00A82187" w:rsidP="00A82187">
      <w:pPr>
        <w:pStyle w:val="NormalWeb"/>
        <w:spacing w:before="0" w:beforeAutospacing="0" w:after="0" w:afterAutospacing="0"/>
        <w:rPr>
          <w:rFonts w:ascii="Aptos" w:hAnsi="Aptos"/>
        </w:rPr>
      </w:pPr>
      <w:r w:rsidRPr="0052001D">
        <w:rPr>
          <w:rStyle w:val="Strong"/>
          <w:rFonts w:ascii="Aptos" w:eastAsiaTheme="majorEastAsia" w:hAnsi="Aptos"/>
        </w:rPr>
        <w:t>Functional enrichment of correlated features</w:t>
      </w:r>
    </w:p>
    <w:p w14:paraId="243F1B63" w14:textId="77777777" w:rsidR="00A82187" w:rsidRPr="0052001D" w:rsidRDefault="00A82187" w:rsidP="00A82187">
      <w:pPr>
        <w:pStyle w:val="NormalWeb"/>
        <w:numPr>
          <w:ilvl w:val="0"/>
          <w:numId w:val="7"/>
        </w:numPr>
        <w:spacing w:before="0" w:beforeAutospacing="0" w:after="0" w:afterAutospacing="0"/>
        <w:rPr>
          <w:rFonts w:ascii="Aptos" w:hAnsi="Aptos"/>
        </w:rPr>
      </w:pPr>
      <w:r w:rsidRPr="0052001D">
        <w:rPr>
          <w:rFonts w:ascii="Aptos" w:hAnsi="Aptos"/>
        </w:rPr>
        <w:t>Using the leapR package, correlated features were ranked and tested for enrichment against gene set collections..</w:t>
      </w:r>
    </w:p>
    <w:p w14:paraId="4851D40C" w14:textId="2E76F26D" w:rsidR="00A82187" w:rsidRPr="0052001D" w:rsidRDefault="00A82187" w:rsidP="00A82187">
      <w:pPr>
        <w:pStyle w:val="NormalWeb"/>
        <w:numPr>
          <w:ilvl w:val="0"/>
          <w:numId w:val="7"/>
        </w:numPr>
        <w:spacing w:before="0" w:beforeAutospacing="0" w:after="0" w:afterAutospacing="0"/>
        <w:rPr>
          <w:rFonts w:ascii="Aptos" w:hAnsi="Aptos"/>
        </w:rPr>
      </w:pPr>
      <w:r w:rsidRPr="0052001D">
        <w:rPr>
          <w:rFonts w:ascii="Aptos" w:hAnsi="Aptos"/>
        </w:rPr>
        <w:t xml:space="preserve">Enrichment was conducted in a </w:t>
      </w:r>
      <w:r w:rsidRPr="0052001D">
        <w:rPr>
          <w:rStyle w:val="Strong"/>
          <w:rFonts w:ascii="Aptos" w:eastAsiaTheme="majorEastAsia" w:hAnsi="Aptos"/>
        </w:rPr>
        <w:t>direction-aware</w:t>
      </w:r>
      <w:r w:rsidRPr="0052001D">
        <w:rPr>
          <w:rFonts w:ascii="Aptos" w:hAnsi="Aptos"/>
        </w:rPr>
        <w:t xml:space="preserve"> manner:</w:t>
      </w:r>
    </w:p>
    <w:p w14:paraId="0640BC56" w14:textId="77777777" w:rsidR="00A82187" w:rsidRPr="0052001D" w:rsidRDefault="00A82187" w:rsidP="00A82187">
      <w:pPr>
        <w:pStyle w:val="NormalWeb"/>
        <w:numPr>
          <w:ilvl w:val="1"/>
          <w:numId w:val="7"/>
        </w:numPr>
        <w:rPr>
          <w:rFonts w:ascii="Aptos" w:hAnsi="Aptos"/>
        </w:rPr>
      </w:pPr>
      <w:r w:rsidRPr="0052001D">
        <w:rPr>
          <w:rFonts w:ascii="Aptos" w:hAnsi="Aptos"/>
        </w:rPr>
        <w:t xml:space="preserve">“Top” (positively correlated features) highlight pathways enriched among </w:t>
      </w:r>
      <w:r w:rsidRPr="0052001D">
        <w:rPr>
          <w:rStyle w:val="Strong"/>
          <w:rFonts w:ascii="Aptos" w:eastAsiaTheme="majorEastAsia" w:hAnsi="Aptos"/>
        </w:rPr>
        <w:t>resistance-associated features</w:t>
      </w:r>
      <w:r w:rsidRPr="0052001D">
        <w:rPr>
          <w:rFonts w:ascii="Aptos" w:hAnsi="Aptos"/>
        </w:rPr>
        <w:t>.</w:t>
      </w:r>
    </w:p>
    <w:p w14:paraId="7C85D8E6" w14:textId="77777777" w:rsidR="00A82187" w:rsidRPr="0052001D" w:rsidRDefault="00A82187" w:rsidP="00A82187">
      <w:pPr>
        <w:pStyle w:val="NormalWeb"/>
        <w:numPr>
          <w:ilvl w:val="1"/>
          <w:numId w:val="7"/>
        </w:numPr>
        <w:rPr>
          <w:rFonts w:ascii="Aptos" w:hAnsi="Aptos"/>
        </w:rPr>
      </w:pPr>
      <w:r w:rsidRPr="0052001D">
        <w:rPr>
          <w:rFonts w:ascii="Aptos" w:hAnsi="Aptos"/>
        </w:rPr>
        <w:t xml:space="preserve">“Bottom” (negatively correlated features, flipped in rank) highlight pathways enriched among </w:t>
      </w:r>
      <w:r w:rsidRPr="0052001D">
        <w:rPr>
          <w:rStyle w:val="Strong"/>
          <w:rFonts w:ascii="Aptos" w:eastAsiaTheme="majorEastAsia" w:hAnsi="Aptos"/>
        </w:rPr>
        <w:t>sensitivity-associated features</w:t>
      </w:r>
      <w:r w:rsidRPr="0052001D">
        <w:rPr>
          <w:rFonts w:ascii="Aptos" w:hAnsi="Aptos"/>
        </w:rPr>
        <w:t>.</w:t>
      </w:r>
    </w:p>
    <w:p w14:paraId="35DEEF75" w14:textId="77777777" w:rsidR="00A82187" w:rsidRPr="0052001D" w:rsidRDefault="00A82187" w:rsidP="00A82187">
      <w:pPr>
        <w:pStyle w:val="NormalWeb"/>
        <w:numPr>
          <w:ilvl w:val="0"/>
          <w:numId w:val="7"/>
        </w:numPr>
        <w:rPr>
          <w:rFonts w:ascii="Aptos" w:hAnsi="Aptos"/>
        </w:rPr>
      </w:pPr>
      <w:r w:rsidRPr="0052001D">
        <w:rPr>
          <w:rFonts w:ascii="Aptos" w:hAnsi="Aptos"/>
        </w:rPr>
        <w:t>Results were summarized at multiple levels:</w:t>
      </w:r>
    </w:p>
    <w:p w14:paraId="449537BE" w14:textId="77777777" w:rsidR="00A82187" w:rsidRPr="0052001D" w:rsidRDefault="00A82187" w:rsidP="00A82187">
      <w:pPr>
        <w:pStyle w:val="NormalWeb"/>
        <w:numPr>
          <w:ilvl w:val="1"/>
          <w:numId w:val="7"/>
        </w:numPr>
        <w:rPr>
          <w:rFonts w:ascii="Aptos" w:hAnsi="Aptos"/>
        </w:rPr>
      </w:pPr>
      <w:r w:rsidRPr="0052001D">
        <w:rPr>
          <w:rStyle w:val="Strong"/>
          <w:rFonts w:ascii="Aptos" w:eastAsiaTheme="majorEastAsia" w:hAnsi="Aptos"/>
        </w:rPr>
        <w:t>Pathways per drug:</w:t>
      </w:r>
      <w:r w:rsidRPr="0052001D">
        <w:rPr>
          <w:rFonts w:ascii="Aptos" w:hAnsi="Aptos"/>
        </w:rPr>
        <w:t xml:space="preserve"> Number of significant pathways identified for each drug, separated by resistant vs sensitive associations.</w:t>
      </w:r>
    </w:p>
    <w:p w14:paraId="2B883E81" w14:textId="77777777" w:rsidR="00A82187" w:rsidRPr="0052001D" w:rsidRDefault="00A82187" w:rsidP="00A82187">
      <w:pPr>
        <w:pStyle w:val="NormalWeb"/>
        <w:numPr>
          <w:ilvl w:val="1"/>
          <w:numId w:val="7"/>
        </w:numPr>
        <w:rPr>
          <w:rFonts w:ascii="Aptos" w:hAnsi="Aptos"/>
        </w:rPr>
      </w:pPr>
      <w:r w:rsidRPr="0052001D">
        <w:rPr>
          <w:rStyle w:val="Strong"/>
          <w:rFonts w:ascii="Aptos" w:eastAsiaTheme="majorEastAsia" w:hAnsi="Aptos"/>
        </w:rPr>
        <w:t>Pathways across drugs:</w:t>
      </w:r>
      <w:r w:rsidRPr="0052001D">
        <w:rPr>
          <w:rFonts w:ascii="Aptos" w:hAnsi="Aptos"/>
        </w:rPr>
        <w:t xml:space="preserve"> Top 15 most recurrent pathways across the full drug panel, faceted by proteome vs phosphoproteome.</w:t>
      </w:r>
    </w:p>
    <w:p w14:paraId="57655275" w14:textId="73BF2984" w:rsidR="00A82187" w:rsidRPr="0052001D" w:rsidRDefault="00A82187" w:rsidP="00A82187">
      <w:pPr>
        <w:pStyle w:val="NormalWeb"/>
        <w:numPr>
          <w:ilvl w:val="1"/>
          <w:numId w:val="7"/>
        </w:numPr>
        <w:spacing w:before="0" w:beforeAutospacing="0" w:after="0" w:afterAutospacing="0"/>
        <w:rPr>
          <w:rFonts w:ascii="Aptos" w:hAnsi="Aptos"/>
        </w:rPr>
      </w:pPr>
      <w:r w:rsidRPr="0052001D">
        <w:rPr>
          <w:rStyle w:val="Strong"/>
          <w:rFonts w:ascii="Aptos" w:eastAsiaTheme="majorEastAsia" w:hAnsi="Aptos"/>
        </w:rPr>
        <w:t>Drug-specific profiles:</w:t>
      </w:r>
      <w:r w:rsidRPr="0052001D">
        <w:rPr>
          <w:rFonts w:ascii="Aptos" w:hAnsi="Aptos"/>
        </w:rPr>
        <w:t xml:space="preserve"> Bar charts of the top 15 pathways per drug and modality, annotated with significance stars (</w:t>
      </w:r>
      <w:r w:rsidRPr="0052001D">
        <w:rPr>
          <w:rFonts w:ascii="Aptos" w:eastAsiaTheme="majorEastAsia" w:hAnsi="Aptos"/>
        </w:rPr>
        <w:t>* &lt;0.05</w:t>
      </w:r>
      <w:r w:rsidRPr="0052001D">
        <w:rPr>
          <w:rFonts w:ascii="Aptos" w:hAnsi="Aptos"/>
        </w:rPr>
        <w:t xml:space="preserve">, </w:t>
      </w:r>
      <w:r w:rsidRPr="0052001D">
        <w:rPr>
          <w:rFonts w:ascii="Aptos" w:eastAsiaTheme="majorEastAsia" w:hAnsi="Aptos"/>
        </w:rPr>
        <w:t>** &lt;0.01</w:t>
      </w:r>
      <w:r w:rsidRPr="0052001D">
        <w:rPr>
          <w:rFonts w:ascii="Aptos" w:hAnsi="Aptos"/>
        </w:rPr>
        <w:t xml:space="preserve">, </w:t>
      </w:r>
      <w:r w:rsidRPr="0052001D">
        <w:rPr>
          <w:rFonts w:ascii="Aptos" w:eastAsiaTheme="majorEastAsia" w:hAnsi="Aptos"/>
        </w:rPr>
        <w:t>*** &lt;0.001</w:t>
      </w:r>
      <w:r w:rsidRPr="0052001D">
        <w:rPr>
          <w:rFonts w:ascii="Aptos" w:hAnsi="Aptos"/>
        </w:rPr>
        <w:t>)</w:t>
      </w:r>
    </w:p>
    <w:p w14:paraId="14002409" w14:textId="77777777" w:rsidR="00A82187" w:rsidRPr="0052001D" w:rsidRDefault="00A82187" w:rsidP="00A82187">
      <w:pPr>
        <w:spacing w:after="0" w:line="240" w:lineRule="auto"/>
        <w:rPr>
          <w:rFonts w:ascii="Aptos" w:eastAsia="Times New Roman" w:hAnsi="Aptos" w:cs="Times New Roman"/>
          <w:kern w:val="0"/>
          <w14:ligatures w14:val="none"/>
        </w:rPr>
      </w:pPr>
    </w:p>
    <w:p w14:paraId="67FABD1F" w14:textId="77777777" w:rsidR="00A82187" w:rsidRPr="0052001D" w:rsidRDefault="00A82187" w:rsidP="00A82187">
      <w:pPr>
        <w:spacing w:after="0" w:line="240" w:lineRule="auto"/>
        <w:outlineLvl w:val="2"/>
        <w:rPr>
          <w:rFonts w:ascii="Aptos" w:eastAsia="Times New Roman" w:hAnsi="Aptos" w:cs="Times New Roman"/>
          <w:b/>
          <w:bCs/>
          <w:kern w:val="0"/>
          <w:sz w:val="27"/>
          <w:szCs w:val="27"/>
          <w14:ligatures w14:val="none"/>
        </w:rPr>
      </w:pPr>
      <w:r w:rsidRPr="0052001D">
        <w:rPr>
          <w:rFonts w:ascii="Aptos" w:eastAsia="Times New Roman" w:hAnsi="Aptos" w:cs="Times New Roman"/>
          <w:b/>
          <w:bCs/>
          <w:kern w:val="0"/>
          <w:sz w:val="27"/>
          <w:szCs w:val="27"/>
          <w14:ligatures w14:val="none"/>
        </w:rPr>
        <w:t>Figure: pathways_across_drugs_top15.pdf</w:t>
      </w:r>
    </w:p>
    <w:p w14:paraId="1936378A" w14:textId="77777777" w:rsidR="00A82187" w:rsidRPr="0052001D" w:rsidRDefault="00A82187" w:rsidP="00A82187">
      <w:pPr>
        <w:spacing w:after="0"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t xml:space="preserve">Pathway-level summary of enrichment results across the full drug panel. Bars show the top 15 pathways (per modality) most frequently enriched among significant feature–response correlations (FDR &lt; 0.05), with direction indicating whether pathways are associated with relative </w:t>
      </w:r>
      <w:r w:rsidRPr="0052001D">
        <w:rPr>
          <w:rFonts w:ascii="Aptos" w:eastAsia="Times New Roman" w:hAnsi="Aptos" w:cs="Times New Roman"/>
          <w:b/>
          <w:bCs/>
          <w:kern w:val="0"/>
          <w14:ligatures w14:val="none"/>
        </w:rPr>
        <w:t>resistance</w:t>
      </w:r>
      <w:r w:rsidRPr="0052001D">
        <w:rPr>
          <w:rFonts w:ascii="Aptos" w:eastAsia="Times New Roman" w:hAnsi="Aptos" w:cs="Times New Roman"/>
          <w:kern w:val="0"/>
          <w14:ligatures w14:val="none"/>
        </w:rPr>
        <w:t xml:space="preserve"> (features positively correlated with viability) or </w:t>
      </w:r>
      <w:r w:rsidRPr="0052001D">
        <w:rPr>
          <w:rFonts w:ascii="Aptos" w:eastAsia="Times New Roman" w:hAnsi="Aptos" w:cs="Times New Roman"/>
          <w:b/>
          <w:bCs/>
          <w:kern w:val="0"/>
          <w14:ligatures w14:val="none"/>
        </w:rPr>
        <w:t>sensitivity</w:t>
      </w:r>
      <w:r w:rsidRPr="0052001D">
        <w:rPr>
          <w:rFonts w:ascii="Aptos" w:eastAsia="Times New Roman" w:hAnsi="Aptos" w:cs="Times New Roman"/>
          <w:kern w:val="0"/>
          <w14:ligatures w14:val="none"/>
        </w:rPr>
        <w:t xml:space="preserve"> (features negatively correlated with viability). This highlights recurrent biological programs linked to drug response.</w:t>
      </w:r>
    </w:p>
    <w:p w14:paraId="64C97A04" w14:textId="77777777" w:rsidR="00A82187" w:rsidRPr="0052001D" w:rsidRDefault="00A82187" w:rsidP="00A82187">
      <w:pPr>
        <w:spacing w:after="0" w:line="240" w:lineRule="auto"/>
        <w:rPr>
          <w:rFonts w:ascii="Aptos" w:eastAsia="Times New Roman" w:hAnsi="Aptos" w:cs="Times New Roman"/>
          <w:kern w:val="0"/>
          <w14:ligatures w14:val="none"/>
        </w:rPr>
      </w:pPr>
    </w:p>
    <w:p w14:paraId="0C778CB7" w14:textId="1D6A1CF3" w:rsidR="00057AE6" w:rsidRPr="0052001D" w:rsidRDefault="00057AE6" w:rsidP="00A82187">
      <w:pPr>
        <w:spacing w:after="0" w:line="240" w:lineRule="auto"/>
        <w:rPr>
          <w:rFonts w:ascii="Aptos" w:eastAsia="Times New Roman" w:hAnsi="Aptos" w:cs="Times New Roman"/>
          <w:b/>
          <w:bCs/>
          <w:kern w:val="0"/>
          <w14:ligatures w14:val="none"/>
        </w:rPr>
      </w:pPr>
      <w:r w:rsidRPr="0052001D">
        <w:rPr>
          <w:rFonts w:ascii="Aptos" w:eastAsia="Times New Roman" w:hAnsi="Aptos" w:cs="Times New Roman"/>
          <w:b/>
          <w:bCs/>
          <w:kern w:val="0"/>
          <w14:ligatures w14:val="none"/>
        </w:rPr>
        <w:t>Generalized figures:</w:t>
      </w:r>
    </w:p>
    <w:p w14:paraId="19E249AD" w14:textId="3DC61F27" w:rsidR="00057AE6" w:rsidRPr="0052001D" w:rsidRDefault="008D51A1" w:rsidP="00A82187">
      <w:pPr>
        <w:spacing w:after="0" w:line="240" w:lineRule="auto"/>
        <w:rPr>
          <w:rFonts w:ascii="Aptos" w:hAnsi="Aptos"/>
        </w:rPr>
      </w:pPr>
      <w:r w:rsidRPr="0052001D">
        <w:rPr>
          <w:rFonts w:ascii="Aptos" w:hAnsi="Aptos"/>
        </w:rPr>
        <w:t xml:space="preserve">Generalized pathway enrichment figures were generated for the </w:t>
      </w:r>
      <w:r w:rsidRPr="0052001D">
        <w:rPr>
          <w:rFonts w:ascii="Aptos" w:hAnsi="Aptos"/>
          <w:b/>
          <w:bCs/>
        </w:rPr>
        <w:t>two most efficacious</w:t>
      </w:r>
      <w:r w:rsidRPr="0052001D">
        <w:rPr>
          <w:rFonts w:ascii="Aptos" w:hAnsi="Aptos"/>
        </w:rPr>
        <w:t xml:space="preserve"> drugs, the </w:t>
      </w:r>
      <w:r w:rsidRPr="0052001D">
        <w:rPr>
          <w:rFonts w:ascii="Aptos" w:hAnsi="Aptos"/>
          <w:b/>
          <w:bCs/>
        </w:rPr>
        <w:t>two most variable drugs</w:t>
      </w:r>
      <w:r w:rsidRPr="0052001D">
        <w:rPr>
          <w:rFonts w:ascii="Aptos" w:hAnsi="Aptos"/>
        </w:rPr>
        <w:t xml:space="preserve">, and </w:t>
      </w:r>
      <w:r w:rsidRPr="0052001D">
        <w:rPr>
          <w:rFonts w:ascii="Aptos" w:hAnsi="Aptos"/>
          <w:b/>
          <w:bCs/>
        </w:rPr>
        <w:t>Onalespib.</w:t>
      </w:r>
    </w:p>
    <w:p w14:paraId="6CD16099" w14:textId="77777777" w:rsidR="00057AE6" w:rsidRDefault="00057AE6" w:rsidP="00A82187">
      <w:pPr>
        <w:spacing w:after="0" w:line="240" w:lineRule="auto"/>
        <w:rPr>
          <w:rFonts w:ascii="Aptos" w:eastAsia="Times New Roman" w:hAnsi="Aptos" w:cs="Times New Roman"/>
          <w:kern w:val="0"/>
          <w14:ligatures w14:val="none"/>
        </w:rPr>
      </w:pPr>
    </w:p>
    <w:p w14:paraId="1C3012F5" w14:textId="5AE2591D" w:rsidR="00AE5AC7" w:rsidRPr="00AE5AC7" w:rsidRDefault="00AE5AC7" w:rsidP="00A82187">
      <w:pPr>
        <w:spacing w:after="0" w:line="240" w:lineRule="auto"/>
        <w:rPr>
          <w:rFonts w:ascii="Aptos" w:eastAsia="Times New Roman" w:hAnsi="Aptos" w:cs="Times New Roman"/>
          <w:b/>
          <w:bCs/>
          <w:kern w:val="0"/>
          <w:sz w:val="27"/>
          <w:szCs w:val="27"/>
          <w14:ligatures w14:val="none"/>
        </w:rPr>
      </w:pPr>
      <w:r>
        <w:rPr>
          <w:rStyle w:val="HTMLCode"/>
          <w:rFonts w:ascii="Aptos" w:eastAsiaTheme="majorEastAsia" w:hAnsi="Aptos"/>
          <w:b/>
          <w:bCs/>
          <w:sz w:val="27"/>
          <w:szCs w:val="27"/>
        </w:rPr>
        <w:t xml:space="preserve">Figure: </w:t>
      </w:r>
      <w:r w:rsidRPr="00AE5AC7">
        <w:rPr>
          <w:rStyle w:val="HTMLCode"/>
          <w:rFonts w:ascii="Aptos" w:eastAsiaTheme="majorEastAsia" w:hAnsi="Aptos"/>
          <w:b/>
          <w:bCs/>
          <w:sz w:val="27"/>
          <w:szCs w:val="27"/>
        </w:rPr>
        <w:t>pathways_&lt;Drug&gt;_&lt;omics&gt;_&lt;efficacy&gt;_&lt;drug_response&gt;_top15.pdf</w:t>
      </w:r>
    </w:p>
    <w:p w14:paraId="3F594C6C" w14:textId="4172E70B" w:rsidR="00A82187" w:rsidRPr="00AE5AC7" w:rsidRDefault="00AE5AC7" w:rsidP="00A82187">
      <w:pPr>
        <w:spacing w:after="0" w:line="240" w:lineRule="auto"/>
        <w:rPr>
          <w:rFonts w:ascii="Aptos" w:hAnsi="Aptos"/>
        </w:rPr>
      </w:pPr>
      <w:r w:rsidRPr="00AE5AC7">
        <w:rPr>
          <w:rFonts w:ascii="Aptos" w:hAnsi="Aptos"/>
        </w:rPr>
        <w:t>Each pathway figure (</w:t>
      </w:r>
      <w:r w:rsidRPr="00AE5AC7">
        <w:rPr>
          <w:rStyle w:val="HTMLCode"/>
          <w:rFonts w:ascii="Aptos" w:eastAsiaTheme="majorEastAsia" w:hAnsi="Aptos"/>
          <w:sz w:val="24"/>
          <w:szCs w:val="24"/>
        </w:rPr>
        <w:t>pathways_&lt;Drug&gt;_&lt;omics&gt;_&lt;efficacy&gt;_&lt;drug_response&gt;_top15.pdf</w:t>
      </w:r>
      <w:r w:rsidRPr="00AE5AC7">
        <w:rPr>
          <w:rFonts w:ascii="Aptos" w:hAnsi="Aptos"/>
        </w:rPr>
        <w:t xml:space="preserve">) displays the top 15 enriched pathways whose molecular features are most strongly associated with the drug response profile for </w:t>
      </w:r>
      <w:r w:rsidRPr="00AE5AC7">
        <w:rPr>
          <w:rStyle w:val="HTMLCode"/>
          <w:rFonts w:ascii="Aptos" w:eastAsiaTheme="majorEastAsia" w:hAnsi="Aptos"/>
          <w:sz w:val="24"/>
          <w:szCs w:val="24"/>
        </w:rPr>
        <w:t>&lt;Drug&gt;</w:t>
      </w:r>
      <w:r w:rsidRPr="00AE5AC7">
        <w:rPr>
          <w:rFonts w:ascii="Aptos" w:hAnsi="Aptos"/>
        </w:rPr>
        <w:t xml:space="preserve">. The </w:t>
      </w:r>
      <w:r w:rsidRPr="00AE5AC7">
        <w:rPr>
          <w:rStyle w:val="HTMLCode"/>
          <w:rFonts w:ascii="Aptos" w:eastAsiaTheme="majorEastAsia" w:hAnsi="Aptos"/>
          <w:sz w:val="24"/>
          <w:szCs w:val="24"/>
        </w:rPr>
        <w:t>&lt;omics&gt;</w:t>
      </w:r>
      <w:r w:rsidRPr="00AE5AC7">
        <w:rPr>
          <w:rFonts w:ascii="Aptos" w:hAnsi="Aptos"/>
        </w:rPr>
        <w:t xml:space="preserve"> field indicates whether </w:t>
      </w:r>
      <w:r w:rsidRPr="00AE5AC7">
        <w:rPr>
          <w:rFonts w:ascii="Aptos" w:hAnsi="Aptos"/>
        </w:rPr>
        <w:lastRenderedPageBreak/>
        <w:t xml:space="preserve">enrichment was performed on </w:t>
      </w:r>
      <w:r w:rsidRPr="00AE5AC7">
        <w:rPr>
          <w:rStyle w:val="Strong"/>
          <w:rFonts w:ascii="Aptos" w:hAnsi="Aptos"/>
        </w:rPr>
        <w:t>global proteomics</w:t>
      </w:r>
      <w:r w:rsidRPr="00AE5AC7">
        <w:rPr>
          <w:rFonts w:ascii="Aptos" w:hAnsi="Aptos"/>
        </w:rPr>
        <w:t xml:space="preserve"> (</w:t>
      </w:r>
      <w:r w:rsidRPr="00AE5AC7">
        <w:rPr>
          <w:rStyle w:val="HTMLCode"/>
          <w:rFonts w:ascii="Aptos" w:eastAsiaTheme="majorEastAsia" w:hAnsi="Aptos"/>
          <w:sz w:val="24"/>
          <w:szCs w:val="24"/>
        </w:rPr>
        <w:t>global</w:t>
      </w:r>
      <w:r w:rsidRPr="00AE5AC7">
        <w:rPr>
          <w:rFonts w:ascii="Aptos" w:hAnsi="Aptos"/>
        </w:rPr>
        <w:t xml:space="preserve">) or </w:t>
      </w:r>
      <w:r w:rsidRPr="00AE5AC7">
        <w:rPr>
          <w:rStyle w:val="Strong"/>
          <w:rFonts w:ascii="Aptos" w:hAnsi="Aptos"/>
        </w:rPr>
        <w:t>phosphoproteomics</w:t>
      </w:r>
      <w:r w:rsidRPr="00AE5AC7">
        <w:rPr>
          <w:rFonts w:ascii="Aptos" w:hAnsi="Aptos"/>
        </w:rPr>
        <w:t xml:space="preserve"> (</w:t>
      </w:r>
      <w:r w:rsidRPr="00AE5AC7">
        <w:rPr>
          <w:rStyle w:val="HTMLCode"/>
          <w:rFonts w:ascii="Aptos" w:eastAsiaTheme="majorEastAsia" w:hAnsi="Aptos"/>
          <w:sz w:val="24"/>
          <w:szCs w:val="24"/>
        </w:rPr>
        <w:t>phospho</w:t>
      </w:r>
      <w:r w:rsidRPr="00AE5AC7">
        <w:rPr>
          <w:rFonts w:ascii="Aptos" w:hAnsi="Aptos"/>
        </w:rPr>
        <w:t xml:space="preserve">) data. The </w:t>
      </w:r>
      <w:r w:rsidRPr="00AE5AC7">
        <w:rPr>
          <w:rStyle w:val="HTMLCode"/>
          <w:rFonts w:ascii="Aptos" w:eastAsiaTheme="majorEastAsia" w:hAnsi="Aptos"/>
          <w:sz w:val="24"/>
          <w:szCs w:val="24"/>
        </w:rPr>
        <w:t>&lt;efficacy&gt;</w:t>
      </w:r>
      <w:r w:rsidRPr="00AE5AC7">
        <w:rPr>
          <w:rFonts w:ascii="Aptos" w:hAnsi="Aptos"/>
        </w:rPr>
        <w:t xml:space="preserve"> field specifies whether the pathways are associated with </w:t>
      </w:r>
      <w:r w:rsidRPr="00AE5AC7">
        <w:rPr>
          <w:rStyle w:val="Strong"/>
          <w:rFonts w:ascii="Aptos" w:hAnsi="Aptos"/>
        </w:rPr>
        <w:t>relative resistance</w:t>
      </w:r>
      <w:r w:rsidRPr="00AE5AC7">
        <w:rPr>
          <w:rFonts w:ascii="Aptos" w:hAnsi="Aptos"/>
        </w:rPr>
        <w:t xml:space="preserve"> (</w:t>
      </w:r>
      <w:r w:rsidRPr="00AE5AC7">
        <w:rPr>
          <w:rStyle w:val="HTMLCode"/>
          <w:rFonts w:ascii="Aptos" w:eastAsiaTheme="majorEastAsia" w:hAnsi="Aptos"/>
          <w:sz w:val="24"/>
          <w:szCs w:val="24"/>
        </w:rPr>
        <w:t>resistant</w:t>
      </w:r>
      <w:r w:rsidRPr="00AE5AC7">
        <w:rPr>
          <w:rFonts w:ascii="Aptos" w:hAnsi="Aptos"/>
        </w:rPr>
        <w:t xml:space="preserve">, features </w:t>
      </w:r>
      <w:r w:rsidRPr="00AE5AC7">
        <w:rPr>
          <w:rStyle w:val="Strong"/>
          <w:rFonts w:ascii="Aptos" w:hAnsi="Aptos"/>
        </w:rPr>
        <w:t>positively</w:t>
      </w:r>
      <w:r w:rsidRPr="00AE5AC7">
        <w:rPr>
          <w:rFonts w:ascii="Aptos" w:hAnsi="Aptos"/>
        </w:rPr>
        <w:t xml:space="preserve"> correlated with drug response) or </w:t>
      </w:r>
      <w:r w:rsidRPr="00AE5AC7">
        <w:rPr>
          <w:rStyle w:val="Strong"/>
          <w:rFonts w:ascii="Aptos" w:hAnsi="Aptos"/>
        </w:rPr>
        <w:t>relative sensitivity</w:t>
      </w:r>
      <w:r w:rsidRPr="00AE5AC7">
        <w:rPr>
          <w:rFonts w:ascii="Aptos" w:hAnsi="Aptos"/>
        </w:rPr>
        <w:t xml:space="preserve"> (</w:t>
      </w:r>
      <w:r w:rsidRPr="00AE5AC7">
        <w:rPr>
          <w:rStyle w:val="HTMLCode"/>
          <w:rFonts w:ascii="Aptos" w:eastAsiaTheme="majorEastAsia" w:hAnsi="Aptos"/>
          <w:sz w:val="24"/>
          <w:szCs w:val="24"/>
        </w:rPr>
        <w:t>sensitive</w:t>
      </w:r>
      <w:r w:rsidRPr="00AE5AC7">
        <w:rPr>
          <w:rFonts w:ascii="Aptos" w:hAnsi="Aptos"/>
        </w:rPr>
        <w:t xml:space="preserve">, features </w:t>
      </w:r>
      <w:r w:rsidRPr="00AE5AC7">
        <w:rPr>
          <w:rStyle w:val="Strong"/>
          <w:rFonts w:ascii="Aptos" w:hAnsi="Aptos"/>
        </w:rPr>
        <w:t>negatively</w:t>
      </w:r>
      <w:r w:rsidRPr="00AE5AC7">
        <w:rPr>
          <w:rFonts w:ascii="Aptos" w:hAnsi="Aptos"/>
        </w:rPr>
        <w:t xml:space="preserve"> correlated with drug response). The </w:t>
      </w:r>
      <w:r w:rsidRPr="00AE5AC7">
        <w:rPr>
          <w:rStyle w:val="HTMLCode"/>
          <w:rFonts w:ascii="Aptos" w:eastAsiaTheme="majorEastAsia" w:hAnsi="Aptos"/>
          <w:sz w:val="24"/>
          <w:szCs w:val="24"/>
        </w:rPr>
        <w:t>&lt;drug_response&gt;</w:t>
      </w:r>
      <w:r w:rsidRPr="00AE5AC7">
        <w:rPr>
          <w:rFonts w:ascii="Aptos" w:hAnsi="Aptos"/>
        </w:rPr>
        <w:t xml:space="preserve"> field denotes whether correlations were computed using </w:t>
      </w:r>
      <w:r w:rsidRPr="00AE5AC7">
        <w:rPr>
          <w:rStyle w:val="Strong"/>
          <w:rFonts w:ascii="Aptos" w:hAnsi="Aptos"/>
        </w:rPr>
        <w:t>single-dose viability</w:t>
      </w:r>
      <w:r w:rsidRPr="00AE5AC7">
        <w:rPr>
          <w:rFonts w:ascii="Aptos" w:hAnsi="Aptos"/>
        </w:rPr>
        <w:t xml:space="preserve"> (</w:t>
      </w:r>
      <w:r w:rsidRPr="00AE5AC7">
        <w:rPr>
          <w:rStyle w:val="HTMLCode"/>
          <w:rFonts w:ascii="Aptos" w:eastAsiaTheme="majorEastAsia" w:hAnsi="Aptos"/>
          <w:sz w:val="24"/>
          <w:szCs w:val="24"/>
        </w:rPr>
        <w:t>viability</w:t>
      </w:r>
      <w:r w:rsidRPr="00AE5AC7">
        <w:rPr>
          <w:rFonts w:ascii="Aptos" w:hAnsi="Aptos"/>
        </w:rPr>
        <w:t xml:space="preserve">) or </w:t>
      </w:r>
      <w:r w:rsidRPr="00AE5AC7">
        <w:rPr>
          <w:rStyle w:val="Strong"/>
          <w:rFonts w:ascii="Aptos" w:hAnsi="Aptos"/>
        </w:rPr>
        <w:t>dose-response fit_auc</w:t>
      </w:r>
      <w:r w:rsidRPr="00AE5AC7">
        <w:rPr>
          <w:rFonts w:ascii="Aptos" w:hAnsi="Aptos"/>
        </w:rPr>
        <w:t xml:space="preserve"> (</w:t>
      </w:r>
      <w:r w:rsidRPr="00AE5AC7">
        <w:rPr>
          <w:rStyle w:val="HTMLCode"/>
          <w:rFonts w:ascii="Aptos" w:eastAsiaTheme="majorEastAsia" w:hAnsi="Aptos"/>
          <w:sz w:val="24"/>
          <w:szCs w:val="24"/>
        </w:rPr>
        <w:t>fit_auc</w:t>
      </w:r>
      <w:r w:rsidRPr="00AE5AC7">
        <w:rPr>
          <w:rFonts w:ascii="Aptos" w:hAnsi="Aptos"/>
        </w:rPr>
        <w:t>). In all cases, pathways are ranked by −log10(FDR), and significance is annotated using standard thresholds (* &lt;0.05, ** &lt;0.01, *** &lt;0.001). These figures collectively summarize the biological programs whose protein abundance or phosphorylation levels track with either enhanced or diminished drug effect across patient samples.</w:t>
      </w:r>
    </w:p>
    <w:p w14:paraId="6BFA9D27" w14:textId="77777777" w:rsidR="00343AEB" w:rsidRPr="0052001D" w:rsidRDefault="00343AEB" w:rsidP="00A82187">
      <w:pPr>
        <w:spacing w:after="0"/>
        <w:rPr>
          <w:rFonts w:ascii="Aptos" w:hAnsi="Aptos"/>
        </w:rPr>
      </w:pPr>
    </w:p>
    <w:p w14:paraId="43A92F82" w14:textId="77777777" w:rsidR="00343AEB" w:rsidRPr="0052001D" w:rsidRDefault="00343AEB" w:rsidP="00A82187">
      <w:pPr>
        <w:spacing w:after="0"/>
        <w:rPr>
          <w:rFonts w:ascii="Aptos" w:hAnsi="Aptos"/>
        </w:rPr>
      </w:pPr>
    </w:p>
    <w:p w14:paraId="0CFA31A8" w14:textId="2A9FF2BE" w:rsidR="00057AE6" w:rsidRPr="0052001D" w:rsidRDefault="008D51A1" w:rsidP="00A82187">
      <w:pPr>
        <w:spacing w:after="0"/>
        <w:rPr>
          <w:rFonts w:ascii="Aptos" w:hAnsi="Aptos"/>
        </w:rPr>
      </w:pPr>
      <w:r w:rsidRPr="0052001D">
        <w:rPr>
          <w:rStyle w:val="Strong"/>
          <w:rFonts w:ascii="Aptos" w:hAnsi="Aptos"/>
        </w:rPr>
        <w:t>Note on Onalespib (and other uniformly potent drugs):</w:t>
      </w:r>
      <w:r w:rsidRPr="0052001D">
        <w:rPr>
          <w:rFonts w:ascii="Aptos" w:hAnsi="Aptos"/>
        </w:rPr>
        <w:br/>
        <w:t>Onalespib was one of the most efficacious compounds in the panel, but because nearly all samples were highly sensitive, the variability across specimens was minimal. Correlation-based enrichment relies on inter-patient heterogeneity; without it, even strong biological effects cannot be linked robustly to specific pathways. This explains why Onalespib yields few significant pathways despite its overall potency.</w:t>
      </w:r>
    </w:p>
    <w:p w14:paraId="478DB347" w14:textId="77777777" w:rsidR="0052001D" w:rsidRPr="0052001D" w:rsidRDefault="0052001D" w:rsidP="00A82187">
      <w:pPr>
        <w:spacing w:after="0"/>
        <w:rPr>
          <w:rFonts w:ascii="Aptos" w:hAnsi="Aptos"/>
        </w:rPr>
      </w:pPr>
    </w:p>
    <w:p w14:paraId="7670FCC0" w14:textId="77777777" w:rsidR="0052001D" w:rsidRPr="0052001D" w:rsidRDefault="004C4A60" w:rsidP="0052001D">
      <w:pPr>
        <w:rPr>
          <w:rFonts w:ascii="Aptos" w:hAnsi="Aptos"/>
        </w:rPr>
      </w:pPr>
      <w:r>
        <w:rPr>
          <w:rFonts w:ascii="Aptos" w:eastAsia="Times New Roman" w:hAnsi="Aptos" w:cs="Times New Roman"/>
          <w:noProof/>
          <w:kern w:val="0"/>
        </w:rPr>
        <w:pict w14:anchorId="1A01B649">
          <v:rect id="_x0000_i1025" alt="" style="width:468pt;height:.05pt;mso-width-percent:0;mso-height-percent:0;mso-width-percent:0;mso-height-percent:0" o:hralign="center" o:hrstd="t" o:hr="t" fillcolor="#a0a0a0" stroked="f"/>
        </w:pict>
      </w:r>
    </w:p>
    <w:p w14:paraId="679D5074" w14:textId="77777777" w:rsidR="0052001D" w:rsidRPr="0052001D" w:rsidRDefault="0052001D" w:rsidP="0052001D">
      <w:pPr>
        <w:rPr>
          <w:rFonts w:ascii="Aptos" w:hAnsi="Aptos"/>
          <w:b/>
          <w:bCs/>
        </w:rPr>
      </w:pPr>
    </w:p>
    <w:p w14:paraId="0DF28DB0" w14:textId="77777777" w:rsidR="0052001D" w:rsidRPr="0052001D" w:rsidRDefault="0052001D" w:rsidP="0052001D">
      <w:pPr>
        <w:spacing w:before="100" w:beforeAutospacing="1" w:after="100" w:afterAutospacing="1" w:line="240" w:lineRule="auto"/>
        <w:outlineLvl w:val="0"/>
        <w:rPr>
          <w:rFonts w:ascii="Aptos" w:eastAsia="Times New Roman" w:hAnsi="Aptos" w:cs="Times New Roman"/>
          <w:b/>
          <w:bCs/>
          <w:kern w:val="36"/>
          <w:sz w:val="36"/>
          <w:szCs w:val="36"/>
          <w14:ligatures w14:val="none"/>
        </w:rPr>
      </w:pPr>
      <w:r w:rsidRPr="0052001D">
        <w:rPr>
          <w:rFonts w:ascii="Aptos" w:eastAsia="Times New Roman" w:hAnsi="Aptos" w:cs="Times New Roman"/>
          <w:b/>
          <w:bCs/>
          <w:kern w:val="36"/>
          <w:sz w:val="36"/>
          <w:szCs w:val="36"/>
          <w14:ligatures w14:val="none"/>
        </w:rPr>
        <w:t>RNA-Seq / Differential Expression Analysis / Gene Set Enrichment</w:t>
      </w:r>
    </w:p>
    <w:p w14:paraId="1ED91C60" w14:textId="77777777" w:rsidR="0052001D" w:rsidRDefault="0052001D" w:rsidP="0052001D">
      <w:p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b/>
          <w:bCs/>
          <w:kern w:val="0"/>
          <w14:ligatures w14:val="none"/>
        </w:rPr>
        <w:t>Samples and preprocessing.</w:t>
      </w:r>
      <w:r w:rsidRPr="0052001D">
        <w:rPr>
          <w:rFonts w:ascii="Aptos" w:eastAsia="Times New Roman" w:hAnsi="Aptos" w:cs="Times New Roman"/>
          <w:kern w:val="0"/>
          <w14:ligatures w14:val="none"/>
        </w:rPr>
        <w:br/>
        <w:t xml:space="preserve">RNA-seq quantifications (Salmon gene-level </w:t>
      </w:r>
      <w:r w:rsidRPr="0052001D">
        <w:rPr>
          <w:rFonts w:ascii="Aptos" w:eastAsia="Times New Roman" w:hAnsi="Aptos" w:cs="Courier New"/>
          <w:kern w:val="0"/>
          <w14:ligatures w14:val="none"/>
        </w:rPr>
        <w:t>quant.genes.sf</w:t>
      </w:r>
      <w:r w:rsidRPr="0052001D">
        <w:rPr>
          <w:rFonts w:ascii="Aptos" w:eastAsia="Times New Roman" w:hAnsi="Aptos" w:cs="Times New Roman"/>
          <w:kern w:val="0"/>
          <w14:ligatures w14:val="none"/>
        </w:rPr>
        <w:t xml:space="preserve">) were retrieved for two conditions from the same organoid line (NF0021-T1): </w:t>
      </w:r>
    </w:p>
    <w:p w14:paraId="345E74FA" w14:textId="6AD7970F" w:rsidR="0052001D" w:rsidRDefault="0052001D" w:rsidP="0052001D">
      <w:p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kern w:val="0"/>
          <w14:ligatures w14:val="none"/>
        </w:rPr>
        <w:t xml:space="preserve">1) </w:t>
      </w:r>
      <w:r w:rsidRPr="0052001D">
        <w:rPr>
          <w:rFonts w:ascii="Aptos" w:eastAsia="Times New Roman" w:hAnsi="Aptos" w:cs="Times New Roman"/>
          <w:kern w:val="0"/>
          <w14:ligatures w14:val="none"/>
        </w:rPr>
        <w:t>untreated organoids</w:t>
      </w:r>
    </w:p>
    <w:p w14:paraId="5EC5BA76" w14:textId="6BCB1508" w:rsidR="0052001D" w:rsidRDefault="0052001D" w:rsidP="0052001D">
      <w:p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kern w:val="0"/>
          <w14:ligatures w14:val="none"/>
        </w:rPr>
        <w:t>2)</w:t>
      </w:r>
      <w:r w:rsidRPr="0052001D">
        <w:rPr>
          <w:rFonts w:ascii="Aptos" w:eastAsia="Times New Roman" w:hAnsi="Aptos" w:cs="Times New Roman"/>
          <w:kern w:val="0"/>
          <w14:ligatures w14:val="none"/>
        </w:rPr>
        <w:t xml:space="preserve"> Onalespib (1 µM) treated organoids</w:t>
      </w:r>
    </w:p>
    <w:p w14:paraId="2D324BF7" w14:textId="68F2B409" w:rsidR="0052001D" w:rsidRPr="0052001D" w:rsidRDefault="0052001D" w:rsidP="0052001D">
      <w:p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t xml:space="preserve">Raw read counts were assembled into a gene × sample matrix and filtered to retain genes with total counts ≥ 10 across the two samples. Size-factor normalization was performed with </w:t>
      </w:r>
      <w:r w:rsidRPr="0052001D">
        <w:rPr>
          <w:rFonts w:ascii="Aptos" w:eastAsia="Times New Roman" w:hAnsi="Aptos" w:cs="Times New Roman"/>
          <w:b/>
          <w:bCs/>
          <w:kern w:val="0"/>
          <w14:ligatures w14:val="none"/>
        </w:rPr>
        <w:t>DESeq2</w:t>
      </w:r>
      <w:r w:rsidRPr="0052001D">
        <w:rPr>
          <w:rFonts w:ascii="Aptos" w:eastAsia="Times New Roman" w:hAnsi="Aptos" w:cs="Times New Roman"/>
          <w:kern w:val="0"/>
          <w14:ligatures w14:val="none"/>
        </w:rPr>
        <w:t xml:space="preserve"> to obtain normalized counts.</w:t>
      </w:r>
    </w:p>
    <w:p w14:paraId="20423166" w14:textId="77777777" w:rsidR="005208F3" w:rsidRDefault="0052001D" w:rsidP="0052001D">
      <w:p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b/>
          <w:bCs/>
          <w:kern w:val="0"/>
          <w14:ligatures w14:val="none"/>
        </w:rPr>
        <w:t>Effect-size estimation (no replication).</w:t>
      </w:r>
      <w:r w:rsidRPr="0052001D">
        <w:rPr>
          <w:rFonts w:ascii="Aptos" w:eastAsia="Times New Roman" w:hAnsi="Aptos" w:cs="Times New Roman"/>
          <w:kern w:val="0"/>
          <w14:ligatures w14:val="none"/>
        </w:rPr>
        <w:br/>
        <w:t>Because we have one sample per condition, formal differential testing is not performed. Instead, we report exploratory effect sizes: per-gene log2 fold-change (log2FC) computed from normalized counts as</w:t>
      </w:r>
      <w:r w:rsidRPr="0052001D">
        <w:rPr>
          <w:rFonts w:ascii="Aptos" w:eastAsia="Times New Roman" w:hAnsi="Aptos" w:cs="Times New Roman"/>
          <w:kern w:val="0"/>
          <w14:ligatures w14:val="none"/>
        </w:rPr>
        <w:br/>
      </w:r>
      <w:r w:rsidRPr="0052001D">
        <w:rPr>
          <w:rFonts w:ascii="Aptos" w:eastAsia="Times New Roman" w:hAnsi="Aptos" w:cs="Courier New"/>
          <w:kern w:val="0"/>
          <w14:ligatures w14:val="none"/>
        </w:rPr>
        <w:lastRenderedPageBreak/>
        <w:t>log2FC = log2((Onalespib + 1) / (Untreated + 1))</w:t>
      </w:r>
      <w:r w:rsidRPr="0052001D">
        <w:rPr>
          <w:rFonts w:ascii="Aptos" w:eastAsia="Times New Roman" w:hAnsi="Aptos" w:cs="Times New Roman"/>
          <w:kern w:val="0"/>
          <w14:ligatures w14:val="none"/>
        </w:rPr>
        <w:t>.</w:t>
      </w:r>
      <w:r w:rsidRPr="0052001D">
        <w:rPr>
          <w:rFonts w:ascii="Aptos" w:eastAsia="Times New Roman" w:hAnsi="Aptos" w:cs="Times New Roman"/>
          <w:kern w:val="0"/>
          <w14:ligatures w14:val="none"/>
        </w:rPr>
        <w:br/>
        <w:t xml:space="preserve">These values </w:t>
      </w:r>
      <w:r w:rsidRPr="0052001D">
        <w:rPr>
          <w:rFonts w:ascii="Aptos" w:eastAsia="Times New Roman" w:hAnsi="Aptos" w:cs="Times New Roman"/>
          <w:b/>
          <w:bCs/>
          <w:kern w:val="0"/>
          <w14:ligatures w14:val="none"/>
        </w:rPr>
        <w:t>support</w:t>
      </w:r>
      <w:r w:rsidRPr="0052001D">
        <w:rPr>
          <w:rFonts w:ascii="Aptos" w:eastAsia="Times New Roman" w:hAnsi="Aptos" w:cs="Times New Roman"/>
          <w:kern w:val="0"/>
          <w14:ligatures w14:val="none"/>
        </w:rPr>
        <w:t xml:space="preserve"> ranking and visualization</w:t>
      </w:r>
      <w:r>
        <w:rPr>
          <w:rFonts w:ascii="Aptos" w:eastAsia="Times New Roman" w:hAnsi="Aptos" w:cs="Times New Roman"/>
          <w:kern w:val="0"/>
          <w14:ligatures w14:val="none"/>
        </w:rPr>
        <w:t xml:space="preserve">, and </w:t>
      </w:r>
      <w:r w:rsidRPr="0052001D">
        <w:rPr>
          <w:rFonts w:ascii="Aptos" w:eastAsia="Times New Roman" w:hAnsi="Aptos" w:cs="Times New Roman"/>
          <w:b/>
          <w:bCs/>
          <w:kern w:val="0"/>
          <w14:ligatures w14:val="none"/>
        </w:rPr>
        <w:t>hypothesis generation</w:t>
      </w:r>
      <w:r w:rsidRPr="0052001D">
        <w:rPr>
          <w:rFonts w:ascii="Aptos" w:eastAsia="Times New Roman" w:hAnsi="Aptos" w:cs="Times New Roman"/>
          <w:kern w:val="0"/>
          <w14:ligatures w14:val="none"/>
        </w:rPr>
        <w:t xml:space="preserve"> but should be interpreted as descriptive (no p-values).</w:t>
      </w:r>
    </w:p>
    <w:p w14:paraId="02A826A3" w14:textId="7AAED584" w:rsidR="0052001D" w:rsidRPr="0052001D" w:rsidRDefault="0052001D" w:rsidP="0052001D">
      <w:p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b/>
          <w:bCs/>
          <w:kern w:val="0"/>
          <w14:ligatures w14:val="none"/>
        </w:rPr>
        <w:t>Ranked list for enrichment.</w:t>
      </w:r>
      <w:r w:rsidRPr="0052001D">
        <w:rPr>
          <w:rFonts w:ascii="Aptos" w:eastAsia="Times New Roman" w:hAnsi="Aptos" w:cs="Times New Roman"/>
          <w:kern w:val="0"/>
          <w14:ligatures w14:val="none"/>
        </w:rPr>
        <w:br/>
        <w:t>Symbols were converted to ENTREZ ID; when multiple rows mapped to the same ENTREZ, we used the median log2FC per ENTREZ for enrichment.</w:t>
      </w:r>
    </w:p>
    <w:p w14:paraId="07DEF24A" w14:textId="3DF65FEB" w:rsidR="0052001D" w:rsidRPr="0052001D" w:rsidRDefault="0052001D" w:rsidP="0052001D">
      <w:p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b/>
          <w:bCs/>
          <w:kern w:val="0"/>
          <w14:ligatures w14:val="none"/>
        </w:rPr>
        <w:t>Gene set enrichment analysis (GSEA).</w:t>
      </w:r>
      <w:r w:rsidRPr="0052001D">
        <w:rPr>
          <w:rFonts w:ascii="Aptos" w:eastAsia="Times New Roman" w:hAnsi="Aptos" w:cs="Times New Roman"/>
          <w:kern w:val="0"/>
          <w14:ligatures w14:val="none"/>
        </w:rPr>
        <w:br/>
        <w:t xml:space="preserve">We ran </w:t>
      </w:r>
      <w:r w:rsidRPr="0052001D">
        <w:rPr>
          <w:rFonts w:ascii="Aptos" w:eastAsia="Times New Roman" w:hAnsi="Aptos" w:cs="Times New Roman"/>
          <w:b/>
          <w:bCs/>
          <w:kern w:val="0"/>
          <w14:ligatures w14:val="none"/>
        </w:rPr>
        <w:t>GSEA</w:t>
      </w:r>
      <w:r w:rsidRPr="0052001D">
        <w:rPr>
          <w:rFonts w:ascii="Aptos" w:eastAsia="Times New Roman" w:hAnsi="Aptos" w:cs="Times New Roman"/>
          <w:kern w:val="0"/>
          <w14:ligatures w14:val="none"/>
        </w:rPr>
        <w:t xml:space="preserve"> using </w:t>
      </w:r>
      <w:r w:rsidRPr="0052001D">
        <w:rPr>
          <w:rFonts w:ascii="Aptos" w:eastAsia="Times New Roman" w:hAnsi="Aptos" w:cs="Times New Roman"/>
          <w:b/>
          <w:bCs/>
          <w:kern w:val="0"/>
          <w14:ligatures w14:val="none"/>
        </w:rPr>
        <w:t>clusterProfiler</w:t>
      </w:r>
      <w:r w:rsidRPr="0052001D">
        <w:rPr>
          <w:rFonts w:ascii="Aptos" w:eastAsia="Times New Roman" w:hAnsi="Aptos" w:cs="Times New Roman"/>
          <w:kern w:val="0"/>
          <w14:ligatures w14:val="none"/>
        </w:rPr>
        <w:t xml:space="preserve"> </w:t>
      </w:r>
      <w:r w:rsidR="005208F3">
        <w:rPr>
          <w:rFonts w:ascii="Aptos" w:eastAsia="Times New Roman" w:hAnsi="Aptos" w:cs="Times New Roman"/>
          <w:kern w:val="0"/>
          <w14:ligatures w14:val="none"/>
        </w:rPr>
        <w:t>using:</w:t>
      </w:r>
    </w:p>
    <w:p w14:paraId="0F01C7C5" w14:textId="77777777" w:rsidR="0052001D" w:rsidRPr="0052001D" w:rsidRDefault="0052001D" w:rsidP="0052001D">
      <w:pPr>
        <w:numPr>
          <w:ilvl w:val="0"/>
          <w:numId w:val="8"/>
        </w:num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t>MSigDB Hallmark (H) via msigdbr (concise, non-redundant “meta-pathways”),</w:t>
      </w:r>
    </w:p>
    <w:p w14:paraId="63D58BF8" w14:textId="77777777" w:rsidR="005208F3" w:rsidRPr="005208F3" w:rsidRDefault="0052001D" w:rsidP="0052001D">
      <w:pPr>
        <w:numPr>
          <w:ilvl w:val="0"/>
          <w:numId w:val="8"/>
        </w:numPr>
        <w:spacing w:before="100" w:beforeAutospacing="1" w:after="100" w:afterAutospacing="1" w:line="240" w:lineRule="auto"/>
        <w:rPr>
          <w:rFonts w:ascii="Aptos" w:eastAsia="Times New Roman" w:hAnsi="Aptos" w:cs="Times New Roman"/>
          <w:kern w:val="0"/>
          <w14:ligatures w14:val="none"/>
        </w:rPr>
      </w:pPr>
      <w:r w:rsidRPr="0052001D">
        <w:rPr>
          <w:rFonts w:ascii="Aptos" w:eastAsia="Times New Roman" w:hAnsi="Aptos" w:cs="Times New Roman"/>
          <w:kern w:val="0"/>
          <w14:ligatures w14:val="none"/>
        </w:rPr>
        <w:t xml:space="preserve">GO Biological Process (BP) via </w:t>
      </w:r>
      <w:r w:rsidRPr="0052001D">
        <w:rPr>
          <w:rFonts w:ascii="Aptos" w:eastAsia="Times New Roman" w:hAnsi="Aptos" w:cs="Courier New"/>
          <w:kern w:val="0"/>
          <w14:ligatures w14:val="none"/>
        </w:rPr>
        <w:t>gseGO</w:t>
      </w:r>
    </w:p>
    <w:p w14:paraId="46455C4D" w14:textId="2A7B67AC" w:rsidR="0052001D" w:rsidRPr="005208F3" w:rsidRDefault="00744A6C" w:rsidP="00744A6C">
      <w:p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kern w:val="0"/>
          <w14:ligatures w14:val="none"/>
        </w:rPr>
        <w:t>Both dotp</w:t>
      </w:r>
      <w:r w:rsidR="0052001D" w:rsidRPr="0052001D">
        <w:rPr>
          <w:rFonts w:ascii="Aptos" w:eastAsia="Times New Roman" w:hAnsi="Aptos" w:cs="Times New Roman"/>
          <w:kern w:val="0"/>
          <w14:ligatures w14:val="none"/>
        </w:rPr>
        <w:t xml:space="preserve">lots display </w:t>
      </w:r>
      <w:r w:rsidR="0052001D" w:rsidRPr="0052001D">
        <w:rPr>
          <w:rFonts w:ascii="Aptos" w:eastAsia="Times New Roman" w:hAnsi="Aptos" w:cs="Times New Roman"/>
          <w:b/>
          <w:bCs/>
          <w:kern w:val="0"/>
          <w14:ligatures w14:val="none"/>
        </w:rPr>
        <w:t>GeneRatio</w:t>
      </w:r>
      <w:r w:rsidR="0052001D" w:rsidRPr="0052001D">
        <w:rPr>
          <w:rFonts w:ascii="Aptos" w:eastAsia="Times New Roman" w:hAnsi="Aptos" w:cs="Times New Roman"/>
          <w:kern w:val="0"/>
          <w14:ligatures w14:val="none"/>
        </w:rPr>
        <w:t xml:space="preserve"> on the x-axis (fraction of the pathway’s genes </w:t>
      </w:r>
      <w:r w:rsidR="005208F3">
        <w:rPr>
          <w:rFonts w:ascii="Aptos" w:eastAsia="Times New Roman" w:hAnsi="Aptos" w:cs="Times New Roman"/>
          <w:kern w:val="0"/>
          <w14:ligatures w14:val="none"/>
        </w:rPr>
        <w:t>that are enriched</w:t>
      </w:r>
      <w:r w:rsidR="0052001D" w:rsidRPr="0052001D">
        <w:rPr>
          <w:rFonts w:ascii="Aptos" w:eastAsia="Times New Roman" w:hAnsi="Aptos" w:cs="Times New Roman"/>
          <w:kern w:val="0"/>
          <w14:ligatures w14:val="none"/>
        </w:rPr>
        <w:t xml:space="preserve">) and </w:t>
      </w:r>
      <w:r w:rsidR="005208F3">
        <w:rPr>
          <w:rFonts w:ascii="Aptos" w:eastAsia="Times New Roman" w:hAnsi="Aptos" w:cs="Times New Roman"/>
          <w:kern w:val="0"/>
          <w14:ligatures w14:val="none"/>
        </w:rPr>
        <w:t>c</w:t>
      </w:r>
      <w:r w:rsidR="0052001D" w:rsidRPr="0052001D">
        <w:rPr>
          <w:rFonts w:ascii="Aptos" w:eastAsia="Times New Roman" w:hAnsi="Aptos" w:cs="Times New Roman"/>
          <w:kern w:val="0"/>
          <w14:ligatures w14:val="none"/>
        </w:rPr>
        <w:t>ount as point size.</w:t>
      </w:r>
    </w:p>
    <w:p w14:paraId="28839B34" w14:textId="77777777" w:rsidR="005208F3" w:rsidRDefault="005208F3" w:rsidP="00A82187">
      <w:pPr>
        <w:spacing w:after="0"/>
        <w:rPr>
          <w:rFonts w:ascii="Aptos" w:hAnsi="Aptos"/>
        </w:rPr>
      </w:pPr>
    </w:p>
    <w:p w14:paraId="7186AE09" w14:textId="62AEF7F6" w:rsidR="005208F3" w:rsidRPr="005208F3" w:rsidRDefault="005208F3" w:rsidP="005208F3">
      <w:pPr>
        <w:spacing w:after="0"/>
        <w:rPr>
          <w:rFonts w:ascii="Aptos" w:hAnsi="Aptos"/>
        </w:rPr>
      </w:pPr>
      <w:r w:rsidRPr="00744A6C">
        <w:rPr>
          <w:b/>
          <w:bCs/>
          <w:sz w:val="27"/>
          <w:szCs w:val="27"/>
        </w:rPr>
        <w:t>Figure: heatmap_top30_all_log2fc.pdf</w:t>
      </w:r>
      <w:r w:rsidRPr="005208F3">
        <w:rPr>
          <w:b/>
          <w:bCs/>
        </w:rPr>
        <w:br/>
      </w:r>
      <w:r w:rsidRPr="005208F3">
        <w:rPr>
          <w:rFonts w:ascii="Aptos" w:hAnsi="Aptos"/>
        </w:rPr>
        <w:t>Top 30 transcripts by |log2FC| (including unmapped IDs).</w:t>
      </w:r>
      <w:r w:rsidRPr="005208F3">
        <w:rPr>
          <w:rFonts w:ascii="Aptos" w:hAnsi="Aptos"/>
        </w:rPr>
        <w:br/>
        <w:t xml:space="preserve">A clustered heatmap of the strongest responders (by absolute log2FC) using normalized counts centered per gene. Labels use symbols when available, otherwise RefSeq base IDs. This </w:t>
      </w:r>
      <w:r>
        <w:rPr>
          <w:rFonts w:ascii="Aptos" w:hAnsi="Aptos"/>
        </w:rPr>
        <w:t>heatmap</w:t>
      </w:r>
      <w:r w:rsidRPr="005208F3">
        <w:rPr>
          <w:rFonts w:ascii="Aptos" w:hAnsi="Aptos"/>
        </w:rPr>
        <w:t xml:space="preserve"> preserves completeness</w:t>
      </w:r>
      <w:r>
        <w:rPr>
          <w:rFonts w:ascii="Aptos" w:hAnsi="Aptos"/>
        </w:rPr>
        <w:t xml:space="preserve"> and has all of the true top changes.</w:t>
      </w:r>
    </w:p>
    <w:p w14:paraId="56CF71E0" w14:textId="6E58E968" w:rsidR="005208F3" w:rsidRDefault="005208F3" w:rsidP="005208F3">
      <w:pPr>
        <w:spacing w:after="0"/>
        <w:rPr>
          <w:rFonts w:ascii="Aptos" w:hAnsi="Aptos"/>
        </w:rPr>
      </w:pPr>
      <w:r w:rsidRPr="00744A6C">
        <w:rPr>
          <w:rFonts w:ascii="Aptos" w:hAnsi="Aptos"/>
          <w:b/>
          <w:bCs/>
          <w:sz w:val="27"/>
          <w:szCs w:val="27"/>
        </w:rPr>
        <w:t>Figure: heatmap_top30_mapped_log2fc.pdf</w:t>
      </w:r>
      <w:r w:rsidRPr="005208F3">
        <w:rPr>
          <w:rFonts w:ascii="Aptos" w:hAnsi="Aptos"/>
        </w:rPr>
        <w:br/>
        <w:t>Same selection logic but restricted to symbol-mapped genes</w:t>
      </w:r>
      <w:r>
        <w:rPr>
          <w:rFonts w:ascii="Aptos" w:hAnsi="Aptos"/>
        </w:rPr>
        <w:t xml:space="preserve"> for the heatmap</w:t>
      </w:r>
      <w:r w:rsidRPr="005208F3">
        <w:rPr>
          <w:rFonts w:ascii="Aptos" w:hAnsi="Aptos"/>
        </w:rPr>
        <w:t xml:space="preserve">. </w:t>
      </w:r>
      <w:r>
        <w:rPr>
          <w:rFonts w:ascii="Aptos" w:hAnsi="Aptos"/>
        </w:rPr>
        <w:t xml:space="preserve">This is much more interpretable and cleaner to share but is technically missing the top differences. </w:t>
      </w:r>
    </w:p>
    <w:p w14:paraId="540CF32B" w14:textId="77777777" w:rsidR="005208F3" w:rsidRPr="00744A6C" w:rsidRDefault="005208F3" w:rsidP="005208F3">
      <w:pPr>
        <w:spacing w:after="0"/>
        <w:rPr>
          <w:rFonts w:ascii="Aptos" w:hAnsi="Aptos"/>
          <w:sz w:val="27"/>
          <w:szCs w:val="27"/>
        </w:rPr>
      </w:pPr>
    </w:p>
    <w:p w14:paraId="6F5079B6" w14:textId="4EE1135A" w:rsidR="005208F3" w:rsidRPr="00744A6C" w:rsidRDefault="005208F3" w:rsidP="005208F3">
      <w:pPr>
        <w:spacing w:after="0"/>
        <w:rPr>
          <w:rFonts w:ascii="Aptos" w:hAnsi="Aptos"/>
        </w:rPr>
      </w:pPr>
      <w:r w:rsidRPr="00744A6C">
        <w:rPr>
          <w:rFonts w:ascii="Aptos" w:hAnsi="Aptos"/>
          <w:b/>
          <w:bCs/>
          <w:sz w:val="27"/>
          <w:szCs w:val="27"/>
        </w:rPr>
        <w:t>Figure: gsea_dot_GSEA-MSigDB_Hallmark.pdf</w:t>
      </w:r>
      <w:r w:rsidRPr="00744A6C">
        <w:rPr>
          <w:rFonts w:ascii="Aptos" w:hAnsi="Aptos"/>
        </w:rPr>
        <w:br/>
      </w:r>
      <w:r w:rsidR="00744A6C" w:rsidRPr="00744A6C">
        <w:t>Dotplot of MSigDB Hallmark GSEA results</w:t>
      </w:r>
      <w:r w:rsidRPr="00744A6C">
        <w:rPr>
          <w:rFonts w:ascii="Aptos" w:hAnsi="Aptos"/>
        </w:rPr>
        <w:br/>
      </w:r>
      <w:r w:rsidR="00744A6C" w:rsidRPr="00744A6C">
        <w:t>This figure displays enriched Hallmark gene sets ranked by normalized enrichment score, with points colored by enrichment direction, sized by the number of leading-edge genes, and positioned by GeneRatio.</w:t>
      </w:r>
    </w:p>
    <w:p w14:paraId="750DD0F3" w14:textId="77777777" w:rsidR="00744A6C" w:rsidRPr="00744A6C" w:rsidRDefault="00744A6C" w:rsidP="005208F3">
      <w:pPr>
        <w:spacing w:after="0"/>
        <w:rPr>
          <w:rFonts w:ascii="Aptos" w:hAnsi="Aptos"/>
        </w:rPr>
      </w:pPr>
    </w:p>
    <w:p w14:paraId="064CD0E0" w14:textId="6C4274EE" w:rsidR="005208F3" w:rsidRDefault="005208F3" w:rsidP="005208F3">
      <w:pPr>
        <w:spacing w:after="0"/>
      </w:pPr>
      <w:r w:rsidRPr="00744A6C">
        <w:rPr>
          <w:rFonts w:ascii="Aptos" w:hAnsi="Aptos"/>
          <w:b/>
          <w:bCs/>
          <w:sz w:val="27"/>
          <w:szCs w:val="27"/>
        </w:rPr>
        <w:t>Figure: gsea_dot_GSEA-GO_BP_.pdf</w:t>
      </w:r>
      <w:r w:rsidRPr="00744A6C">
        <w:rPr>
          <w:rFonts w:ascii="Aptos" w:hAnsi="Aptos"/>
        </w:rPr>
        <w:br/>
      </w:r>
      <w:r w:rsidR="00744A6C" w:rsidRPr="00744A6C">
        <w:t>Dotplot of GO Biological Processes results</w:t>
      </w:r>
      <w:r w:rsidRPr="00744A6C">
        <w:rPr>
          <w:rFonts w:ascii="Aptos" w:hAnsi="Aptos"/>
        </w:rPr>
        <w:br/>
      </w:r>
      <w:r w:rsidR="00744A6C" w:rsidRPr="00744A6C">
        <w:t>The figure shows enriched GO BP terms from the ranked gene list, with points colored by enrichment direction, sized by leading-edge gene count, and positioned by GeneRatio.</w:t>
      </w:r>
    </w:p>
    <w:p w14:paraId="0229959D" w14:textId="77777777" w:rsidR="00744A6C" w:rsidRPr="00744A6C" w:rsidRDefault="00744A6C" w:rsidP="005208F3">
      <w:pPr>
        <w:spacing w:after="0"/>
      </w:pPr>
    </w:p>
    <w:p w14:paraId="16F5115A" w14:textId="77777777" w:rsidR="005208F3" w:rsidRPr="0052001D" w:rsidRDefault="005208F3" w:rsidP="00A82187">
      <w:pPr>
        <w:spacing w:after="0"/>
        <w:rPr>
          <w:rFonts w:ascii="Aptos" w:hAnsi="Aptos"/>
        </w:rPr>
      </w:pPr>
    </w:p>
    <w:sectPr w:rsidR="005208F3" w:rsidRPr="00520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2635"/>
    <w:multiLevelType w:val="multilevel"/>
    <w:tmpl w:val="E534A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82CC1"/>
    <w:multiLevelType w:val="multilevel"/>
    <w:tmpl w:val="49DA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E69CA"/>
    <w:multiLevelType w:val="multilevel"/>
    <w:tmpl w:val="94A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F3EC0"/>
    <w:multiLevelType w:val="multilevel"/>
    <w:tmpl w:val="2404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B16337"/>
    <w:multiLevelType w:val="multilevel"/>
    <w:tmpl w:val="9AE2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6103A"/>
    <w:multiLevelType w:val="multilevel"/>
    <w:tmpl w:val="8D2A2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36D0F"/>
    <w:multiLevelType w:val="multilevel"/>
    <w:tmpl w:val="343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360B70"/>
    <w:multiLevelType w:val="multilevel"/>
    <w:tmpl w:val="D040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049304">
    <w:abstractNumId w:val="4"/>
  </w:num>
  <w:num w:numId="2" w16cid:durableId="1217207487">
    <w:abstractNumId w:val="3"/>
  </w:num>
  <w:num w:numId="3" w16cid:durableId="421685078">
    <w:abstractNumId w:val="7"/>
  </w:num>
  <w:num w:numId="4" w16cid:durableId="1626042248">
    <w:abstractNumId w:val="1"/>
  </w:num>
  <w:num w:numId="5" w16cid:durableId="568419508">
    <w:abstractNumId w:val="6"/>
  </w:num>
  <w:num w:numId="6" w16cid:durableId="1955476964">
    <w:abstractNumId w:val="2"/>
  </w:num>
  <w:num w:numId="7" w16cid:durableId="1249848266">
    <w:abstractNumId w:val="0"/>
  </w:num>
  <w:num w:numId="8" w16cid:durableId="562438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2A"/>
    <w:rsid w:val="000552E1"/>
    <w:rsid w:val="00057AE6"/>
    <w:rsid w:val="000F48B4"/>
    <w:rsid w:val="001465D4"/>
    <w:rsid w:val="00160FD7"/>
    <w:rsid w:val="00274450"/>
    <w:rsid w:val="002838B2"/>
    <w:rsid w:val="00285151"/>
    <w:rsid w:val="002B172C"/>
    <w:rsid w:val="002D0371"/>
    <w:rsid w:val="00343AEB"/>
    <w:rsid w:val="003674F7"/>
    <w:rsid w:val="004055C9"/>
    <w:rsid w:val="0047329F"/>
    <w:rsid w:val="00486B2A"/>
    <w:rsid w:val="004C4A60"/>
    <w:rsid w:val="0052001D"/>
    <w:rsid w:val="005208F3"/>
    <w:rsid w:val="00555D79"/>
    <w:rsid w:val="005715FE"/>
    <w:rsid w:val="0058034D"/>
    <w:rsid w:val="00730504"/>
    <w:rsid w:val="00730933"/>
    <w:rsid w:val="00740F9A"/>
    <w:rsid w:val="00744A6C"/>
    <w:rsid w:val="007B17C2"/>
    <w:rsid w:val="007E6E4A"/>
    <w:rsid w:val="008D51A1"/>
    <w:rsid w:val="00957ED6"/>
    <w:rsid w:val="0097166A"/>
    <w:rsid w:val="0099432C"/>
    <w:rsid w:val="00A17071"/>
    <w:rsid w:val="00A82187"/>
    <w:rsid w:val="00AE5AC7"/>
    <w:rsid w:val="00B15B7D"/>
    <w:rsid w:val="00C011F0"/>
    <w:rsid w:val="00C71250"/>
    <w:rsid w:val="00EC3B5D"/>
    <w:rsid w:val="00F86A19"/>
    <w:rsid w:val="00FD7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86417"/>
  <w15:chartTrackingRefBased/>
  <w15:docId w15:val="{98801717-2A42-0D49-91B5-564722450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6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6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B2A"/>
    <w:rPr>
      <w:rFonts w:eastAsiaTheme="majorEastAsia" w:cstheme="majorBidi"/>
      <w:color w:val="272727" w:themeColor="text1" w:themeTint="D8"/>
    </w:rPr>
  </w:style>
  <w:style w:type="paragraph" w:styleId="Title">
    <w:name w:val="Title"/>
    <w:basedOn w:val="Normal"/>
    <w:next w:val="Normal"/>
    <w:link w:val="TitleChar"/>
    <w:uiPriority w:val="10"/>
    <w:qFormat/>
    <w:rsid w:val="0048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B2A"/>
    <w:pPr>
      <w:spacing w:before="160"/>
      <w:jc w:val="center"/>
    </w:pPr>
    <w:rPr>
      <w:i/>
      <w:iCs/>
      <w:color w:val="404040" w:themeColor="text1" w:themeTint="BF"/>
    </w:rPr>
  </w:style>
  <w:style w:type="character" w:customStyle="1" w:styleId="QuoteChar">
    <w:name w:val="Quote Char"/>
    <w:basedOn w:val="DefaultParagraphFont"/>
    <w:link w:val="Quote"/>
    <w:uiPriority w:val="29"/>
    <w:rsid w:val="00486B2A"/>
    <w:rPr>
      <w:i/>
      <w:iCs/>
      <w:color w:val="404040" w:themeColor="text1" w:themeTint="BF"/>
    </w:rPr>
  </w:style>
  <w:style w:type="paragraph" w:styleId="ListParagraph">
    <w:name w:val="List Paragraph"/>
    <w:basedOn w:val="Normal"/>
    <w:uiPriority w:val="34"/>
    <w:qFormat/>
    <w:rsid w:val="00486B2A"/>
    <w:pPr>
      <w:ind w:left="720"/>
      <w:contextualSpacing/>
    </w:pPr>
  </w:style>
  <w:style w:type="character" w:styleId="IntenseEmphasis">
    <w:name w:val="Intense Emphasis"/>
    <w:basedOn w:val="DefaultParagraphFont"/>
    <w:uiPriority w:val="21"/>
    <w:qFormat/>
    <w:rsid w:val="00486B2A"/>
    <w:rPr>
      <w:i/>
      <w:iCs/>
      <w:color w:val="0F4761" w:themeColor="accent1" w:themeShade="BF"/>
    </w:rPr>
  </w:style>
  <w:style w:type="paragraph" w:styleId="IntenseQuote">
    <w:name w:val="Intense Quote"/>
    <w:basedOn w:val="Normal"/>
    <w:next w:val="Normal"/>
    <w:link w:val="IntenseQuoteChar"/>
    <w:uiPriority w:val="30"/>
    <w:qFormat/>
    <w:rsid w:val="00486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B2A"/>
    <w:rPr>
      <w:i/>
      <w:iCs/>
      <w:color w:val="0F4761" w:themeColor="accent1" w:themeShade="BF"/>
    </w:rPr>
  </w:style>
  <w:style w:type="character" w:styleId="IntenseReference">
    <w:name w:val="Intense Reference"/>
    <w:basedOn w:val="DefaultParagraphFont"/>
    <w:uiPriority w:val="32"/>
    <w:qFormat/>
    <w:rsid w:val="00486B2A"/>
    <w:rPr>
      <w:b/>
      <w:bCs/>
      <w:smallCaps/>
      <w:color w:val="0F4761" w:themeColor="accent1" w:themeShade="BF"/>
      <w:spacing w:val="5"/>
    </w:rPr>
  </w:style>
  <w:style w:type="paragraph" w:styleId="NormalWeb">
    <w:name w:val="Normal (Web)"/>
    <w:basedOn w:val="Normal"/>
    <w:uiPriority w:val="99"/>
    <w:unhideWhenUsed/>
    <w:rsid w:val="00486B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6B2A"/>
    <w:rPr>
      <w:b/>
      <w:bCs/>
    </w:rPr>
  </w:style>
  <w:style w:type="character" w:styleId="Emphasis">
    <w:name w:val="Emphasis"/>
    <w:basedOn w:val="DefaultParagraphFont"/>
    <w:uiPriority w:val="20"/>
    <w:qFormat/>
    <w:rsid w:val="00486B2A"/>
    <w:rPr>
      <w:i/>
      <w:iCs/>
    </w:rPr>
  </w:style>
  <w:style w:type="character" w:styleId="HTMLCode">
    <w:name w:val="HTML Code"/>
    <w:basedOn w:val="DefaultParagraphFont"/>
    <w:uiPriority w:val="99"/>
    <w:semiHidden/>
    <w:unhideWhenUsed/>
    <w:rsid w:val="00A821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2545</Words>
  <Characters>14507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Jacobson, Jeremy R</dc:creator>
  <cp:keywords/>
  <dc:description/>
  <cp:lastModifiedBy>Jacobson, Jeremy R</cp:lastModifiedBy>
  <cp:revision>2</cp:revision>
  <dcterms:created xsi:type="dcterms:W3CDTF">2025-11-24T22:40:00Z</dcterms:created>
  <dcterms:modified xsi:type="dcterms:W3CDTF">2025-11-24T22:40:00Z</dcterms:modified>
</cp:coreProperties>
</file>