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Lujia Pan</w:t>
      </w:r>
      <w:r>
        <w:t xml:space="preserve"> </w:t>
      </w:r>
      <w:r>
        <w:t xml:space="preserve">School of Mathematical Sciences</w:t>
      </w:r>
      <w:r>
        <w:t xml:space="preserve"> </w:t>
      </w:r>
      <w:r>
        <w:t xml:space="preserve">Hebei Normal University</w:t>
      </w:r>
      <w:r>
        <w:t xml:space="preserve"> </w:t>
      </w:r>
      <w:r>
        <w:t xml:space="preserve">No. 20 East 2nd Ring South Road, Shijiazhuang 050024, Hebei, China</w:t>
      </w:r>
      <w:r>
        <w:t xml:space="preserve"> </w:t>
      </w:r>
      <w:r>
        <w:t xml:space="preserve">peter205834@hebtu.edu.cn</w:t>
      </w:r>
    </w:p>
    <w:p>
      <w:pPr>
        <w:pStyle w:val="BodyText"/>
      </w:pPr>
      <w:r>
        <w:t xml:space="preserve">8 July 2026</w:t>
      </w:r>
    </w:p>
    <w:p>
      <w:pPr>
        <w:pStyle w:val="BodyText"/>
      </w:pPr>
      <w:r>
        <w:t xml:space="preserve">To the Editors</w:t>
      </w:r>
      <w:r>
        <w:t xml:space="preserve"> </w:t>
      </w:r>
      <w:r>
        <w:rPr>
          <w:i/>
          <w:iCs/>
        </w:rPr>
        <w:t xml:space="preserve">Computers &amp; Geosciences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am pleased to submit my manuscript,</w:t>
      </w:r>
      <w:r>
        <w:t xml:space="preserve"> </w:t>
      </w:r>
      <w:r>
        <w:rPr>
          <w:b/>
          <w:bCs/>
        </w:rPr>
        <w:t xml:space="preserve">“Grading the credibility of</w:t>
      </w:r>
      <w:r>
        <w:rPr>
          <w:b/>
          <w:bCs/>
        </w:rPr>
        <w:t xml:space="preserve"> </w:t>
      </w:r>
      <w:r>
        <w:rPr>
          <w:b/>
          <w:bCs/>
        </w:rPr>
        <w:t xml:space="preserve">detrital-zircon mixing weights: GPU-accelerated Bayesian 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quantification of Lower Cretaceous samples from NE Asia,”</w:t>
      </w:r>
      <w:r>
        <w:t xml:space="preserve"> </w:t>
      </w:r>
      <w:r>
        <w:t xml:space="preserve">for</w:t>
      </w:r>
      <w:r>
        <w:t xml:space="preserve"> </w:t>
      </w:r>
      <w:r>
        <w:t xml:space="preserve">consideration as a research article in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.</w:t>
      </w:r>
    </w:p>
    <w:p>
      <w:pPr>
        <w:pStyle w:val="BodyText"/>
      </w:pPr>
      <w:r>
        <w:t xml:space="preserve">Detrital-zircon provenance unmixing is normally reported as a single vector of</w:t>
      </w:r>
      <w:r>
        <w:t xml:space="preserve"> </w:t>
      </w:r>
      <w:r>
        <w:t xml:space="preserve">point-estimate mixing weights, leaving unquantified how trustworthy each weight</w:t>
      </w:r>
      <w:r>
        <w:t xml:space="preserve"> </w:t>
      </w:r>
      <w:r>
        <w:t xml:space="preserve">is. This manuscript addresses that gap methodologically and demonstrates the</w:t>
      </w:r>
      <w:r>
        <w:t xml:space="preserve"> </w:t>
      </w:r>
      <w:r>
        <w:t xml:space="preserve">method on real data. Casting three-end-member unmixing of fifteen Lower</w:t>
      </w:r>
      <w:r>
        <w:t xml:space="preserve"> </w:t>
      </w:r>
      <w:r>
        <w:t xml:space="preserve">Cretaceous samples from NE Asia as a Bayesian inference problem, I propagate the</w:t>
      </w:r>
      <w:r>
        <w:t xml:space="preserve"> </w:t>
      </w:r>
      <w:r>
        <w:t xml:space="preserve">full posterior uncertainty through a systematic 121-prior × 100-bootstrap scan —</w:t>
      </w:r>
      <w:r>
        <w:t xml:space="preserve"> </w:t>
      </w:r>
      <w:r>
        <w:t xml:space="preserve">181,500 MCMC fits in total. Two contributions are central to the journal’s scope</w:t>
      </w:r>
      <w:r>
        <w:t xml:space="preserve"> </w:t>
      </w:r>
      <w:r>
        <w:t xml:space="preserve">in computational geoscience: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 batched GPU sampler that makes full-posterior uncertainty quantification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practical.</w:t>
      </w:r>
      <w:r>
        <w:t xml:space="preserve"> </w:t>
      </w:r>
      <w:r>
        <w:t xml:space="preserve">A GPU re-implementation of the Goodman–Weare ensemble sampler</w:t>
      </w:r>
      <w:r>
        <w:t xml:space="preserve"> </w:t>
      </w:r>
      <w:r>
        <w:t xml:space="preserve">completes the 181,500-fit scan in 74 minutes rather than the several days the</w:t>
      </w:r>
      <w:r>
        <w:t xml:space="preserve"> </w:t>
      </w:r>
      <w:r>
        <w:t xml:space="preserve">reference CPU implementation would require, and is validated fit-by-fit</w:t>
      </w:r>
      <w:r>
        <w:t xml:space="preserve"> </w:t>
      </w:r>
      <w:r>
        <w:t xml:space="preserve">against emcee (maximum posterior-mean difference 0.020, an order of magnitude</w:t>
      </w:r>
      <w:r>
        <w:t xml:space="preserve"> </w:t>
      </w:r>
      <w:r>
        <w:t xml:space="preserve">below emcee’s own re-seeding scatter). The complete scan output is released so</w:t>
      </w:r>
      <w:r>
        <w:t xml:space="preserve"> </w:t>
      </w:r>
      <w:r>
        <w:t xml:space="preserve">that reviewers and readers can reproduce every figure without re-running the</w:t>
      </w:r>
      <w:r>
        <w:t xml:space="preserve"> </w:t>
      </w:r>
      <w:r>
        <w:t xml:space="preserve">sampler.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Per-weight, per-sample credibility grading.</w:t>
      </w:r>
      <w:r>
        <w:t xml:space="preserve"> </w:t>
      </w:r>
      <w:r>
        <w:t xml:space="preserve">The analysis shows that the</w:t>
      </w:r>
      <w:r>
        <w:t xml:space="preserve"> </w:t>
      </w:r>
      <w:r>
        <w:t xml:space="preserve">three source weights are not equally identifiable and that credibility must be</w:t>
      </w:r>
      <w:r>
        <w:t xml:space="preserve"> </w:t>
      </w:r>
      <w:r>
        <w:t xml:space="preserve">graded per weight: the cratonic weight is hard, whereas the arc:basement split</w:t>
      </w:r>
      <w:r>
        <w:t xml:space="preserve"> </w:t>
      </w:r>
      <w:r>
        <w:t xml:space="preserve">is soft. Sub-sampling demonstrates that this softness is a finite-grain</w:t>
      </w:r>
      <w:r>
        <w:t xml:space="preserve"> </w:t>
      </w:r>
      <w:r>
        <w:t xml:space="preserve">counting-noise floor (scaling as n^(−1/2)), hence reducible by further dating,</w:t>
      </w:r>
      <w:r>
        <w:t xml:space="preserve"> </w:t>
      </w:r>
      <w:r>
        <w:t xml:space="preserve">rather than an intrinsic overlap of the end-members; and the reported</w:t>
      </w:r>
      <w:r>
        <w:t xml:space="preserve"> </w:t>
      </w:r>
      <w:r>
        <w:t xml:space="preserve">uncertainty is prior-insensitive (prior share below 3% in 13 of 15 samples).</w:t>
      </w:r>
      <w:r>
        <w:t xml:space="preserve"> </w:t>
      </w:r>
      <w:r>
        <w:t xml:space="preserve">The framework turns</w:t>
      </w:r>
      <w:r>
        <w:t xml:space="preserve"> </w:t>
      </w:r>
      <w:r>
        <w:t xml:space="preserve">“how confident are we?”</w:t>
      </w:r>
      <w:r>
        <w:t xml:space="preserve"> </w:t>
      </w:r>
      <w:r>
        <w:t xml:space="preserve">into</w:t>
      </w:r>
      <w:r>
        <w:t xml:space="preserve"> </w:t>
      </w:r>
      <w:r>
        <w:t xml:space="preserve">“what would it take to be</w:t>
      </w:r>
      <w:r>
        <w:t xml:space="preserve"> </w:t>
      </w:r>
      <w:r>
        <w:t xml:space="preserve">more confident?”</w:t>
      </w:r>
      <w:r>
        <w:t xml:space="preserve">, answered per sample.</w:t>
      </w:r>
    </w:p>
    <w:p>
      <w:pPr>
        <w:pStyle w:val="FirstParagraph"/>
      </w:pPr>
      <w:r>
        <w:t xml:space="preserve">The work is accompanied by two companion studies I have submitted to</w:t>
      </w:r>
      <w:r>
        <w:t xml:space="preserve"> </w:t>
      </w:r>
      <w:r>
        <w:rPr>
          <w:i/>
          <w:iCs/>
        </w:rPr>
        <w:t xml:space="preserve">Computers</w:t>
      </w:r>
      <w:r>
        <w:rPr>
          <w:i/>
          <w:iCs/>
        </w:rPr>
        <w:t xml:space="preserve"> </w:t>
      </w:r>
      <w:r>
        <w:rPr>
          <w:i/>
          <w:iCs/>
        </w:rPr>
        <w:t xml:space="preserve">&amp; Geosciences</w:t>
      </w:r>
      <w:r>
        <w:t xml:space="preserve">: a supervised-NMF forward-modelling method (from which the</w:t>
      </w:r>
      <w:r>
        <w:t xml:space="preserve"> </w:t>
      </w:r>
      <w:r>
        <w:t xml:space="preserve">reference end-members here are taken) and an analytic identifiability-bounds</w:t>
      </w:r>
      <w:r>
        <w:t xml:space="preserve"> </w:t>
      </w:r>
      <w:r>
        <w:t xml:space="preserve">paper (whose adjacent-pair degeneracy result this study confirms empirically on</w:t>
      </w:r>
      <w:r>
        <w:t xml:space="preserve"> </w:t>
      </w:r>
      <w:r>
        <w:t xml:space="preserve">real data). The three are complementary and independently readable; the present</w:t>
      </w:r>
      <w:r>
        <w:t xml:space="preserve"> </w:t>
      </w:r>
      <w:r>
        <w:t xml:space="preserve">manuscript contributes the finite-sample uncertainty magnitude that the analytic</w:t>
      </w:r>
      <w:r>
        <w:t xml:space="preserve"> </w:t>
      </w:r>
      <w:r>
        <w:t xml:space="preserve">paper’s direction-only result does not predict. I note this openness to avoid any</w:t>
      </w:r>
      <w:r>
        <w:t xml:space="preserve"> </w:t>
      </w:r>
      <w:r>
        <w:t xml:space="preserve">appearance of redundant publication: the numerical uncertainty-quantification</w:t>
      </w:r>
      <w:r>
        <w:t xml:space="preserve"> </w:t>
      </w:r>
      <w:r>
        <w:t xml:space="preserve">results reported here appear in no other submission.</w:t>
      </w:r>
    </w:p>
    <w:p>
      <w:pPr>
        <w:pStyle w:val="BodyText"/>
      </w:pPr>
      <w:r>
        <w:t xml:space="preserve">I confirm that this manuscript is original, has not been published previously,</w:t>
      </w:r>
      <w:r>
        <w:t xml:space="preserve"> </w:t>
      </w:r>
      <w:r>
        <w:t xml:space="preserve">and is not under consideration for publication elsewhere. I have no competing</w:t>
      </w:r>
      <w:r>
        <w:t xml:space="preserve"> </w:t>
      </w:r>
      <w:r>
        <w:t xml:space="preserve">interests to declare. All code and the complete posterior scan are openly</w:t>
      </w:r>
      <w:r>
        <w:t xml:space="preserve"> </w:t>
      </w:r>
      <w:r>
        <w:t xml:space="preserve">archived at Zenodo (DOI: 10.5281/zenodo.21242245) and maintained at</w:t>
      </w:r>
      <w:r>
        <w:t xml:space="preserve"> </w:t>
      </w:r>
      <w:r>
        <w:t xml:space="preserve">https://github.com/PNOAHA/dz-bayes-uq; the input grain-age samples are compiled</w:t>
      </w:r>
      <w:r>
        <w:t xml:space="preserve"> </w:t>
      </w:r>
      <w:r>
        <w:t xml:space="preserve">from openly licensed (CC-BY) published databases, each retaining its source DOI.</w:t>
      </w:r>
      <w:r>
        <w:t xml:space="preserve"> </w:t>
      </w:r>
      <w:r>
        <w:t xml:space="preserve">I will serve as corresponding author and can be reached at</w:t>
      </w:r>
      <w:r>
        <w:t xml:space="preserve"> </w:t>
      </w:r>
      <w:r>
        <w:t xml:space="preserve">peter205834@hebtu.edu.cn.</w:t>
      </w:r>
    </w:p>
    <w:p>
      <w:pPr>
        <w:pStyle w:val="BodyText"/>
      </w:pPr>
      <w:r>
        <w:t xml:space="preserve">Thank you for considering my submission. I look forward to the reviewers’</w:t>
      </w:r>
      <w:r>
        <w:t xml:space="preserve"> </w:t>
      </w:r>
      <w:r>
        <w:t xml:space="preserve">feedback.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Lujia Pan</w:t>
      </w:r>
      <w:r>
        <w:t xml:space="preserve"> </w:t>
      </w:r>
      <w:r>
        <w:t xml:space="preserve">School of Mathematical Sciences, Hebei Normal University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2026-07-08T11:49:56Z</dcterms:created>
  <dcterms:modified xsi:type="dcterms:W3CDTF">2026-07-08T11:49:56Z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