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batched GPU sampler completes 181,500 Bayesian unmixing fits in 74 min, not days.</w:t>
      </w:r>
    </w:p>
    <w:p>
      <w:pPr>
        <w:pStyle w:val="Compact"/>
        <w:numPr>
          <w:ilvl w:val="0"/>
          <w:numId w:val="1001"/>
        </w:numPr>
      </w:pPr>
      <w:r>
        <w:t xml:space="preserve">GPU posteriors match emcee fit-by-fit; the difference is below emcee’s own noise.</w:t>
      </w:r>
    </w:p>
    <w:p>
      <w:pPr>
        <w:pStyle w:val="Compact"/>
        <w:numPr>
          <w:ilvl w:val="0"/>
          <w:numId w:val="1001"/>
        </w:numPr>
      </w:pPr>
      <w:r>
        <w:t xml:space="preserve">Weight credibility is graded per weight, per sample — not assumed globally.</w:t>
      </w:r>
    </w:p>
    <w:p>
      <w:pPr>
        <w:pStyle w:val="Compact"/>
        <w:numPr>
          <w:ilvl w:val="0"/>
          <w:numId w:val="1001"/>
        </w:numPr>
      </w:pPr>
      <w:r>
        <w:t xml:space="preserve">The soft arc:basement split matches the multinomial floor, scaling as n^(−1/2).</w:t>
      </w:r>
    </w:p>
    <w:p>
      <w:pPr>
        <w:pStyle w:val="Compact"/>
        <w:numPr>
          <w:ilvl w:val="0"/>
          <w:numId w:val="1001"/>
        </w:numPr>
      </w:pPr>
      <w:r>
        <w:t xml:space="preserve">Priors contribute a median of &lt; 3% of the between-fit variance across samples.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2026-09-03T02:45:29Z</dcterms:created>
  <dcterms:modified xsi:type="dcterms:W3CDTF">2026-09-03T02:45:29Z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