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a1f7a44a0e8fa1ada1d8a0c3d6ed000ac84db0c"/>
    <w:p>
      <w:pPr>
        <w:pStyle w:val="Heading1"/>
      </w:pPr>
      <w:r>
        <w:t xml:space="preserve">Grading the credibility of detrital-zircon mixing weights: GPU-accelerated Bayesian uncertainty quantification of Jurassic–Cretaceous samples from NE Asia</w:t>
      </w:r>
    </w:p>
    <w:p>
      <w:pPr>
        <w:pStyle w:val="FirstParagraph"/>
      </w:pPr>
      <w:r>
        <w:rPr>
          <w:b/>
          <w:bCs/>
        </w:rPr>
        <w:t xml:space="preserve">Lujia Pan</w:t>
      </w:r>
      <w:r>
        <w:t xml:space="preserve">¹</w:t>
      </w:r>
      <w:r>
        <w:t xml:space="preserve"> </w:t>
      </w:r>
      <w:r>
        <w:t xml:space="preserve">¹ School of Mathematical Sciences, Hebei Normal University, No. 20 East 2nd Ring South Road, Shijiazhuang 050024, Hebei Province, China.</w:t>
      </w:r>
      <w:r>
        <w:t xml:space="preserve"> </w:t>
      </w:r>
      <w:r>
        <w:t xml:space="preserve">Corresponding author. E-mail: peter205834@hebtu.edu.cn</w:t>
      </w:r>
    </w:p>
    <w:p>
      <w:r>
        <w:pict>
          <v:rect style="width:0;height:1.5pt" o:hralign="center" o:hrstd="t" o:hr="t"/>
        </w:pict>
      </w:r>
    </w:p>
    <w:bookmarkStart w:id="9" w:name="highlights"/>
    <w:p>
      <w:pPr>
        <w:pStyle w:val="Heading2"/>
      </w:pPr>
      <w:r>
        <w:t xml:space="preserve">Highlights</w:t>
      </w:r>
    </w:p>
    <w:p>
      <w:pPr>
        <w:pStyle w:val="Compact"/>
        <w:numPr>
          <w:ilvl w:val="0"/>
          <w:numId w:val="1001"/>
        </w:numPr>
      </w:pPr>
      <w:r>
        <w:t xml:space="preserve">A batched GPU sampler completes 181,500 Bayesian unmixing fits in 74 min, not days.</w:t>
      </w:r>
    </w:p>
    <w:p>
      <w:pPr>
        <w:pStyle w:val="Compact"/>
        <w:numPr>
          <w:ilvl w:val="0"/>
          <w:numId w:val="1001"/>
        </w:numPr>
      </w:pPr>
      <w:r>
        <w:t xml:space="preserve">GPU posteriors match emcee fit-by-fit; the difference is below emcee’s own noise.</w:t>
      </w:r>
    </w:p>
    <w:p>
      <w:pPr>
        <w:pStyle w:val="Compact"/>
        <w:numPr>
          <w:ilvl w:val="0"/>
          <w:numId w:val="1001"/>
        </w:numPr>
      </w:pPr>
      <w:r>
        <w:t xml:space="preserve">Weight credibility is graded per weight, per sample — not assumed globally.</w:t>
      </w:r>
    </w:p>
    <w:p>
      <w:pPr>
        <w:pStyle w:val="Compact"/>
        <w:numPr>
          <w:ilvl w:val="0"/>
          <w:numId w:val="1001"/>
        </w:numPr>
      </w:pPr>
      <w:r>
        <w:t xml:space="preserve">The soft arc:basement split matches the multinomial floor, scaling as n^(−1/2).</w:t>
      </w:r>
    </w:p>
    <w:p>
      <w:pPr>
        <w:pStyle w:val="Compact"/>
        <w:numPr>
          <w:ilvl w:val="0"/>
          <w:numId w:val="1001"/>
        </w:numPr>
      </w:pPr>
      <w:r>
        <w:t xml:space="preserve">Priors contribute a median of &lt; 3% of the between-fit variance across samples.</w:t>
      </w:r>
    </w:p>
    <w:bookmarkEnd w:id="9"/>
    <w:bookmarkStart w:id="10" w:name="graphical-abstract"/>
    <w:p>
      <w:pPr>
        <w:pStyle w:val="Heading2"/>
      </w:pPr>
      <w:r>
        <w:t xml:space="preserve">Graphical abstract</w:t>
      </w:r>
    </w:p>
    <w:p>
      <w:pPr>
        <w:pStyle w:val="FirstParagraph"/>
      </w:pPr>
      <w:r>
        <w:t xml:space="preserve">A two-panel figure built from Fig. 3:</w:t>
      </w:r>
      <w:r>
        <w:t xml:space="preserve"> </w:t>
      </w:r>
      <w:r>
        <w:rPr>
          <w:i/>
          <w:iCs/>
        </w:rPr>
        <w:t xml:space="preserve">top</w:t>
      </w:r>
      <w:r>
        <w:t xml:space="preserve">, the ternary diagram of the fifteen samples with 2-σ posterior covariance ellipses — Songliao samples elongated</w:t>
      </w:r>
      <w:r>
        <w:t xml:space="preserve"> </w:t>
      </w:r>
      <w:r>
        <w:t xml:space="preserve">along the arc–basement (S1–S2) edge, the craton (S3) axis tight;</w:t>
      </w:r>
      <w:r>
        <w:t xml:space="preserve"> </w:t>
      </w:r>
      <w:r>
        <w:rPr>
          <w:i/>
          <w:iCs/>
        </w:rPr>
        <w:t xml:space="preserve">bottom</w:t>
      </w:r>
      <w:r>
        <w:t xml:space="preserve">, the</w:t>
      </w:r>
      <w:r>
        <w:t xml:space="preserve"> </w:t>
      </w:r>
      <w:r>
        <w:t xml:space="preserve">per-sample dot-and-whisker weights showing the hard craton weight against the</w:t>
      </w:r>
      <w:r>
        <w:t xml:space="preserve"> </w:t>
      </w:r>
      <w:r>
        <w:t xml:space="preserve">soft, anti-correlated arc/basement pair. Two facts govern the picture:</w:t>
      </w:r>
      <w:r>
        <w:t xml:space="preserve"> </w:t>
      </w:r>
      <w:r>
        <w:t xml:space="preserve">“softness</w:t>
      </w:r>
      <w:r>
        <w:t xml:space="preserve"> </w:t>
      </w:r>
      <w:r>
        <w:t xml:space="preserve">= counting-noise floor (∝ n^(−1/2), reducible by dating)”</w:t>
      </w:r>
      <w:r>
        <w:t xml:space="preserve"> </w:t>
      </w:r>
      <w:r>
        <w:t xml:space="preserve">and</w:t>
      </w:r>
      <w:r>
        <w:t xml:space="preserve"> </w:t>
      </w:r>
      <w:r>
        <w:t xml:space="preserve">“prior</w:t>
      </w:r>
      <w:r>
        <w:t xml:space="preserve"> </w:t>
      </w:r>
      <w:r>
        <w:t xml:space="preserve">contributes a median of &lt; 3% of between-fit variance”</w:t>
      </w:r>
      <w:r>
        <w:t xml:space="preserve">.</w:t>
      </w:r>
    </w:p>
    <w:p>
      <w:r>
        <w:pict>
          <v:rect style="width:0;height:1.5pt" o:hralign="center" o:hrstd="t" o:hr="t"/>
        </w:pict>
      </w:r>
    </w:p>
    <w:bookmarkEnd w:id="10"/>
    <w:bookmarkStart w:id="11" w:name="abstract"/>
    <w:p>
      <w:pPr>
        <w:pStyle w:val="Heading2"/>
      </w:pPr>
      <w:r>
        <w:t xml:space="preserve">Abstract</w:t>
      </w:r>
    </w:p>
    <w:p>
      <w:pPr>
        <w:pStyle w:val="FirstParagraph"/>
      </w:pPr>
      <w:r>
        <w:t xml:space="preserve">Detrital-zircon provenance unmixing is routinely reported as a single vector of</w:t>
      </w:r>
      <w:r>
        <w:t xml:space="preserve"> </w:t>
      </w:r>
      <w:r>
        <w:t xml:space="preserve">point-estimate mixing weights, leaving unquantified how trustworthy each weight</w:t>
      </w:r>
      <w:r>
        <w:t xml:space="preserve"> </w:t>
      </w:r>
      <w:r>
        <w:t xml:space="preserve">actually is. We cast three-end-member unmixing of fifteen Jurassic–Cretaceous samples from NE Asia — four from the North China Craton (NCC) north margin,</w:t>
      </w:r>
      <w:r>
        <w:t xml:space="preserve"> </w:t>
      </w:r>
      <w:r>
        <w:t xml:space="preserve">eleven from the Songliao Basin — as a Bayesian inference problem and propagate</w:t>
      </w:r>
      <w:r>
        <w:t xml:space="preserve"> </w:t>
      </w:r>
      <w:r>
        <w:t xml:space="preserve">the full posterior uncertainty through a systematic scan: 121 perturbed prior</w:t>
      </w:r>
      <w:r>
        <w:t xml:space="preserve"> </w:t>
      </w:r>
      <w:r>
        <w:t xml:space="preserve">configurations × 100 bootstrap resamples of the grains per sample, 181,500 MCMC</w:t>
      </w:r>
      <w:r>
        <w:t xml:space="preserve"> </w:t>
      </w:r>
      <w:r>
        <w:t xml:space="preserve">fits in total. To make the scan tractable we implement the Goodman–Weare</w:t>
      </w:r>
      <w:r>
        <w:t xml:space="preserve"> </w:t>
      </w:r>
      <w:r>
        <w:t xml:space="preserve">ensemble sampler as a batched GPU kernel, completing in 74 min what would take the reference CPU implementation days,</w:t>
      </w:r>
      <w:r>
        <w:t xml:space="preserve"> </w:t>
      </w:r>
      <w:r>
        <w:t xml:space="preserve">and validate it fit-by-fit</w:t>
      </w:r>
      <w:r>
        <w:t xml:space="preserve"> </w:t>
      </w:r>
      <w:r>
        <w:t xml:space="preserve">against emcee (maximum posterior-mean difference 0.020, posterior widths</w:t>
      </w:r>
      <w:r>
        <w:t xml:space="preserve"> </w:t>
      </w:r>
      <w:r>
        <w:t xml:space="preserve">matching to within the same tolerance — an order of magnitude</w:t>
      </w:r>
      <w:r>
        <w:t xml:space="preserve"> </w:t>
      </w:r>
      <w:r>
        <w:t xml:space="preserve">below emcee’s own re-seeding scatter of ~0.19). The three weights are not</w:t>
      </w:r>
      <w:r>
        <w:t xml:space="preserve"> </w:t>
      </w:r>
      <w:r>
        <w:t xml:space="preserve">equally identifiable — credibility must be graded</w:t>
      </w:r>
      <w:r>
        <w:t xml:space="preserve"> </w:t>
      </w:r>
      <w:r>
        <w:t xml:space="preserve">per weight: the cratonic weight w_S3 is hard (scan std 0.000–0.085), whereas the</w:t>
      </w:r>
      <w:r>
        <w:t xml:space="preserve"> </w:t>
      </w:r>
      <w:r>
        <w:t xml:space="preserve">arc:basement partition is soft, anti-correlated, and confined to a</w:t>
      </w:r>
      <w:r>
        <w:t xml:space="preserve"> </w:t>
      </w:r>
      <w:r>
        <w:t xml:space="preserve">one-dimensional ridge. Subsampling demonstrates that this softness is a</w:t>
      </w:r>
      <w:r>
        <w:t xml:space="preserve"> </w:t>
      </w:r>
      <w:r>
        <w:t xml:space="preserve">finite-grain counting-noise floor — it scales as n^(−1/2) (median exponent</w:t>
      </w:r>
      <w:r>
        <w:t xml:space="preserve"> </w:t>
      </w:r>
      <w:r>
        <w:t xml:space="preserve">−0.507) and matches the multinomial floor to a median factor of 1.02 — rather</w:t>
      </w:r>
      <w:r>
        <w:t xml:space="preserve"> </w:t>
      </w:r>
      <w:r>
        <w:t xml:space="preserve">than any intrinsic overlap of the well-separated 130 and 280 Ma end-members, and</w:t>
      </w:r>
      <w:r>
        <w:t xml:space="preserve"> </w:t>
      </w:r>
      <w:r>
        <w:t xml:space="preserve">is therefore largely reducible by further dating. The reported uncertainty is</w:t>
      </w:r>
      <w:r>
        <w:t xml:space="preserve"> </w:t>
      </w:r>
      <w:r>
        <w:t xml:space="preserve">prior-insensitive (median prior share &lt; 3% of the between-fit variance), and</w:t>
      </w:r>
      <w:r>
        <w:t xml:space="preserve"> </w:t>
      </w:r>
      <w:r>
        <w:t xml:space="preserve">a single fit’s</w:t>
      </w:r>
      <w:r>
        <w:t xml:space="preserve"> </w:t>
      </w:r>
      <w:r>
        <w:t xml:space="preserve">credible interval already carries about half of it. Geologically, the hard</w:t>
      </w:r>
      <w:r>
        <w:t xml:space="preserve"> </w:t>
      </w:r>
      <w:r>
        <w:t xml:space="preserve">craton axis largely separates the craton-fed NCC north-margin samples from the</w:t>
      </w:r>
      <w:r>
        <w:t xml:space="preserve"> </w:t>
      </w:r>
      <w:r>
        <w:t xml:space="preserve">arc + basement-fed Songliao fill. The framework turns</w:t>
      </w:r>
      <w:r>
        <w:t xml:space="preserve"> </w:t>
      </w:r>
      <w:r>
        <w:t xml:space="preserve">“how confident are we?”</w:t>
      </w:r>
      <w:r>
        <w:t xml:space="preserve"> </w:t>
      </w:r>
      <w:r>
        <w:t xml:space="preserve">into</w:t>
      </w:r>
      <w:r>
        <w:t xml:space="preserve"> </w:t>
      </w:r>
      <w:r>
        <w:t xml:space="preserve">“what would it take to be more confident?”</w:t>
      </w:r>
      <w:r>
        <w:t xml:space="preserve"> </w:t>
      </w:r>
      <w:r>
        <w:t xml:space="preserve">— and answers it per sample.</w:t>
      </w:r>
    </w:p>
    <w:p>
      <w:pPr>
        <w:pStyle w:val="BodyText"/>
      </w:pPr>
      <w:r>
        <w:rPr>
          <w:b/>
          <w:bCs/>
        </w:rPr>
        <w:t xml:space="preserve">Keywords:</w:t>
      </w:r>
      <w:r>
        <w:t xml:space="preserve"> </w:t>
      </w:r>
      <w:r>
        <w:t xml:space="preserve">detrital zircon; provenance unmixing; Bayesian inference;</w:t>
      </w:r>
      <w:r>
        <w:t xml:space="preserve"> </w:t>
      </w:r>
      <w:r>
        <w:t xml:space="preserve">uncertainty quantification; GPU computing; Songliao Basin.</w:t>
      </w:r>
    </w:p>
    <w:p>
      <w:r>
        <w:pict>
          <v:rect style="width:0;height:1.5pt" o:hralign="center" o:hrstd="t" o:hr="t"/>
        </w:pict>
      </w:r>
    </w:p>
    <w:bookmarkEnd w:id="11"/>
    <w:bookmarkStart w:id="12" w:name="introduction"/>
    <w:p>
      <w:pPr>
        <w:pStyle w:val="Heading2"/>
      </w:pPr>
      <w:r>
        <w:t xml:space="preserve">1. Introduction</w:t>
      </w:r>
    </w:p>
    <w:p>
      <w:pPr>
        <w:pStyle w:val="FirstParagraph"/>
      </w:pPr>
      <w:r>
        <w:t xml:space="preserve">Detrital-zircon U–Pb geochronology has become a primary tool for sediment provenance analysis (Gehrels, 2014), and a natural way to interpret a measured age spectrum is</w:t>
      </w:r>
      <w:r>
        <w:t xml:space="preserve"> </w:t>
      </w:r>
      <w:r>
        <w:t xml:space="preserve">to decompose it into contributions from a small number of geologically defined</w:t>
      </w:r>
      <w:r>
        <w:t xml:space="preserve"> </w:t>
      </w:r>
      <w:r>
        <w:t xml:space="preserve">source domains — a mixing, or</w:t>
      </w:r>
      <w:r>
        <w:t xml:space="preserve"> </w:t>
      </w:r>
      <w:r>
        <w:t xml:space="preserve">“unmixing”</w:t>
      </w:r>
      <w:r>
        <w:t xml:space="preserve">, problem (Sharman &amp; Johnstone, 2017;</w:t>
      </w:r>
      <w:r>
        <w:t xml:space="preserve"> </w:t>
      </w:r>
      <w:r>
        <w:t xml:space="preserve">Sundell &amp; Saylor, 2017; Pan, submitted). When the candidate sources are known</w:t>
      </w:r>
      <w:r>
        <w:t xml:space="preserve"> </w:t>
      </w:r>
      <w:r>
        <w:t xml:space="preserve">a priori, the quantity of interest is the vector of mixing weights: the</w:t>
      </w:r>
      <w:r>
        <w:t xml:space="preserve"> </w:t>
      </w:r>
      <w:r>
        <w:t xml:space="preserve">fractional contribution of each source to the sample. Recovering these weights,</w:t>
      </w:r>
      <w:r>
        <w:t xml:space="preserve"> </w:t>
      </w:r>
      <w:r>
        <w:t xml:space="preserve">however, is only half of the task. For the result to be geologically usable one</w:t>
      </w:r>
      <w:r>
        <w:t xml:space="preserve"> </w:t>
      </w:r>
      <w:r>
        <w:t xml:space="preserve">must also know how trustworthy each weight is, and prevailing practice —</w:t>
      </w:r>
      <w:r>
        <w:t xml:space="preserve"> </w:t>
      </w:r>
      <w:r>
        <w:t xml:space="preserve">reporting a single point estimate per sample — leaves this unquantified. Where uncertainty is reported at all, it is usually a Monte-Carlo or resampling spread on the weights (Sharman &amp; Johnstone, 2017; Sundell &amp; Saylor, 2017) or, more rarely, a nonparametric Bayesian posterior (Tipton et al., 2022); we extend this in three ways: the full Bayesian posterior is propagated jointly with a systematic prior-perturbation scan, identifiability is graded per weight rather than per sample, and the finite-grain counting-noise floor is separated from the prior- and shape-driven contributions — a decomposition a single resampling interval does not provide. Two</w:t>
      </w:r>
      <w:r>
        <w:t xml:space="preserve"> </w:t>
      </w:r>
      <w:r>
        <w:t xml:space="preserve">difficulties are especially acute. First, when two source domains have</w:t>
      </w:r>
      <w:r>
        <w:t xml:space="preserve"> </w:t>
      </w:r>
      <w:r>
        <w:t xml:space="preserve">overlapping age modes, their relative contributions can be only weakly</w:t>
      </w:r>
      <w:r>
        <w:t xml:space="preserve"> </w:t>
      </w:r>
      <w:r>
        <w:t xml:space="preserve">identifiable even when their sum is well constrained, and a point estimate</w:t>
      </w:r>
      <w:r>
        <w:t xml:space="preserve"> </w:t>
      </w:r>
      <w:r>
        <w:t xml:space="preserve">conceals this. Second, the answer may depend on analyst choices (the assumed</w:t>
      </w:r>
      <w:r>
        <w:t xml:space="preserve"> </w:t>
      </w:r>
      <w:r>
        <w:t xml:space="preserve">source spectra) or on the finite number of grains dated, and a single fit cannot</w:t>
      </w:r>
      <w:r>
        <w:t xml:space="preserve"> </w:t>
      </w:r>
      <w:r>
        <w:t xml:space="preserve">separate a robust conclusion from a fragile one.</w:t>
      </w:r>
    </w:p>
    <w:p>
      <w:pPr>
        <w:pStyle w:val="BodyText"/>
      </w:pPr>
      <w:r>
        <w:t xml:space="preserve">We address this by casting three-end-member detrital-zircon unmixing as a Bayesian inference problem (Mosegaard &amp; Tarantola, 1995; Sambridge &amp; Mosegaard, 2002) and propagating the full posterior uncertainty.</w:t>
      </w:r>
      <w:r>
        <w:t xml:space="preserve"> </w:t>
      </w:r>
      <w:r>
        <w:t xml:space="preserve">Rather than fitting each sample once, we combine a systematic perturbation of</w:t>
      </w:r>
      <w:r>
        <w:t xml:space="preserve"> </w:t>
      </w:r>
      <w:r>
        <w:t xml:space="preserve">the source priors (121 configurations) with bootstrap resampling of the grains</w:t>
      </w:r>
      <w:r>
        <w:t xml:space="preserve"> </w:t>
      </w:r>
      <w:r>
        <w:t xml:space="preserve">(100 resamples), yielding a per-sample posterior for the mixing weights that</w:t>
      </w:r>
      <w:r>
        <w:t xml:space="preserve"> </w:t>
      </w:r>
      <w:r>
        <w:t xml:space="preserve">jointly reflects prior sensitivity and finite-sample noise. To make this</w:t>
      </w:r>
      <w:r>
        <w:t xml:space="preserve"> </w:t>
      </w:r>
      <w:r>
        <w:t xml:space="preserve">tractable — the reference ensemble sampler would require several days for the</w:t>
      </w:r>
      <w:r>
        <w:t xml:space="preserve"> </w:t>
      </w:r>
      <w:r>
        <w:t xml:space="preserve">full 181,500-fit scan — we implement the sampler as a batched GPU kernel,</w:t>
      </w:r>
      <w:r>
        <w:t xml:space="preserve"> </w:t>
      </w:r>
      <w:r>
        <w:t xml:space="preserve">validated fit-by-fit against the CPU gold standard (Section 3). Applying it to</w:t>
      </w:r>
      <w:r>
        <w:t xml:space="preserve"> </w:t>
      </w:r>
      <w:r>
        <w:t xml:space="preserve">fifteen Jurassic–Cretaceous samples from NE Asia, we demonstrate that the three</w:t>
      </w:r>
      <w:r>
        <w:t xml:space="preserve"> </w:t>
      </w:r>
      <w:r>
        <w:t xml:space="preserve">source weights are not equally identifiable, that the identifiability structure</w:t>
      </w:r>
      <w:r>
        <w:t xml:space="preserve"> </w:t>
      </w:r>
      <w:r>
        <w:t xml:space="preserve">can be diagnosed per sample and per weight rather than assumed, and that the</w:t>
      </w:r>
      <w:r>
        <w:t xml:space="preserve"> </w:t>
      </w:r>
      <w:r>
        <w:t xml:space="preserve">dominant source of the reported uncertainty is the finite grain count rather</w:t>
      </w:r>
      <w:r>
        <w:t xml:space="preserve"> </w:t>
      </w:r>
      <w:r>
        <w:t xml:space="preserve">than the prior. The outcome is a provenance interpretation where each</w:t>
      </w:r>
      <w:r>
        <w:t xml:space="preserve"> </w:t>
      </w:r>
      <w:r>
        <w:t xml:space="preserve">conclusion carries an explicit, source-specific confidence, and where the</w:t>
      </w:r>
      <w:r>
        <w:t xml:space="preserve"> </w:t>
      </w:r>
      <w:r>
        <w:t xml:space="preserve">route to a more confident answer — more grains, or tighter source constraints —</w:t>
      </w:r>
      <w:r>
        <w:t xml:space="preserve"> </w:t>
      </w:r>
      <w:r>
        <w:t xml:space="preserve">is made quantitative.</w:t>
      </w:r>
    </w:p>
    <w:bookmarkEnd w:id="12"/>
    <w:bookmarkStart w:id="13" w:name="geological-setting-and-samples"/>
    <w:p>
      <w:pPr>
        <w:pStyle w:val="Heading2"/>
      </w:pPr>
      <w:r>
        <w:t xml:space="preserve">2. Geological setting and samples</w:t>
      </w:r>
    </w:p>
    <w:p>
      <w:pPr>
        <w:pStyle w:val="FirstParagraph"/>
      </w:pPr>
      <w:r>
        <w:t xml:space="preserve">The fifteen samples fall into two groups spanning the eastern Central Asian</w:t>
      </w:r>
      <w:r>
        <w:t xml:space="preserve"> </w:t>
      </w:r>
      <w:r>
        <w:t xml:space="preserve">Orogenic Belt (CAOB) and the northern North China Craton (NCC) (Liu et al.,</w:t>
      </w:r>
      <w:r>
        <w:t xml:space="preserve"> </w:t>
      </w:r>
      <w:r>
        <w:t xml:space="preserve">2017; Zhao et al., 2012): a North-China-Craton north-margin group and a Songliao Basin group (Feng et al., 2010; Wang et al., 2016; Fig. 1; coordinates, grain counts and formations in Table 1). The eleven Songliao samples are Lower Cretaceous (Denglouku and Quantou formations for SL0929–SL0932; compilation depositional ages of ≈ 100–126 Ma for the Puetz series, one of which lies at the Albian–Cenomanian boundary), whereas the four NCC north-margin sandstones are older: 05FW007 and 05FW008 come from the Longmen and Jiulongshan formations of the Beijing Xishan area (Yang et al., 2006), units mapped as Jurassic whose zircons (no grains younger than ≈ 180 Ma in 05FW007 apart from a single ≈ 143 Ma grain; all 36 grains of 05FW008 between 142 and 164 Ma) place deposition between the Middle Jurassic and the Jurassic–Cretaceous boundary, and 100821-1 and 100821-3 come from the Upper Jurassic–Lower Cretaceous Tuchengzi Formation of the Shangyi basin (Xu et al., 2016); the sample set therefore spans the Middle Jurassic to Early Cretaceous rather than the Lower Cretaceous alone. The clastic fill of both groups draws potentially on three compositionally and</w:t>
      </w:r>
      <w:r>
        <w:t xml:space="preserve"> </w:t>
      </w:r>
      <w:r>
        <w:t xml:space="preserve">geochronologically distinct source domains, adopted here as the mixing</w:t>
      </w:r>
      <w:r>
        <w:t xml:space="preserve"> </w:t>
      </w:r>
      <w:r>
        <w:t xml:space="preserve">end-members (Section 3):</w:t>
      </w:r>
    </w:p>
    <w:p>
      <w:pPr>
        <w:pStyle w:val="Compact"/>
        <w:numPr>
          <w:ilvl w:val="0"/>
          <w:numId w:val="1002"/>
        </w:numPr>
      </w:pPr>
      <w:r>
        <w:rPr>
          <w:b/>
          <w:bCs/>
        </w:rPr>
        <w:t xml:space="preserve">S1 — Mesozoic arc (reference peak ≈ 130 Ma).</w:t>
      </w:r>
      <w:r>
        <w:t xml:space="preserve"> </w:t>
      </w:r>
      <w:r>
        <w:t xml:space="preserve">Early Cretaceous arc</w:t>
      </w:r>
      <w:r>
        <w:t xml:space="preserve"> </w:t>
      </w:r>
      <w:r>
        <w:t xml:space="preserve">magmatism — driven predominantly by rollback of the Palaeo-Pacific (Izanagi)</w:t>
      </w:r>
      <w:r>
        <w:t xml:space="preserve"> </w:t>
      </w:r>
      <w:r>
        <w:t xml:space="preserve">slab along the eastern continental margin, with a subordinate Mongol–Okhotsk</w:t>
      </w:r>
      <w:r>
        <w:t xml:space="preserve"> </w:t>
      </w:r>
      <w:r>
        <w:t xml:space="preserve">contribution in the northwest during the earliest Cretaceous (Huang et al.,</w:t>
      </w:r>
      <w:r>
        <w:t xml:space="preserve"> </w:t>
      </w:r>
      <w:r>
        <w:t xml:space="preserve">2024; Li et al., 2021; Wu et al., 2022) — is widespread across NE Asia</w:t>
      </w:r>
      <w:r>
        <w:t xml:space="preserve"> </w:t>
      </w:r>
      <w:r>
        <w:t xml:space="preserve">(arc-magmatic peak ≈ 124–133 Ma; Li et al., 2021) and contributes a young, narrow age mode. (For 05FW007 and 05FW008, whose deposition predates or straddles the Jurassic–Cretaceous boundary, this end-member stands in for older, Jurassic arc-derived zircons; Section 5.5.)</w:t>
      </w:r>
    </w:p>
    <w:p>
      <w:pPr>
        <w:pStyle w:val="Compact"/>
        <w:numPr>
          <w:ilvl w:val="0"/>
          <w:numId w:val="1002"/>
        </w:numPr>
      </w:pPr>
      <w:r>
        <w:rPr>
          <w:b/>
          <w:bCs/>
        </w:rPr>
        <w:t xml:space="preserve">S2 — Palaeozoic CAOB basement (≈ 280 Ma).</w:t>
      </w:r>
      <w:r>
        <w:t xml:space="preserve"> </w:t>
      </w:r>
      <w:r>
        <w:t xml:space="preserve">The accretionary and arc</w:t>
      </w:r>
      <w:r>
        <w:t xml:space="preserve"> </w:t>
      </w:r>
      <w:r>
        <w:t xml:space="preserve">terranes of the CAOB — the world’s largest accretionary orogen, amalgamated</w:t>
      </w:r>
      <w:r>
        <w:t xml:space="preserve"> </w:t>
      </w:r>
      <w:r>
        <w:t xml:space="preserve">through the Palaeozoic with final closure of the Palaeo-Asian Ocean along the</w:t>
      </w:r>
      <w:r>
        <w:t xml:space="preserve"> </w:t>
      </w:r>
      <w:r>
        <w:t xml:space="preserve">Solonker Suture near the northern NCC margin (Xiao et al., 2003) — provide a broad late-Palaeozoic source (Liu et al., 2017; Xiao &amp; Santosh, 2014).</w:t>
      </w:r>
    </w:p>
    <w:p>
      <w:pPr>
        <w:pStyle w:val="Compact"/>
        <w:numPr>
          <w:ilvl w:val="0"/>
          <w:numId w:val="1002"/>
        </w:numPr>
      </w:pPr>
      <w:r>
        <w:rPr>
          <w:b/>
          <w:bCs/>
        </w:rPr>
        <w:t xml:space="preserve">S3 — Archaean–Proterozoic craton (≈ 1900 Ma).</w:t>
      </w:r>
      <w:r>
        <w:t xml:space="preserve"> </w:t>
      </w:r>
      <w:r>
        <w:t xml:space="preserve">The crystalline basement of</w:t>
      </w:r>
      <w:r>
        <w:t xml:space="preserve"> </w:t>
      </w:r>
      <w:r>
        <w:t xml:space="preserve">the North China Craton carries the characteristic ~1.85 Ga signature of its</w:t>
      </w:r>
      <w:r>
        <w:t xml:space="preserve"> </w:t>
      </w:r>
      <w:r>
        <w:t xml:space="preserve">final Palaeoproterozoic amalgamation along the Trans-North China Orogen (Zhao, 2001; Zhao et al., 2005, 2012), a source separated from the two younger domains by</w:t>
      </w:r>
      <w:r>
        <w:t xml:space="preserve"> </w:t>
      </w:r>
      <w:r>
        <w:t xml:space="preserve">a wide age margin.</w:t>
      </w:r>
    </w:p>
    <w:p>
      <w:pPr>
        <w:pStyle w:val="FirstParagraph"/>
      </w:pPr>
      <w:r>
        <w:t xml:space="preserve">These three domains are geologically expected to contribute in different</w:t>
      </w:r>
      <w:r>
        <w:t xml:space="preserve"> </w:t>
      </w:r>
      <w:r>
        <w:t xml:space="preserve">proportions to the two groups — the NCC north-margin samples being proximal to</w:t>
      </w:r>
      <w:r>
        <w:t xml:space="preserve"> </w:t>
      </w:r>
      <w:r>
        <w:t xml:space="preserve">cratonic basement, the Songliao Basin being dominated by its encircling arc and</w:t>
      </w:r>
      <w:r>
        <w:t xml:space="preserve"> </w:t>
      </w:r>
      <w:r>
        <w:t xml:space="preserve">CAOB terranes — furnishing an independent, qualitative check on the</w:t>
      </w:r>
      <w:r>
        <w:t xml:space="preserve"> </w:t>
      </w:r>
      <w:r>
        <w:t xml:space="preserve">quantitative unmixing (Section 5.5). Since the arc (≈ 130 Ma) and basement</w:t>
      </w:r>
      <w:r>
        <w:t xml:space="preserve"> </w:t>
      </w:r>
      <w:r>
        <w:t xml:space="preserve">(≈ 280 Ma) modes are the most closely spaced of the three, their relative</w:t>
      </w:r>
      <w:r>
        <w:t xml:space="preserve"> </w:t>
      </w:r>
      <w:r>
        <w:t xml:space="preserve">partition is the component most exposed to the identifiability limits examined</w:t>
      </w:r>
      <w:r>
        <w:t xml:space="preserve"> </w:t>
      </w:r>
      <w:r>
        <w:t xml:space="preserve">here, whereas the cratonic mode, isolated near 1900 Ma, is expected to be the</w:t>
      </w:r>
      <w:r>
        <w:t xml:space="preserve"> </w:t>
      </w:r>
      <w:r>
        <w:t xml:space="preserve">most robustly resolved — an expectation borne out by the posterior analysis</w:t>
      </w:r>
      <w:r>
        <w:t xml:space="preserve"> </w:t>
      </w:r>
      <w:r>
        <w:t xml:space="preserve">(Section 4).</w:t>
      </w:r>
    </w:p>
    <w:bookmarkEnd w:id="13"/>
    <w:bookmarkStart w:id="18" w:name="methods"/>
    <w:p>
      <w:pPr>
        <w:pStyle w:val="Heading2"/>
      </w:pPr>
      <w:r>
        <w:t xml:space="preserve">3. Methods</w:t>
      </w:r>
    </w:p>
    <w:bookmarkStart w:id="14" w:name="three-end-member-gaussian-mixture-model"/>
    <w:p>
      <w:pPr>
        <w:pStyle w:val="Heading3"/>
      </w:pPr>
      <w:r>
        <w:t xml:space="preserve">3.1 Three-end-member Gaussian mixture model</w:t>
      </w:r>
    </w:p>
    <w:p>
      <w:pPr>
        <w:pStyle w:val="FirstParagraph"/>
      </w:pPr>
      <w:r>
        <w:t xml:space="preserve">We model each detrital-zircon U–Pb age spectrum as a mixture of three</w:t>
      </w:r>
      <w:r>
        <w:t xml:space="preserve"> </w:t>
      </w:r>
      <w:r>
        <w:t xml:space="preserve">geologically defined source end-members: S1, Mesozoic arc magmatism (reference</w:t>
      </w:r>
      <w:r>
        <w:t xml:space="preserve"> </w:t>
      </w:r>
      <w:r>
        <w:t xml:space="preserve">peak μ ≈ 130 Ma, σ ≈ 15 Myr); S2, Palaeozoic basement of the Central Asian</w:t>
      </w:r>
      <w:r>
        <w:t xml:space="preserve"> </w:t>
      </w:r>
      <w:r>
        <w:t xml:space="preserve">Orogenic Belt (CAOB; μ ≈ 280 Ma, σ ≈ 30 Myr); and S3, Archaean–Proterozoic</w:t>
      </w:r>
      <w:r>
        <w:t xml:space="preserve"> </w:t>
      </w:r>
      <w:r>
        <w:t xml:space="preserve">cratonic crust of the North China Craton north margin (μ ≈ 1900 Ma, σ ≈ 100</w:t>
      </w:r>
      <w:r>
        <w:t xml:space="preserve"> </w:t>
      </w:r>
      <w:r>
        <w:t xml:space="preserve">Myr). For a sample of grain ages a = {a_z}, mixing weights</w:t>
      </w:r>
      <w:r>
        <w:t xml:space="preserve"> </w:t>
      </w:r>
      <w:r>
        <w:rPr>
          <w:b/>
          <w:bCs/>
        </w:rPr>
        <w:t xml:space="preserve">w</w:t>
      </w:r>
      <w:r>
        <w:t xml:space="preserve"> </w:t>
      </w:r>
      <w:r>
        <w:t xml:space="preserve">= (w₁, w₂, w₃)</w:t>
      </w:r>
      <w:r>
        <w:t xml:space="preserve"> </w:t>
      </w:r>
      <w:r>
        <w:t xml:space="preserve">live on the 2-simplex (Σ w_k = 1). Rather than assigning grains to sources, we</w:t>
      </w:r>
      <w:r>
        <w:t xml:space="preserve"> </w:t>
      </w:r>
      <w:r>
        <w:t xml:space="preserve">marginalise over the latent source label of each zircon, giving the per-grain</w:t>
      </w:r>
      <w:r>
        <w:t xml:space="preserve"> </w:t>
      </w:r>
      <w:r>
        <w:t xml:space="preserve">mixture likelihood</w:t>
      </w:r>
    </w:p>
    <w:p>
      <w:pPr>
        <w:pStyle w:val="BodyText"/>
      </w:pPr>
      <w:r>
        <w:t xml:space="preserve">log p(a |</w:t>
      </w:r>
      <w:r>
        <w:t xml:space="preserve"> </w:t>
      </w:r>
      <w:r>
        <w:rPr>
          <w:b/>
          <w:bCs/>
        </w:rPr>
        <w:t xml:space="preserve">w</w:t>
      </w:r>
      <w:r>
        <w:t xml:space="preserve">,</w:t>
      </w:r>
      <w:r>
        <w:t xml:space="preserve"> </w:t>
      </w:r>
      <w:r>
        <w:rPr>
          <w:b/>
          <w:bCs/>
        </w:rPr>
        <w:t xml:space="preserve">μ</w:t>
      </w:r>
      <w:r>
        <w:t xml:space="preserve">,</w:t>
      </w:r>
      <w:r>
        <w:t xml:space="preserve"> </w:t>
      </w:r>
      <w:r>
        <w:rPr>
          <w:b/>
          <w:bCs/>
        </w:rPr>
        <w:t xml:space="preserve">σ</w:t>
      </w:r>
      <w:r>
        <w:t xml:space="preserve">) = Σ_z log [ Σ_k w_k · N(a_z | μ_k, σ_k) ],</w:t>
      </w:r>
    </w:p>
    <w:p>
      <w:pPr>
        <w:pStyle w:val="BodyText"/>
      </w:pPr>
      <w:r>
        <w:t xml:space="preserve">where N(· | μ_k, σ_k) is the Gaussian density of end-member k. The posterior is</w:t>
      </w:r>
      <w:r>
        <w:t xml:space="preserve"> </w:t>
      </w:r>
      <w:r>
        <w:t xml:space="preserve">8-dimensional: two free weights (K − 1 = 2) plus the three centres μ_k and three</w:t>
      </w:r>
      <w:r>
        <w:t xml:space="preserve"> </w:t>
      </w:r>
      <w:r>
        <w:t xml:space="preserve">widths σ_k, co-inferred rather than fixed.</w:t>
      </w:r>
    </w:p>
    <w:bookmarkEnd w:id="14"/>
    <w:bookmarkStart w:id="15" w:name="priors"/>
    <w:p>
      <w:pPr>
        <w:pStyle w:val="Heading3"/>
      </w:pPr>
      <w:r>
        <w:t xml:space="preserve">3.2 Priors</w:t>
      </w:r>
    </w:p>
    <w:p>
      <w:pPr>
        <w:pStyle w:val="FirstParagraph"/>
      </w:pPr>
      <w:r>
        <w:t xml:space="preserve">End-member centres are taken from the reference end-members reported in the</w:t>
      </w:r>
      <w:r>
        <w:t xml:space="preserve"> </w:t>
      </w:r>
      <w:r>
        <w:t xml:space="preserve">companion supervised-unmixing study (Pan, submitted). We place independent</w:t>
      </w:r>
      <w:r>
        <w:t xml:space="preserve"> </w:t>
      </w:r>
      <w:r>
        <w:t xml:space="preserve">Gaussian priors on each parameter, with relative standard deviations of ±10% on</w:t>
      </w:r>
      <w:r>
        <w:t xml:space="preserve"> </w:t>
      </w:r>
      <w:r>
        <w:t xml:space="preserve">the μ_k and ±20% on the σ_k, allowing the data to refine the end-member shapes</w:t>
      </w:r>
      <w:r>
        <w:t xml:space="preserve"> </w:t>
      </w:r>
      <w:r>
        <w:t xml:space="preserve">while anchoring them to geologically meaningful values. A symmetric Dirichlet(1)</w:t>
      </w:r>
      <w:r>
        <w:t xml:space="preserve"> </w:t>
      </w:r>
      <w:r>
        <w:t xml:space="preserve">prior on</w:t>
      </w:r>
      <w:r>
        <w:t xml:space="preserve"> </w:t>
      </w:r>
      <w:r>
        <w:rPr>
          <w:b/>
          <w:bCs/>
        </w:rPr>
        <w:t xml:space="preserve">w</w:t>
      </w:r>
      <w:r>
        <w:t xml:space="preserve"> </w:t>
      </w:r>
      <w:r>
        <w:t xml:space="preserve">imposes a uniform distribution over the simplex (Gelman et al., 2013), expressing no prior preference among sources.</w:t>
      </w:r>
    </w:p>
    <w:bookmarkEnd w:id="15"/>
    <w:bookmarkStart w:id="16" w:name="prior-perturbation-bootstrap-scan"/>
    <w:p>
      <w:pPr>
        <w:pStyle w:val="Heading3"/>
      </w:pPr>
      <w:r>
        <w:t xml:space="preserve">3.3 Prior-perturbation × bootstrap scan</w:t>
      </w:r>
    </w:p>
    <w:p>
      <w:pPr>
        <w:pStyle w:val="FirstParagraph"/>
      </w:pPr>
      <w:r>
        <w:t xml:space="preserve">To separate robust conclusions from those that are sensitive to analyst</w:t>
      </w:r>
      <w:r>
        <w:t xml:space="preserve"> </w:t>
      </w:r>
      <w:r>
        <w:t xml:space="preserve">choices, we do not fit each sample once. Instead, we systematically perturb the</w:t>
      </w:r>
      <w:r>
        <w:t xml:space="preserve"> </w:t>
      </w:r>
      <w:r>
        <w:t xml:space="preserve">prior centres over a grid of mean_shift ∈ [−10%, +10%] (11 levels) × sigma_shift</w:t>
      </w:r>
      <w:r>
        <w:t xml:space="preserve"> </w:t>
      </w:r>
      <w:r>
        <w:t xml:space="preserve">∈ [−20%, +20%] (11 levels) = 121 prior configurations, and at each configuration</w:t>
      </w:r>
      <w:r>
        <w:t xml:space="preserve"> </w:t>
      </w:r>
      <w:r>
        <w:t xml:space="preserve">draw 100 with-replacement bootstrap resamples of the grains (Efron, 1979). This yields 12,100</w:t>
      </w:r>
      <w:r>
        <w:t xml:space="preserve"> </w:t>
      </w:r>
      <w:r>
        <w:t xml:space="preserve">independent MCMC fits per sample, and 15 × 121 × 100 = 181,500 fits in total.</w:t>
      </w:r>
      <w:r>
        <w:t xml:space="preserve"> </w:t>
      </w:r>
      <w:r>
        <w:t xml:space="preserve">The spread of the posterior weight means across this 121 × 100 grid (reported as</w:t>
      </w:r>
      <w:r>
        <w:t xml:space="preserve"> </w:t>
      </w:r>
      <w:r>
        <w:t xml:space="preserve">the standard deviation) directly quantifies how much each conclusion depends</w:t>
      </w:r>
      <w:r>
        <w:t xml:space="preserve"> </w:t>
      </w:r>
      <w:r>
        <w:t xml:space="preserve">jointly on prior specification and on sampling of the finite grain population,</w:t>
      </w:r>
      <w:r>
        <w:t xml:space="preserve"> </w:t>
      </w:r>
      <w:r>
        <w:t xml:space="preserve">rather than relying on a single posterior credible interval.</w:t>
      </w:r>
    </w:p>
    <w:bookmarkEnd w:id="16"/>
    <w:bookmarkStart w:id="17" w:name="mcmc-and-gpu-implementation"/>
    <w:p>
      <w:pPr>
        <w:pStyle w:val="Heading3"/>
      </w:pPr>
      <w:r>
        <w:t xml:space="preserve">3.4 MCMC and GPU implementation</w:t>
      </w:r>
    </w:p>
    <w:p>
      <w:pPr>
        <w:pStyle w:val="FirstParagraph"/>
      </w:pPr>
      <w:r>
        <w:t xml:space="preserve">Posteriors were sampled with the Goodman–Weare affine-invariant ensemble</w:t>
      </w:r>
      <w:r>
        <w:t xml:space="preserve"> </w:t>
      </w:r>
      <w:r>
        <w:t xml:space="preserve">sampler (Goodman &amp; Weare, 2010), as implemented in emcee (Foreman-Mackey et al., 2013), using 64 walkers × 5000 steps with a 1000-step burn-in. The reference emcee</w:t>
      </w:r>
      <w:r>
        <w:t xml:space="preserve"> </w:t>
      </w:r>
      <w:r>
        <w:t xml:space="preserve">implementation requires ~21 s per fit on CPU, making the full scan infeasible</w:t>
      </w:r>
      <w:r>
        <w:t xml:space="preserve"> </w:t>
      </w:r>
      <w:r>
        <w:t xml:space="preserve">(~44 CPU-core-days). We therefore re-implemented the sampler as a batched PyTorch GPU kernel (NVIDIA L20), following the established mapping of population-based Monte Carlo onto GPUs (Suchard et al., 2010), completing all 181,500 fits in 4475 s (~74 min). We validated the</w:t>
      </w:r>
      <w:r>
        <w:t xml:space="preserve"> </w:t>
      </w:r>
      <w:r>
        <w:t xml:space="preserve">GPU sampler fit-by-fit against the emcee gold standard: the maximum absolute</w:t>
      </w:r>
      <w:r>
        <w:t xml:space="preserve"> </w:t>
      </w:r>
      <w:r>
        <w:t xml:space="preserve">difference in posterior weight means was 0.020, and the posterior standard</w:t>
      </w:r>
      <w:r>
        <w:t xml:space="preserve"> </w:t>
      </w:r>
      <w:r>
        <w:t xml:space="preserve">deviations agreed to within the same 0.020 tolerance — so the credible-interval</w:t>
      </w:r>
      <w:r>
        <w:t xml:space="preserve"> </w:t>
      </w:r>
      <w:r>
        <w:t xml:space="preserve">widths underpinning the uncertainty analysis, not merely the means, are</w:t>
      </w:r>
      <w:r>
        <w:t xml:space="preserve"> </w:t>
      </w:r>
      <w:r>
        <w:t xml:space="preserve">reproduced. Re-seeding emcee itself</w:t>
      </w:r>
      <w:r>
        <w:t xml:space="preserve"> </w:t>
      </w:r>
      <w:r>
        <w:t xml:space="preserve">produced inter-seed scatter of ~0.19 along the degenerate (adjacent S1/S2)</w:t>
      </w:r>
      <w:r>
        <w:t xml:space="preserve"> </w:t>
      </w:r>
      <w:r>
        <w:t xml:space="preserve">direction. The GPU–emcee discrepancy is thus an order of magnitude smaller than</w:t>
      </w:r>
      <w:r>
        <w:t xml:space="preserve"> </w:t>
      </w:r>
      <w:r>
        <w:t xml:space="preserve">emcee’s own Monte Carlo noise, establishing equivalence. Bootstrap convergence</w:t>
      </w:r>
      <w:r>
        <w:t xml:space="preserve"> </w:t>
      </w:r>
      <w:r>
        <w:t xml:space="preserve">was checked at the central prior: the ratio of weight std from b &lt; 30 subsets to</w:t>
      </w:r>
      <w:r>
        <w:t xml:space="preserve"> </w:t>
      </w:r>
      <w:r>
        <w:t xml:space="preserve">that from the full 100 had a median of ≈ 1.0, confirming that ~30 resamples</w:t>
      </w:r>
      <w:r>
        <w:t xml:space="preserve"> </w:t>
      </w:r>
      <w:r>
        <w:t xml:space="preserve">already converge and 100 provides a robustness margin (quantified per b in</w:t>
      </w:r>
      <w:r>
        <w:t xml:space="preserve"> </w:t>
      </w:r>
      <w:r>
        <w:t xml:space="preserve">Table 2). The ensemble sampler itself remained healthy throughout the scan: the</w:t>
      </w:r>
      <w:r>
        <w:t xml:space="preserve"> </w:t>
      </w:r>
      <w:r>
        <w:t xml:space="preserve">acceptance fraction lay within the recommended 0.2–0.5 range (Foreman-Mackey et al., 2013) for 99.3% of all</w:t>
      </w:r>
      <w:r>
        <w:t xml:space="preserve"> </w:t>
      </w:r>
      <w:r>
        <w:t xml:space="preserve">181,500 fits (median 0.42), the only depressed value being on the most</w:t>
      </w:r>
      <w:r>
        <w:t xml:space="preserve"> </w:t>
      </w:r>
      <w:r>
        <w:t xml:space="preserve">degenerate sample, R31370-S12652 (Fig. 2). Per-fit integrated autocorrelation times (Hogg &amp; Foreman-Mackey, 2018) were not stored for the batched scan; convergence is instead corroborated by the burn-in, the acceptance-fraction diagnostic, and the fit-by-fit agreement with emcee.</w:t>
      </w:r>
    </w:p>
    <w:p>
      <w:pPr>
        <w:pStyle w:val="BodyText"/>
      </w:pPr>
      <w:r>
        <w:rPr>
          <w:b/>
          <w:bCs/>
        </w:rPr>
        <w:t xml:space="preserve">Table 2.</w:t>
      </w:r>
      <w:r>
        <w:t xml:space="preserve"> </w:t>
      </w:r>
      <w:r>
        <w:t xml:space="preserve">Bootstrap convergence at the central prior configuration.</w:t>
      </w:r>
    </w:p>
    <w:tbl>
      <w:tblPr>
        <w:tblStyle w:val="Table"/>
        <w:tblW w:type="pct" w:w="5000"/>
        <w:tblBorders>
          <w:top w:val="single" w:sz="8" w:space="0" w:color="auto"/>
          <w:left w:val="nil"/>
          <w:bottom w:val="single" w:sz="8" w:space="0" w:color="auto"/>
          <w:right w:val="nil"/>
          <w:insideH w:val="nil"/>
          <w:insideV w:val="nil"/>
        </w:tblBorders>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 (resamples)</w:t>
            </w:r>
          </w:p>
        </w:tc>
        <w:tc>
          <w:tcPr/>
          <w:p>
            <w:pPr>
              <w:pStyle w:val="Compact"/>
            </w:pPr>
            <w:r>
              <w:t xml:space="preserve">median (all 45)</w:t>
            </w:r>
          </w:p>
        </w:tc>
        <w:tc>
          <w:tcPr/>
          <w:p>
            <w:pPr>
              <w:pStyle w:val="Compact"/>
            </w:pPr>
            <w:r>
              <w:t xml:space="preserve">IQR (all 45)</w:t>
            </w:r>
          </w:p>
        </w:tc>
        <w:tc>
          <w:tcPr/>
          <w:p>
            <w:pPr>
              <w:pStyle w:val="Compact"/>
            </w:pPr>
            <w:r>
              <w:t xml:space="preserve">median (soft 35)</w:t>
            </w:r>
          </w:p>
        </w:tc>
        <w:tc>
          <w:tcPr/>
          <w:p>
            <w:pPr>
              <w:pStyle w:val="Compact"/>
            </w:pPr>
            <w:r>
              <w:t xml:space="preserve">IQR (soft 35)</w:t>
            </w:r>
          </w:p>
        </w:tc>
      </w:tr>
      <w:tr>
        <w:tc>
          <w:tcPr/>
          <w:p>
            <w:pPr>
              <w:pStyle w:val="Compact"/>
            </w:pPr>
            <w:r>
              <w:t xml:space="preserve">10</w:t>
            </w:r>
          </w:p>
        </w:tc>
        <w:tc>
          <w:tcPr/>
          <w:p>
            <w:pPr>
              <w:pStyle w:val="Compact"/>
            </w:pPr>
            <w:r>
              <w:t xml:space="preserve">0.90</w:t>
            </w:r>
          </w:p>
        </w:tc>
        <w:tc>
          <w:tcPr/>
          <w:p>
            <w:pPr>
              <w:pStyle w:val="Compact"/>
            </w:pPr>
            <w:r>
              <w:t xml:space="preserve">0.82–1.10</w:t>
            </w:r>
          </w:p>
        </w:tc>
        <w:tc>
          <w:tcPr/>
          <w:p>
            <w:pPr>
              <w:pStyle w:val="Compact"/>
            </w:pPr>
            <w:r>
              <w:t xml:space="preserve">0.90</w:t>
            </w:r>
          </w:p>
        </w:tc>
        <w:tc>
          <w:tcPr/>
          <w:p>
            <w:pPr>
              <w:pStyle w:val="Compact"/>
            </w:pPr>
            <w:r>
              <w:t xml:space="preserve">0.83–1.11</w:t>
            </w:r>
          </w:p>
        </w:tc>
      </w:tr>
      <w:tr>
        <w:tc>
          <w:tcPr/>
          <w:p>
            <w:pPr>
              <w:pStyle w:val="Compact"/>
            </w:pPr>
            <w:r>
              <w:t xml:space="preserve">20</w:t>
            </w:r>
          </w:p>
        </w:tc>
        <w:tc>
          <w:tcPr/>
          <w:p>
            <w:pPr>
              <w:pStyle w:val="Compact"/>
            </w:pPr>
            <w:r>
              <w:t xml:space="preserve">1.00</w:t>
            </w:r>
          </w:p>
        </w:tc>
        <w:tc>
          <w:tcPr/>
          <w:p>
            <w:pPr>
              <w:pStyle w:val="Compact"/>
            </w:pPr>
            <w:r>
              <w:t xml:space="preserve">0.91–1.12</w:t>
            </w:r>
          </w:p>
        </w:tc>
        <w:tc>
          <w:tcPr/>
          <w:p>
            <w:pPr>
              <w:pStyle w:val="Compact"/>
            </w:pPr>
            <w:r>
              <w:t xml:space="preserve">1.01</w:t>
            </w:r>
          </w:p>
        </w:tc>
        <w:tc>
          <w:tcPr/>
          <w:p>
            <w:pPr>
              <w:pStyle w:val="Compact"/>
            </w:pPr>
            <w:r>
              <w:t xml:space="preserve">0.92–1.12</w:t>
            </w:r>
          </w:p>
        </w:tc>
      </w:tr>
      <w:tr>
        <w:tc>
          <w:tcPr/>
          <w:p>
            <w:pPr>
              <w:pStyle w:val="Compact"/>
            </w:pPr>
            <w:r>
              <w:t xml:space="preserve">30</w:t>
            </w:r>
          </w:p>
        </w:tc>
        <w:tc>
          <w:tcPr/>
          <w:p>
            <w:pPr>
              <w:pStyle w:val="Compact"/>
            </w:pPr>
            <w:r>
              <w:t xml:space="preserve">0.99</w:t>
            </w:r>
          </w:p>
        </w:tc>
        <w:tc>
          <w:tcPr/>
          <w:p>
            <w:pPr>
              <w:pStyle w:val="Compact"/>
            </w:pPr>
            <w:r>
              <w:t xml:space="preserve">0.91–1.10</w:t>
            </w:r>
          </w:p>
        </w:tc>
        <w:tc>
          <w:tcPr/>
          <w:p>
            <w:pPr>
              <w:pStyle w:val="Compact"/>
            </w:pPr>
            <w:r>
              <w:t xml:space="preserve">0.99</w:t>
            </w:r>
          </w:p>
        </w:tc>
        <w:tc>
          <w:tcPr/>
          <w:p>
            <w:pPr>
              <w:pStyle w:val="Compact"/>
            </w:pPr>
            <w:r>
              <w:t xml:space="preserve">0.92–1.09</w:t>
            </w:r>
          </w:p>
        </w:tc>
      </w:tr>
      <w:tr>
        <w:tc>
          <w:tcPr/>
          <w:p>
            <w:pPr>
              <w:pStyle w:val="Compact"/>
            </w:pPr>
            <w:r>
              <w:t xml:space="preserve">50</w:t>
            </w:r>
          </w:p>
        </w:tc>
        <w:tc>
          <w:tcPr/>
          <w:p>
            <w:pPr>
              <w:pStyle w:val="Compact"/>
            </w:pPr>
            <w:r>
              <w:t xml:space="preserve">1.02</w:t>
            </w:r>
          </w:p>
        </w:tc>
        <w:tc>
          <w:tcPr/>
          <w:p>
            <w:pPr>
              <w:pStyle w:val="Compact"/>
            </w:pPr>
            <w:r>
              <w:t xml:space="preserve">0.97–1.06</w:t>
            </w:r>
          </w:p>
        </w:tc>
        <w:tc>
          <w:tcPr/>
          <w:p>
            <w:pPr>
              <w:pStyle w:val="Compact"/>
            </w:pPr>
            <w:r>
              <w:t xml:space="preserve">1.03</w:t>
            </w:r>
          </w:p>
        </w:tc>
        <w:tc>
          <w:tcPr/>
          <w:p>
            <w:pPr>
              <w:pStyle w:val="Compact"/>
            </w:pPr>
            <w:r>
              <w:t xml:space="preserve">1.00–1.06</w:t>
            </w:r>
          </w:p>
        </w:tc>
      </w:tr>
      <w:tr>
        <w:tc>
          <w:tcPr/>
          <w:p>
            <w:pPr>
              <w:pStyle w:val="Compact"/>
            </w:pPr>
            <w:r>
              <w:t xml:space="preserve">75</w:t>
            </w:r>
          </w:p>
        </w:tc>
        <w:tc>
          <w:tcPr/>
          <w:p>
            <w:pPr>
              <w:pStyle w:val="Compact"/>
            </w:pPr>
            <w:r>
              <w:t xml:space="preserve">1.02</w:t>
            </w:r>
          </w:p>
        </w:tc>
        <w:tc>
          <w:tcPr/>
          <w:p>
            <w:pPr>
              <w:pStyle w:val="Compact"/>
            </w:pPr>
            <w:r>
              <w:t xml:space="preserve">0.97–1.05</w:t>
            </w:r>
          </w:p>
        </w:tc>
        <w:tc>
          <w:tcPr/>
          <w:p>
            <w:pPr>
              <w:pStyle w:val="Compact"/>
            </w:pPr>
            <w:r>
              <w:t xml:space="preserve">1.02</w:t>
            </w:r>
          </w:p>
        </w:tc>
        <w:tc>
          <w:tcPr/>
          <w:p>
            <w:pPr>
              <w:pStyle w:val="Compact"/>
            </w:pPr>
            <w:r>
              <w:t xml:space="preserve">0.98–1.04</w:t>
            </w:r>
          </w:p>
        </w:tc>
      </w:tr>
    </w:tbl>
    <w:p>
      <w:pPr>
        <w:pStyle w:val="BodyText"/>
      </w:pPr>
      <w:r>
        <w:rPr>
          <w:i/>
          <w:iCs/>
        </w:rPr>
        <w:t xml:space="preserve">Notes:</w:t>
      </w:r>
      <w:r>
        <w:t xml:space="preserve"> </w:t>
      </w:r>
      <w:r>
        <w:t xml:space="preserve">Entries are the ratio σ_b / σ_100 of the bootstrap standard deviation</w:t>
      </w:r>
      <w:r>
        <w:t xml:space="preserve"> </w:t>
      </w:r>
      <w:r>
        <w:t xml:space="preserve">of the posterior mean weight from the first</w:t>
      </w:r>
      <w:r>
        <w:t xml:space="preserve"> </w:t>
      </w:r>
      <w:r>
        <w:rPr>
          <w:i/>
          <w:iCs/>
        </w:rPr>
        <w:t xml:space="preserve">b</w:t>
      </w:r>
      <w:r>
        <w:t xml:space="preserve"> </w:t>
      </w:r>
      <w:r>
        <w:t xml:space="preserve">resamples to that from all 100,</w:t>
      </w:r>
      <w:r>
        <w:t xml:space="preserve"> </w:t>
      </w:r>
      <w:r>
        <w:t xml:space="preserve">at the central prior configuration (mean_shift = sigma_shift = 0), aggregated</w:t>
      </w:r>
      <w:r>
        <w:t xml:space="preserve"> </w:t>
      </w:r>
      <w:r>
        <w:t xml:space="preserve">over the 15 samples × 3 end-member weights (45 pairs) and over the 35</w:t>
      </w:r>
      <w:r>
        <w:t xml:space="preserve"> </w:t>
      </w:r>
      <w:r>
        <w:t xml:space="preserve">“soft”</w:t>
      </w:r>
      <w:r>
        <w:t xml:space="preserve"> </w:t>
      </w:r>
      <w:r>
        <w:t xml:space="preserve">pairs with σ_100 &gt; 0.02 — the latter excludes the weights whose σ_100 ≈</w:t>
      </w:r>
      <w:r>
        <w:t xml:space="preserve"> </w:t>
      </w:r>
      <w:r>
        <w:t xml:space="preserve">0.001–0.003 makes the ratio a division-noise artefact. The median ratio is</w:t>
      </w:r>
      <w:r>
        <w:t xml:space="preserve"> </w:t>
      </w:r>
      <w:r>
        <w:t xml:space="preserve">already ≈ 1.0 by</w:t>
      </w:r>
      <w:r>
        <w:t xml:space="preserve"> </w:t>
      </w:r>
      <w:r>
        <w:rPr>
          <w:i/>
          <w:iCs/>
        </w:rPr>
        <w:t xml:space="preserve">b</w:t>
      </w:r>
      <w:r>
        <w:t xml:space="preserve"> </w:t>
      </w:r>
      <w:r>
        <w:t xml:space="preserve">≈ 20 and the interquartile range tightens steadily, i.e.</w:t>
      </w:r>
      <w:r>
        <w:t xml:space="preserve"> </w:t>
      </w:r>
      <w:r>
        <w:t xml:space="preserve">the bootstrap standard deviation has essentially converged well before 100</w:t>
      </w:r>
      <w:r>
        <w:t xml:space="preserve"> </w:t>
      </w:r>
      <w:r>
        <w:t xml:space="preserve">resamples; 100 is therefore a comfortable robustness margin, not excess.</w:t>
      </w:r>
    </w:p>
    <w:bookmarkEnd w:id="17"/>
    <w:bookmarkEnd w:id="18"/>
    <w:bookmarkStart w:id="23" w:name="results"/>
    <w:p>
      <w:pPr>
        <w:pStyle w:val="Heading2"/>
      </w:pPr>
      <w:r>
        <w:t xml:space="preserve">4. Results</w:t>
      </w:r>
    </w:p>
    <w:bookmarkStart w:id="19" w:name="X49778c242b356427fdda0034c077222f9821f28"/>
    <w:p>
      <w:pPr>
        <w:pStyle w:val="Heading3"/>
      </w:pPr>
      <w:r>
        <w:t xml:space="preserve">4.1 Posterior mixing weights and their uncertainty</w:t>
      </w:r>
    </w:p>
    <w:p>
      <w:pPr>
        <w:pStyle w:val="FirstParagraph"/>
      </w:pPr>
      <w:r>
        <w:t xml:space="preserve">Per-sample three-end-member posterior mean weights and their associated</w:t>
      </w:r>
      <w:r>
        <w:t xml:space="preserve"> </w:t>
      </w:r>
      <w:r>
        <w:t xml:space="preserve">uncertainties (the standard deviation of the posterior mean across the 121 ×</w:t>
      </w:r>
      <w:r>
        <w:t xml:space="preserve"> </w:t>
      </w:r>
      <w:r>
        <w:t xml:space="preserve">100 prior-perturbation × bootstrap grid) are reported in Table 1 and summarised</w:t>
      </w:r>
      <w:r>
        <w:t xml:space="preserve"> </w:t>
      </w:r>
      <w:r>
        <w:t xml:space="preserve">in Fig. 3. Across the 15 samples all posteriors resolve geologically</w:t>
      </w:r>
      <w:r>
        <w:t xml:space="preserve"> </w:t>
      </w:r>
      <w:r>
        <w:t xml:space="preserve">interpretable mixtures of the Mesozoic-arc (S1, 130 Ma), Palaeozoic-basement/CAOB (S2, 280 Ma), and Archaean–Proterozoic cratonic (S3, 1900 Ma) end-members.</w:t>
      </w:r>
      <w:r>
        <w:t xml:space="preserve"> </w:t>
      </w:r>
      <w:r>
        <w:t xml:space="preserve">The central message of our uncertainty analysis, however, is that the three</w:t>
      </w:r>
      <w:r>
        <w:t xml:space="preserve"> </w:t>
      </w:r>
      <w:r>
        <w:t xml:space="preserve">weights are</w:t>
      </w:r>
      <w:r>
        <w:t xml:space="preserve"> </w:t>
      </w:r>
      <w:r>
        <w:rPr>
          <w:i/>
          <w:iCs/>
        </w:rPr>
        <w:t xml:space="preserve">not</w:t>
      </w:r>
      <w:r>
        <w:t xml:space="preserve"> </w:t>
      </w:r>
      <w:r>
        <w:t xml:space="preserve">equally well constrained, and that the appropriate unit of</w:t>
      </w:r>
      <w:r>
        <w:t xml:space="preserve"> </w:t>
      </w:r>
      <w:r>
        <w:t xml:space="preserve">“robustness”</w:t>
      </w:r>
      <w:r>
        <w:t xml:space="preserve"> </w:t>
      </w:r>
      <w:r>
        <w:t xml:space="preserve">is the individual weight rather than the sample as a whole.</w:t>
      </w:r>
    </w:p>
    <w:p>
      <w:pPr>
        <w:pStyle w:val="BodyText"/>
      </w:pPr>
      <w:r>
        <w:t xml:space="preserve">The cratonic weight w_S3 is the hard, universally well-resolved component. Its</w:t>
      </w:r>
      <w:r>
        <w:t xml:space="preserve"> </w:t>
      </w:r>
      <w:r>
        <w:t xml:space="preserve">scan std is small for every sample (0.000–0.085) and effectively</w:t>
      </w:r>
      <w:r>
        <w:t xml:space="preserve"> </w:t>
      </w:r>
      <w:r>
        <w:t xml:space="preserve">zero for several Songliao samples (≤ 0.002; e.g. R31354-S12519, R31370-S12650,</w:t>
      </w:r>
      <w:r>
        <w:t xml:space="preserve"> </w:t>
      </w:r>
      <w:r>
        <w:t xml:space="preserve">R31370-S12651). The presence or absence — and, where present, the magnitude —</w:t>
      </w:r>
      <w:r>
        <w:t xml:space="preserve"> </w:t>
      </w:r>
      <w:r>
        <w:t xml:space="preserve">of an Archaean–Proterozoic cratonic contribution is therefore recovered as a</w:t>
      </w:r>
      <w:r>
        <w:t xml:space="preserve"> </w:t>
      </w:r>
      <w:r>
        <w:t xml:space="preserve">conclusion insensitive to both prior perturbation and bootstrap resampling.</w:t>
      </w:r>
    </w:p>
    <w:p>
      <w:pPr>
        <w:pStyle w:val="BodyText"/>
      </w:pPr>
      <w:r>
        <w:t xml:space="preserve">By contrast, the partition of the remaining budget between the arc (S1) and</w:t>
      </w:r>
      <w:r>
        <w:t xml:space="preserve"> </w:t>
      </w:r>
      <w:r>
        <w:t xml:space="preserve">basement (S2) end-members is the soft component. The two standard deviations</w:t>
      </w:r>
      <w:r>
        <w:t xml:space="preserve"> </w:t>
      </w:r>
      <w:r>
        <w:t xml:space="preserve">std(w_S1) and std(w_S2) are large (typically 0.05–0.22), anti-correlated, and nearly</w:t>
      </w:r>
      <w:r>
        <w:t xml:space="preserve"> </w:t>
      </w:r>
      <w:r>
        <w:t xml:space="preserve">equal within every sample (e.g. 05FW007 0.118/0.121; SL0930 0.055/0.061;</w:t>
      </w:r>
      <w:r>
        <w:t xml:space="preserve"> </w:t>
      </w:r>
      <w:r>
        <w:t xml:space="preserve">R31354-S12518 0.069/0.069): the data pins the combined arc + basement</w:t>
      </w:r>
      <w:r>
        <w:t xml:space="preserve"> </w:t>
      </w:r>
      <w:r>
        <w:t xml:space="preserve">contribution w_S1 + w_S2 while leaving its internal split loosely determined,</w:t>
      </w:r>
      <w:r>
        <w:t xml:space="preserve"> </w:t>
      </w:r>
      <w:r>
        <w:t xml:space="preserve">so the posterior cloud collapses to a one-dimensional ridge along the S1–S2</w:t>
      </w:r>
      <w:r>
        <w:t xml:space="preserve"> </w:t>
      </w:r>
      <w:r>
        <w:t xml:space="preserve">join (Fig. 3a). A per-sample covariance eigen-analysis makes this explicit —</w:t>
      </w:r>
      <w:r>
        <w:t xml:space="preserve"> </w:t>
      </w:r>
      <w:r>
        <w:t xml:space="preserve">the leading eigenvector of the weight covariance lies close to the S1–S2 direction for 11 of the 15 samples (within ~2° for most of them), and for the most craton-poor Songliao samples</w:t>
      </w:r>
      <w:r>
        <w:t xml:space="preserve"> </w:t>
      </w:r>
      <w:r>
        <w:t xml:space="preserve">the anisotropy λ₁/λ₂ reaches 10³–10⁴ with corr(w_S1, w_S2) = −1.000, i.e. an</w:t>
      </w:r>
      <w:r>
        <w:t xml:space="preserve"> </w:t>
      </w:r>
      <w:r>
        <w:t xml:space="preserve">essentially pure one-dimensional degeneracy once the craton weight is fixed</w:t>
      </w:r>
      <w:r>
        <w:t xml:space="preserve"> </w:t>
      </w:r>
      <w:r>
        <w:t xml:space="preserve">near zero.</w:t>
      </w:r>
    </w:p>
    <w:bookmarkEnd w:id="19"/>
    <w:bookmarkStart w:id="20" w:name="anatomy-of-the-arcbasement-softness"/>
    <w:p>
      <w:pPr>
        <w:pStyle w:val="Heading3"/>
      </w:pPr>
      <w:r>
        <w:t xml:space="preserve">4.2 Anatomy of the arc–basement softness</w:t>
      </w:r>
    </w:p>
    <w:p>
      <w:pPr>
        <w:pStyle w:val="FirstParagraph"/>
      </w:pPr>
      <w:r>
        <w:t xml:space="preserve">Three properties of this soft direction, established by resampling and</w:t>
      </w:r>
      <w:r>
        <w:t xml:space="preserve"> </w:t>
      </w:r>
      <w:r>
        <w:t xml:space="preserve">eigen-decomposition of the scan, bear directly on how the weights should be</w:t>
      </w:r>
      <w:r>
        <w:t xml:space="preserve"> </w:t>
      </w:r>
      <w:r>
        <w:t xml:space="preserve">read.</w:t>
      </w:r>
    </w:p>
    <w:p>
      <w:pPr>
        <w:pStyle w:val="BodyText"/>
      </w:pPr>
      <w:r>
        <w:rPr>
          <w:i/>
          <w:iCs/>
        </w:rPr>
        <w:t xml:space="preserve">The softness is a finite-grain counting-noise floor, not an intrinsic overlap</w:t>
      </w:r>
      <w:r>
        <w:rPr>
          <w:i/>
          <w:iCs/>
        </w:rPr>
        <w:t xml:space="preserve"> </w:t>
      </w:r>
      <w:r>
        <w:rPr>
          <w:i/>
          <w:iCs/>
        </w:rPr>
        <w:t xml:space="preserve">of the end-member age modes.</w:t>
      </w:r>
      <w:r>
        <w:t xml:space="preserve"> </w:t>
      </w:r>
      <w:r>
        <w:t xml:space="preserve">Within each sample, subsampling the dated grains</w:t>
      </w:r>
      <w:r>
        <w:t xml:space="preserve"> </w:t>
      </w:r>
      <w:r>
        <w:t xml:space="preserve">to size m and refitting under fixed end-member shapes gives a soft-direction</w:t>
      </w:r>
      <w:r>
        <w:t xml:space="preserve"> </w:t>
      </w:r>
      <w:r>
        <w:t xml:space="preserve">spread that scales as σ_soft ∝ m^(−1/2) (median exponent −0.507, interquartile</w:t>
      </w:r>
      <w:r>
        <w:t xml:space="preserve"> </w:t>
      </w:r>
      <w:r>
        <w:t xml:space="preserve">range [−0.511, −0.490]; prediction −0.500), and whose full-n magnitude matches</w:t>
      </w:r>
      <w:r>
        <w:t xml:space="preserve"> </w:t>
      </w:r>
      <w:r>
        <w:t xml:space="preserve">the multinomial counting-noise floor of a perfectly separable mixture to a</w:t>
      </w:r>
      <w:r>
        <w:t xml:space="preserve"> </w:t>
      </w:r>
      <w:r>
        <w:t xml:space="preserve">median factor of 1.02 (14 of 15 samples in 0.97–1.12). The 130 Ma arc and 280</w:t>
      </w:r>
      <w:r>
        <w:t xml:space="preserve"> </w:t>
      </w:r>
      <w:r>
        <w:t xml:space="preserve">Ma basement age modes are well separated at the data level — their</w:t>
      </w:r>
      <w:r>
        <w:t xml:space="preserve"> </w:t>
      </w:r>
      <w:r>
        <w:t xml:space="preserve">Kolmogorov–Smirnov resolvability is ≈ 0.999 and the cosine-normalised</w:t>
      </w:r>
      <w:r>
        <w:t xml:space="preserve"> </w:t>
      </w:r>
      <w:r>
        <w:t xml:space="preserve">Gaussian-overlap Gram matrix of the reference end-members is essentially the</w:t>
      </w:r>
      <w:r>
        <w:t xml:space="preserve"> </w:t>
      </w:r>
      <w:r>
        <w:t xml:space="preserve">identity. The arc–basement split is thus limited simply by how many grains were dated</w:t>
      </w:r>
      <w:r>
        <w:t xml:space="preserve"> </w:t>
      </w:r>
      <w:r>
        <w:t xml:space="preserve">(n = 31–111) rather than by any inability of the method to distinguish the two</w:t>
      </w:r>
      <w:r>
        <w:t xml:space="preserve"> </w:t>
      </w:r>
      <w:r>
        <w:t xml:space="preserve">sources; for most samples it is a</w:t>
      </w:r>
      <w:r>
        <w:t xml:space="preserve"> </w:t>
      </w:r>
      <w:r>
        <w:rPr>
          <w:i/>
          <w:iCs/>
        </w:rPr>
        <w:t xml:space="preserve">reducible</w:t>
      </w:r>
      <w:r>
        <w:t xml:space="preserve"> </w:t>
      </w:r>
      <w:r>
        <w:t xml:space="preserve">uncertainty that additional dating would tighten</w:t>
      </w:r>
      <w:r>
        <w:t xml:space="preserve"> </w:t>
      </w:r>
      <w:r>
        <w:t xml:space="preserve">predictably.</w:t>
      </w:r>
    </w:p>
    <w:p>
      <w:pPr>
        <w:pStyle w:val="BodyText"/>
      </w:pPr>
      <w:r>
        <w:rPr>
          <w:i/>
          <w:iCs/>
        </w:rPr>
        <w:t xml:space="preserve">A single Bayesian fit already reports most of this uncertainty.</w:t>
      </w:r>
      <w:r>
        <w:t xml:space="preserve"> </w:t>
      </w:r>
      <w:r>
        <w:t xml:space="preserve">Decomposing</w:t>
      </w:r>
      <w:r>
        <w:t xml:space="preserve"> </w:t>
      </w:r>
      <w:r>
        <w:t xml:space="preserve">the pooled posterior variance into the mean within-fit credible variance and</w:t>
      </w:r>
      <w:r>
        <w:t xml:space="preserve"> </w:t>
      </w:r>
      <w:r>
        <w:t xml:space="preserve">the between-fit scatter of the means (a law-of-total-variance split) shows the</w:t>
      </w:r>
      <w:r>
        <w:t xml:space="preserve"> </w:t>
      </w:r>
      <w:r>
        <w:t xml:space="preserve">two terms to be comparable: the between-fit scatter accounts for a median of</w:t>
      </w:r>
      <w:r>
        <w:t xml:space="preserve"> </w:t>
      </w:r>
      <w:r>
        <w:t xml:space="preserve">46% of the total, so a single fit’s own credible interval understates the full</w:t>
      </w:r>
      <w:r>
        <w:t xml:space="preserve"> </w:t>
      </w:r>
      <w:r>
        <w:t xml:space="preserve">scan uncertainty by only a median factor of ≈ 1.4 — not by an order of</w:t>
      </w:r>
      <w:r>
        <w:t xml:space="preserve"> </w:t>
      </w:r>
      <w:r>
        <w:t xml:space="preserve">magnitude. The 121 × 100 scan therefore refines, rather than overturns, the</w:t>
      </w:r>
      <w:r>
        <w:t xml:space="preserve"> </w:t>
      </w:r>
      <w:r>
        <w:t xml:space="preserve">single-fit credible intervals.</w:t>
      </w:r>
    </w:p>
    <w:p>
      <w:pPr>
        <w:pStyle w:val="BodyText"/>
      </w:pPr>
      <w:r>
        <w:rPr>
          <w:i/>
          <w:iCs/>
        </w:rPr>
        <w:t xml:space="preserve">The reported uncertainty is a data-resampling quantity, essentially</w:t>
      </w:r>
      <w:r>
        <w:rPr>
          <w:i/>
          <w:iCs/>
        </w:rPr>
        <w:t xml:space="preserve"> </w:t>
      </w:r>
      <w:r>
        <w:rPr>
          <w:i/>
          <w:iCs/>
        </w:rPr>
        <w:t xml:space="preserve">independent of the prior.</w:t>
      </w:r>
      <w:r>
        <w:t xml:space="preserve"> </w:t>
      </w:r>
      <w:r>
        <w:t xml:space="preserve">Splitting the between-fit scatter into its bootstrap</w:t>
      </w:r>
      <w:r>
        <w:t xml:space="preserve"> </w:t>
      </w:r>
      <w:r>
        <w:t xml:space="preserve">and prior-perturbation components, the ±10% μ / ±20% σ prior shifts across</w:t>
      </w:r>
      <w:r>
        <w:t xml:space="preserve"> </w:t>
      </w:r>
      <w:r>
        <w:t xml:space="preserve">the 121 configurations contribute a median of under 3% of the between-fit</w:t>
      </w:r>
      <w:r>
        <w:t xml:space="preserve"> </w:t>
      </w:r>
      <w:r>
        <w:t xml:space="preserve">variance; the remainder is bootstrap resampling of the grains. This constitutes</w:t>
      </w:r>
      <w:r>
        <w:t xml:space="preserve"> </w:t>
      </w:r>
      <w:r>
        <w:t xml:space="preserve">a direct robustness check — the posterior weight means are stable against</w:t>
      </w:r>
      <w:r>
        <w:t xml:space="preserve"> </w:t>
      </w:r>
      <w:r>
        <w:t xml:space="preserve">realistic perturbations of the reference end-member centres and widths. A</w:t>
      </w:r>
      <w:r>
        <w:t xml:space="preserve"> </w:t>
      </w:r>
      <w:r>
        <w:t xml:space="preserve">minority of samples — most prominently 05FW007, 05FW008, and R31370-S12652 —</w:t>
      </w:r>
      <w:r>
        <w:t xml:space="preserve"> </w:t>
      </w:r>
      <w:r>
        <w:t xml:space="preserve">show material prior sensitivity; the two strongest cases coincide with the two</w:t>
      </w:r>
      <w:r>
        <w:t xml:space="preserve"> </w:t>
      </w:r>
      <w:r>
        <w:t xml:space="preserve">least-constrained samples (Section 4.4).</w:t>
      </w:r>
    </w:p>
    <w:p>
      <w:pPr>
        <w:pStyle w:val="BodyText"/>
      </w:pPr>
      <w:r>
        <w:t xml:space="preserve">Consistent with a data-driven rather than a model-imposed degeneracy, the soft</w:t>
      </w:r>
      <w:r>
        <w:t xml:space="preserve"> </w:t>
      </w:r>
      <w:r>
        <w:t xml:space="preserve">direction tracks whichever end-member pair is exchangeable: for the two NCC</w:t>
      </w:r>
      <w:r>
        <w:t xml:space="preserve"> </w:t>
      </w:r>
      <w:r>
        <w:t xml:space="preserve">north-margin samples that carry almost no arc component (100821-1 and 100821-3,</w:t>
      </w:r>
      <w:r>
        <w:t xml:space="preserve"> </w:t>
      </w:r>
      <w:r>
        <w:t xml:space="preserve">w_S1 ≈ 0.01) the leading eigenvector rotates off the S1–S2 join and onto the</w:t>
      </w:r>
      <w:r>
        <w:t xml:space="preserve"> </w:t>
      </w:r>
      <w:r>
        <w:t xml:space="preserve">S2–S3 join (to within 0.0°), the covariance following the degeneracy as it</w:t>
      </w:r>
      <w:r>
        <w:t xml:space="preserve"> </w:t>
      </w:r>
      <w:r>
        <w:t xml:space="preserve">migrates to the next adjacent pair.</w:t>
      </w:r>
    </w:p>
    <w:bookmarkEnd w:id="20"/>
    <w:bookmarkStart w:id="21" w:name="regional-mixing-patterns"/>
    <w:p>
      <w:pPr>
        <w:pStyle w:val="Heading3"/>
      </w:pPr>
      <w:r>
        <w:t xml:space="preserve">4.3 Regional mixing patterns</w:t>
      </w:r>
    </w:p>
    <w:p>
      <w:pPr>
        <w:pStyle w:val="FirstParagraph"/>
      </w:pPr>
      <w:r>
        <w:t xml:space="preserve">The two groups show distinct mixing patterns. Most Songliao samples are</w:t>
      </w:r>
      <w:r>
        <w:t xml:space="preserve"> </w:t>
      </w:r>
      <w:r>
        <w:t xml:space="preserve">dominated by arc plus basement with a negligible cratonic component; the Puetz R-series (Puetz et al., 2024) in particular yields w_S3 = 0.012–0.016 (R31354-S12518/S12519,</w:t>
      </w:r>
      <w:r>
        <w:t xml:space="preserve"> </w:t>
      </w:r>
      <w:r>
        <w:t xml:space="preserve">R31370-S12650/S12651/S12654), indicating sediment sourced from Mesozoic arc and</w:t>
      </w:r>
      <w:r>
        <w:t xml:space="preserve"> </w:t>
      </w:r>
      <w:r>
        <w:t xml:space="preserve">Palaeozoic orogenic terranes with essentially no Archaean–Proterozoic cratonic</w:t>
      </w:r>
      <w:r>
        <w:t xml:space="preserve"> </w:t>
      </w:r>
      <w:r>
        <w:t xml:space="preserve">input. Three of the four NCC north-margin samples instead carry a resolvable cratonic</w:t>
      </w:r>
      <w:r>
        <w:t xml:space="preserve"> </w:t>
      </w:r>
      <w:r>
        <w:t xml:space="preserve">signature (w_S3 = 0.443 for 100821-1, 0.687 for 100821-3, 0.431 for 05FW007),</w:t>
      </w:r>
      <w:r>
        <w:t xml:space="preserve"> </w:t>
      </w:r>
      <w:r>
        <w:t xml:space="preserve">consistent with their position on the northern margin of the North China</w:t>
      </w:r>
      <w:r>
        <w:t xml:space="preserve"> </w:t>
      </w:r>
      <w:r>
        <w:t xml:space="preserve">Craton; the fourth, 05FW008, is arc-dominated (w_S3 = 0.026). One Songliao sample, SL0932, is exceptionally craton-dominated (w_S3 =</w:t>
      </w:r>
      <w:r>
        <w:t xml:space="preserve"> </w:t>
      </w:r>
      <w:r>
        <w:t xml:space="preserve">0.872): its arc and basement weights are pinned near zero as the hard pair, so</w:t>
      </w:r>
      <w:r>
        <w:t xml:space="preserve"> </w:t>
      </w:r>
      <w:r>
        <w:t xml:space="preserve">the craton dominance is robust (its small residual std of 0.034 merely</w:t>
      </w:r>
      <w:r>
        <w:t xml:space="preserve"> </w:t>
      </w:r>
      <w:r>
        <w:t xml:space="preserve">propagates those two). We interpret this exception in Section 5.5.</w:t>
      </w:r>
    </w:p>
    <w:bookmarkEnd w:id="21"/>
    <w:bookmarkStart w:id="22" w:name="the-two-least-constrained-samples"/>
    <w:p>
      <w:pPr>
        <w:pStyle w:val="Heading3"/>
      </w:pPr>
      <w:r>
        <w:t xml:space="preserve">4.4 The two least-constrained samples</w:t>
      </w:r>
    </w:p>
    <w:p>
      <w:pPr>
        <w:pStyle w:val="FirstParagraph"/>
      </w:pPr>
      <w:r>
        <w:t xml:space="preserve">Two samples carry the largest weight uncertainties: 05FW007 (w =</w:t>
      </w:r>
      <w:r>
        <w:t xml:space="preserve"> </w:t>
      </w:r>
      <w:r>
        <w:t xml:space="preserve">0.133/0.436/0.431, std 0.118/0.121/0.070) and R31370-S12652 (w =</w:t>
      </w:r>
      <w:r>
        <w:t xml:space="preserve"> </w:t>
      </w:r>
      <w:r>
        <w:t xml:space="preserve">0.247/0.659/0.093, std 0.219/0.177/0.063), in both cases driven by the soft</w:t>
      </w:r>
      <w:r>
        <w:t xml:space="preserve"> </w:t>
      </w:r>
      <w:r>
        <w:t xml:space="preserve">S1↔S2 partition rather than by w_S3. These are also the two samples</w:t>
      </w:r>
      <w:r>
        <w:t xml:space="preserve"> </w:t>
      </w:r>
      <w:r>
        <w:t xml:space="preserve">where prior perturbation contributes most to the spread (bootstrap</w:t>
      </w:r>
      <w:r>
        <w:t xml:space="preserve"> </w:t>
      </w:r>
      <w:r>
        <w:t xml:space="preserve">fraction ≈ 0.5–0.6, versus a median of ≈ 0.98 elsewhere) and where co-inferring the</w:t>
      </w:r>
      <w:r>
        <w:t xml:space="preserve"> </w:t>
      </w:r>
      <w:r>
        <w:t xml:space="preserve">end-member shapes inflates the soft-direction width beyond the counting-noise</w:t>
      </w:r>
      <w:r>
        <w:t xml:space="preserve"> </w:t>
      </w:r>
      <w:r>
        <w:t xml:space="preserve">floor (by a factor of ≈ 8.8 for R31370-S12652). For these two samples the</w:t>
      </w:r>
      <w:r>
        <w:t xml:space="preserve"> </w:t>
      </w:r>
      <w:r>
        <w:t xml:space="preserve">arc–basement split is limited by end-member-shape flexibility as well as by</w:t>
      </w:r>
      <w:r>
        <w:t xml:space="preserve"> </w:t>
      </w:r>
      <w:r>
        <w:t xml:space="preserve">grain count and — unlike the reducible, counting-noise-limited majority —</w:t>
      </w:r>
      <w:r>
        <w:t xml:space="preserve"> </w:t>
      </w:r>
      <w:r>
        <w:t xml:space="preserve">additional grains alone would not fully resolve it. This distinction is the</w:t>
      </w:r>
      <w:r>
        <w:t xml:space="preserve"> </w:t>
      </w:r>
      <w:r>
        <w:t xml:space="preserve">practical pay-off of the per-weight uncertainty analysis: it tells the analyst</w:t>
      </w:r>
      <w:r>
        <w:t xml:space="preserve"> </w:t>
      </w:r>
      <w:r>
        <w:t xml:space="preserve">which sub-populations more dating would help and which it would not.</w:t>
      </w:r>
    </w:p>
    <w:bookmarkEnd w:id="22"/>
    <w:bookmarkEnd w:id="23"/>
    <w:bookmarkStart w:id="30" w:name="discussion"/>
    <w:p>
      <w:pPr>
        <w:pStyle w:val="Heading2"/>
      </w:pPr>
      <w:r>
        <w:t xml:space="preserve">5. Discussion</w:t>
      </w:r>
    </w:p>
    <w:bookmarkStart w:id="24" w:name="Xbe16feb5c9a6875481369e0aae19b7215cd6766"/>
    <w:p>
      <w:pPr>
        <w:pStyle w:val="Heading3"/>
      </w:pPr>
      <w:r>
        <w:t xml:space="preserve">5.1 Not every mixing weight deserves equal interpretive weight</w:t>
      </w:r>
    </w:p>
    <w:p>
      <w:pPr>
        <w:pStyle w:val="FirstParagraph"/>
      </w:pPr>
      <w:r>
        <w:t xml:space="preserve">The recurring temptation in detrital-zircon unmixing is to read a single point</w:t>
      </w:r>
      <w:r>
        <w:t xml:space="preserve"> </w:t>
      </w:r>
      <w:r>
        <w:t xml:space="preserve">estimate of the source proportions as if all of its components were equally</w:t>
      </w:r>
      <w:r>
        <w:t xml:space="preserve"> </w:t>
      </w:r>
      <w:r>
        <w:t xml:space="preserve">well determined. Our posterior analysis reveals that they are not, and — more</w:t>
      </w:r>
      <w:r>
        <w:t xml:space="preserve"> </w:t>
      </w:r>
      <w:r>
        <w:t xml:space="preserve">usefully — that</w:t>
      </w:r>
      <w:r>
        <w:t xml:space="preserve"> </w:t>
      </w:r>
      <w:r>
        <w:rPr>
          <w:i/>
          <w:iCs/>
        </w:rPr>
        <w:t xml:space="preserve">which</w:t>
      </w:r>
      <w:r>
        <w:t xml:space="preserve"> </w:t>
      </w:r>
      <w:r>
        <w:t xml:space="preserve">components are resolved varies from sample to sample in</w:t>
      </w:r>
      <w:r>
        <w:t xml:space="preserve"> </w:t>
      </w:r>
      <w:r>
        <w:t xml:space="preserve">a way that can be diagnosed rather than assumed. Across the fifteen samples</w:t>
      </w:r>
      <w:r>
        <w:t xml:space="preserve"> </w:t>
      </w:r>
      <w:r>
        <w:t xml:space="preserve">the cratonic weight w_S3 is recovered as a hard quantity (scan std 0.000–0.085,</w:t>
      </w:r>
      <w:r>
        <w:t xml:space="preserve"> </w:t>
      </w:r>
      <w:r>
        <w:t xml:space="preserve">effectively zero in several Songliao samples), whereas the arc-versus-basement</w:t>
      </w:r>
      <w:r>
        <w:t xml:space="preserve"> </w:t>
      </w:r>
      <w:r>
        <w:t xml:space="preserve">partition w_S1↔w_S2 is soft (std typically 0.05–0.22), anti-correlated, and concentrated</w:t>
      </w:r>
      <w:r>
        <w:t xml:space="preserve"> </w:t>
      </w:r>
      <w:r>
        <w:t xml:space="preserve">on a one-dimensional ridge in the simplex. Since the covariance is estimated</w:t>
      </w:r>
      <w:r>
        <w:t xml:space="preserve"> </w:t>
      </w:r>
      <w:r>
        <w:t xml:space="preserve">per sample, the diagnosis adapts automatically: where the arc component is</w:t>
      </w:r>
      <w:r>
        <w:t xml:space="preserve"> </w:t>
      </w:r>
      <w:r>
        <w:t xml:space="preserve">essentially absent the soft direction rotates onto the S2–S3 join (100821-1,</w:t>
      </w:r>
      <w:r>
        <w:t xml:space="preserve"> </w:t>
      </w:r>
      <w:r>
        <w:t xml:space="preserve">100821-3), and where the craton dominates the arc/basement pair becomes the</w:t>
      </w:r>
      <w:r>
        <w:t xml:space="preserve"> </w:t>
      </w:r>
      <w:r>
        <w:t xml:space="preserve">hard one instead (SL0932). We therefore report resolvability per weight (Table</w:t>
      </w:r>
      <w:r>
        <w:t xml:space="preserve"> </w:t>
      </w:r>
      <w:r>
        <w:t xml:space="preserve">1) rather than as a single per-sample grade, and we suggest that downstream</w:t>
      </w:r>
      <w:r>
        <w:t xml:space="preserve"> </w:t>
      </w:r>
      <w:r>
        <w:t xml:space="preserve">interpretation follow the same rule: the presence or absence of a craton source</w:t>
      </w:r>
      <w:r>
        <w:t xml:space="preserve"> </w:t>
      </w:r>
      <w:r>
        <w:t xml:space="preserve">and the combined arc + basement contribution are safe to read, whereas the</w:t>
      </w:r>
      <w:r>
        <w:t xml:space="preserve"> </w:t>
      </w:r>
      <w:r>
        <w:t xml:space="preserve">internal arc:basement ratio of an individual soft sample is not, unless it is</w:t>
      </w:r>
      <w:r>
        <w:t xml:space="preserve"> </w:t>
      </w:r>
      <w:r>
        <w:t xml:space="preserve">backed by additional dating.</w:t>
      </w:r>
    </w:p>
    <w:bookmarkEnd w:id="24"/>
    <w:bookmarkStart w:id="25" w:name="X0f4a4205f785f2ac6301acf1de28da713d517bc"/>
    <w:p>
      <w:pPr>
        <w:pStyle w:val="Heading3"/>
      </w:pPr>
      <w:r>
        <w:t xml:space="preserve">5.2 The softness is a finite-sample counting-noise floor, not a failure of the method</w:t>
      </w:r>
    </w:p>
    <w:p>
      <w:pPr>
        <w:pStyle w:val="FirstParagraph"/>
      </w:pPr>
      <w:r>
        <w:t xml:space="preserve">A central result is that the arc–basement softness, at the grain counts</w:t>
      </w:r>
      <w:r>
        <w:t xml:space="preserve"> </w:t>
      </w:r>
      <w:r>
        <w:t xml:space="preserve">available here (n = 31–111), is set by multinomial counting statistics (Andersen, 2005; Vermeesch, 2004) rather than by any intrinsic inability to separate the 130 and 280 Ma sources. Three</w:t>
      </w:r>
      <w:r>
        <w:t xml:space="preserve"> </w:t>
      </w:r>
      <w:r>
        <w:t xml:space="preserve">independent lines of evidence converge. First, subsampling the grains within</w:t>
      </w:r>
      <w:r>
        <w:t xml:space="preserve"> </w:t>
      </w:r>
      <w:r>
        <w:t xml:space="preserve">each sample and refitting yields a soft-direction spread that scales as</w:t>
      </w:r>
      <w:r>
        <w:t xml:space="preserve"> </w:t>
      </w:r>
      <w:r>
        <w:t xml:space="preserve">n^(−1/2) (median exponent −0.507), the signature of a counting-noise floor.</w:t>
      </w:r>
      <w:r>
        <w:t xml:space="preserve"> </w:t>
      </w:r>
      <w:r>
        <w:t xml:space="preserve">Second, that spread equals the exact multinomial floor of a perfectly separable</w:t>
      </w:r>
      <w:r>
        <w:t xml:space="preserve"> </w:t>
      </w:r>
      <w:r>
        <w:t xml:space="preserve">mixture to within a median of 2%. Third, the reference end-members are</w:t>
      </w:r>
      <w:r>
        <w:t xml:space="preserve"> </w:t>
      </w:r>
      <w:r>
        <w:t xml:space="preserve">themselves well separated at the data level — their Kolmogorov–Smirnov</w:t>
      </w:r>
      <w:r>
        <w:t xml:space="preserve"> </w:t>
      </w:r>
      <w:r>
        <w:t xml:space="preserve">resolvability is ≈ 0.999 and the normalised Gaussian-overlap matrix is</w:t>
      </w:r>
      <w:r>
        <w:t xml:space="preserve"> </w:t>
      </w:r>
      <w:r>
        <w:t xml:space="preserve">essentially the identity. The corollary is optimistic: for the great majority</w:t>
      </w:r>
      <w:r>
        <w:t xml:space="preserve"> </w:t>
      </w:r>
      <w:r>
        <w:t xml:space="preserve">of samples the arc:basement uncertainty is</w:t>
      </w:r>
      <w:r>
        <w:t xml:space="preserve"> </w:t>
      </w:r>
      <w:r>
        <w:rPr>
          <w:i/>
          <w:iCs/>
        </w:rPr>
        <w:t xml:space="preserve">reducible</w:t>
      </w:r>
      <w:r>
        <w:t xml:space="preserve">, and a target grain</w:t>
      </w:r>
      <w:r>
        <w:t xml:space="preserve"> </w:t>
      </w:r>
      <w:r>
        <w:t xml:space="preserve">count to reach any desired precision can be read directly off the n^(−1/2) law — grain counts that are now routinely attainable by LA-ICP-MS (Pullen et al., 2014). The exceptions are the two samples (05FW007, R31370-S12652) where</w:t>
      </w:r>
      <w:r>
        <w:t xml:space="preserve"> </w:t>
      </w:r>
      <w:r>
        <w:t xml:space="preserve">co-inferring the end-member shapes inflates the soft direction beyond the</w:t>
      </w:r>
      <w:r>
        <w:t xml:space="preserve"> </w:t>
      </w:r>
      <w:r>
        <w:t xml:space="preserve">counting-noise floor (by ≈ 8.8× for R31370-S12652); for these, additional grains</w:t>
      </w:r>
      <w:r>
        <w:t xml:space="preserve"> </w:t>
      </w:r>
      <w:r>
        <w:t xml:space="preserve">alone would not suffice, and either tighter shape priors or independent</w:t>
      </w:r>
      <w:r>
        <w:t xml:space="preserve"> </w:t>
      </w:r>
      <w:r>
        <w:t xml:space="preserve">constraints on the end-member spectra would be needed.</w:t>
      </w:r>
    </w:p>
    <w:bookmarkEnd w:id="25"/>
    <w:bookmarkStart w:id="26" w:name="Xd6dd07d41cd0714b4d1c7dab21a814f89935703"/>
    <w:p>
      <w:pPr>
        <w:pStyle w:val="Heading3"/>
      </w:pPr>
      <w:r>
        <w:t xml:space="preserve">5.3 The reported uncertainty is robust and prior-insensitive</w:t>
      </w:r>
    </w:p>
    <w:p>
      <w:pPr>
        <w:pStyle w:val="FirstParagraph"/>
      </w:pPr>
      <w:r>
        <w:t xml:space="preserve">Two further properties make the reported uncertainties trustworthy in their own</w:t>
      </w:r>
      <w:r>
        <w:t xml:space="preserve"> </w:t>
      </w:r>
      <w:r>
        <w:t xml:space="preserve">right. First, a law-of-total-variance decomposition of the pooled posterior</w:t>
      </w:r>
      <w:r>
        <w:t xml:space="preserve"> </w:t>
      </w:r>
      <w:r>
        <w:t xml:space="preserve">demonstrates that a single fit’s own credible interval already accounts for about half</w:t>
      </w:r>
      <w:r>
        <w:t xml:space="preserve"> </w:t>
      </w:r>
      <w:r>
        <w:t xml:space="preserve">of the total (median within-fit variance share 54%); the 121 × 100 perturbation</w:t>
      </w:r>
      <w:r>
        <w:t xml:space="preserve"> </w:t>
      </w:r>
      <w:r>
        <w:t xml:space="preserve">scan inflates the standard deviation by only ≈ 1.4× (Fig. 4), so the scan</w:t>
      </w:r>
      <w:r>
        <w:t xml:space="preserve"> </w:t>
      </w:r>
      <w:r>
        <w:t xml:space="preserve">refines rather than overturns the single-fit posterior — a single Bayesian fit</w:t>
      </w:r>
      <w:r>
        <w:t xml:space="preserve"> </w:t>
      </w:r>
      <w:r>
        <w:t xml:space="preserve">is not badly overconfident. Second, of the uncertainty that the scan does add,</w:t>
      </w:r>
      <w:r>
        <w:t xml:space="preserve"> </w:t>
      </w:r>
      <w:r>
        <w:t xml:space="preserve">most is data-resampling: the ±10% μ / ±20% σ prior perturbation</w:t>
      </w:r>
      <w:r>
        <w:t xml:space="preserve"> </w:t>
      </w:r>
      <w:r>
        <w:t xml:space="preserve">contributes a median of under 3% of the between-fit variance across the</w:t>
      </w:r>
      <w:r>
        <w:t xml:space="preserve"> </w:t>
      </w:r>
      <w:r>
        <w:t xml:space="preserve">fifteen samples (Fig. 4b). The literature-anchored end-member centres and widths are</w:t>
      </w:r>
      <w:r>
        <w:t xml:space="preserve"> </w:t>
      </w:r>
      <w:r>
        <w:t xml:space="preserve">therefore not load-bearing, and a standard objection to any prior-based</w:t>
      </w:r>
      <w:r>
        <w:t xml:space="preserve"> </w:t>
      </w:r>
      <w:r>
        <w:t xml:space="preserve">unmixing — that the answer is a restatement of the prior — is here answered</w:t>
      </w:r>
      <w:r>
        <w:t xml:space="preserve"> </w:t>
      </w:r>
      <w:r>
        <w:t xml:space="preserve">quantitatively. Tellingly, the two samples where the prior contributes most</w:t>
      </w:r>
      <w:r>
        <w:t xml:space="preserve"> </w:t>
      </w:r>
      <w:r>
        <w:t xml:space="preserve">are exactly the two flagged as least constrained on</w:t>
      </w:r>
      <w:r>
        <w:t xml:space="preserve"> </w:t>
      </w:r>
      <w:r>
        <w:t xml:space="preserve">independent grounds (Section 5.2). Consistently, the end-member shape</w:t>
      </w:r>
      <w:r>
        <w:t xml:space="preserve"> </w:t>
      </w:r>
      <w:r>
        <w:t xml:space="preserve">parameters themselves are visibly updated by the data — the posterior on each</w:t>
      </w:r>
      <w:r>
        <w:t xml:space="preserve"> </w:t>
      </w:r>
      <w:r>
        <w:t xml:space="preserve">peak age μ narrows to 0.3–0.5× the prior width, and the basement and craton</w:t>
      </w:r>
      <w:r>
        <w:t xml:space="preserve"> </w:t>
      </w:r>
      <w:r>
        <w:t xml:space="preserve">peak widths shift to +1.4 and +1.6 prior-σ (Fig. 5) — so the reference priors</w:t>
      </w:r>
      <w:r>
        <w:t xml:space="preserve"> </w:t>
      </w:r>
      <w:r>
        <w:t xml:space="preserve">act as constraints that the data refines, not as assumptions that propagate</w:t>
      </w:r>
      <w:r>
        <w:t xml:space="preserve"> </w:t>
      </w:r>
      <w:r>
        <w:t xml:space="preserve">unchanged into the weights.</w:t>
      </w:r>
    </w:p>
    <w:bookmarkEnd w:id="26"/>
    <w:bookmarkStart w:id="27" w:name="relation-to-the-companion-papers"/>
    <w:p>
      <w:pPr>
        <w:pStyle w:val="Heading3"/>
      </w:pPr>
      <w:r>
        <w:t xml:space="preserve">5.4 Relation to the companion papers</w:t>
      </w:r>
    </w:p>
    <w:p>
      <w:pPr>
        <w:pStyle w:val="FirstParagraph"/>
      </w:pPr>
      <w:r>
        <w:t xml:space="preserve">To position the Bayesian treatment relative to the supervised point-estimate</w:t>
      </w:r>
      <w:r>
        <w:t xml:space="preserve"> </w:t>
      </w:r>
      <w:r>
        <w:t xml:space="preserve">approach of the companion methods study (Pan, submitted) — the source of the</w:t>
      </w:r>
      <w:r>
        <w:t xml:space="preserve"> </w:t>
      </w:r>
      <w:r>
        <w:t xml:space="preserve">reference end-members — we applied that method (identical end-members, KL multiplicative updates; Lee &amp; Seung, 1999) to the same four real</w:t>
      </w:r>
      <w:r>
        <w:t xml:space="preserve"> </w:t>
      </w:r>
      <w:r>
        <w:t xml:space="preserve">North-China-Craton north-margin grain-age spectra and compared its point</w:t>
      </w:r>
      <w:r>
        <w:t xml:space="preserve"> </w:t>
      </w:r>
      <w:r>
        <w:t xml:space="preserve">estimates with our Bayesian posterior means (Fig. 6). The two methods agree</w:t>
      </w:r>
      <w:r>
        <w:t xml:space="preserve"> </w:t>
      </w:r>
      <w:r>
        <w:t xml:space="preserve">closely: the mean absolute weight difference is 0.03, tightest on the hard</w:t>
      </w:r>
      <w:r>
        <w:t xml:space="preserve"> </w:t>
      </w:r>
      <w:r>
        <w:t xml:space="preserve">craton weight (w_S3, MAE 0.01) and larger on the soft arc/basement split (w_S1,</w:t>
      </w:r>
      <w:r>
        <w:t xml:space="preserve"> </w:t>
      </w:r>
      <w:r>
        <w:t xml:space="preserve">w_S2, MAE 0.04), where the point estimate falls within the Bayesian scan</w:t>
      </w:r>
      <w:r>
        <w:t xml:space="preserve"> </w:t>
      </w:r>
      <w:r>
        <w:t xml:space="preserve">uncertainty. The Bayesian framework therefore leaves the central</w:t>
      </w:r>
      <w:r>
        <w:t xml:space="preserve"> </w:t>
      </w:r>
      <w:r>
        <w:t xml:space="preserve">estimate unmoved and calibrates it: the soft arc:basement direction — where the two</w:t>
      </w:r>
      <w:r>
        <w:t xml:space="preserve"> </w:t>
      </w:r>
      <w:r>
        <w:t xml:space="preserve">methods differ most, e.g. sample 05FW007 — is precisely the direction where</w:t>
      </w:r>
      <w:r>
        <w:t xml:space="preserve"> </w:t>
      </w:r>
      <w:r>
        <w:t xml:space="preserve">any single point estimate is least reproducible, so attaching an</w:t>
      </w:r>
      <w:r>
        <w:t xml:space="preserve"> </w:t>
      </w:r>
      <w:r>
        <w:t xml:space="preserve">uncertainty to it is what the Bayesian treatment contributes. The comparison is</w:t>
      </w:r>
      <w:r>
        <w:t xml:space="preserve"> </w:t>
      </w:r>
      <w:r>
        <w:t xml:space="preserve">limited to these four samples: the eleven Puetz/OneDZ Songliao samples were</w:t>
      </w:r>
      <w:r>
        <w:t xml:space="preserve"> </w:t>
      </w:r>
      <w:r>
        <w:t xml:space="preserve">never run through that pipeline, and the companion study’s own case study used</w:t>
      </w:r>
      <w:r>
        <w:t xml:space="preserve"> </w:t>
      </w:r>
      <w:r>
        <w:t xml:space="preserve">four literature-grounded</w:t>
      </w:r>
      <w:r>
        <w:t xml:space="preserve"> </w:t>
      </w:r>
      <w:r>
        <w:rPr>
          <w:i/>
          <w:iCs/>
        </w:rPr>
        <w:t xml:space="preserve">synthetic</w:t>
      </w:r>
      <w:r>
        <w:t xml:space="preserve"> </w:t>
      </w:r>
      <w:r>
        <w:t xml:space="preserve">basin proxies rather than these real</w:t>
      </w:r>
      <w:r>
        <w:t xml:space="preserve"> </w:t>
      </w:r>
      <w:r>
        <w:t xml:space="preserve">samples, so the point estimates here are obtained by applying its method to the</w:t>
      </w:r>
      <w:r>
        <w:t xml:space="preserve"> </w:t>
      </w:r>
      <w:r>
        <w:t xml:space="preserve">real data, not read from it.</w:t>
      </w:r>
    </w:p>
    <w:p>
      <w:pPr>
        <w:pStyle w:val="BodyText"/>
      </w:pPr>
      <w:r>
        <w:t xml:space="preserve">The weak identifiability documented here is also the real-data counterpart of</w:t>
      </w:r>
      <w:r>
        <w:t xml:space="preserve"> </w:t>
      </w:r>
      <w:r>
        <w:t xml:space="preserve">the identifiability limit derived analytically in the companion methods paper</w:t>
      </w:r>
      <w:r>
        <w:t xml:space="preserve"> </w:t>
      </w:r>
      <w:r>
        <w:t xml:space="preserve">on the applicability bounds of fixed-dictionary detrital-zircon unmixing (Pan, in</w:t>
      </w:r>
      <w:r>
        <w:t xml:space="preserve"> </w:t>
      </w:r>
      <w:r>
        <w:t xml:space="preserve">preparation; reproducibility code archived at Zenodo,</w:t>
      </w:r>
      <w:r>
        <w:t xml:space="preserve"> </w:t>
      </w:r>
      <w:r>
        <w:t xml:space="preserve">doi:10.5281/zenodo.20768131). Its identifiability theorem bounds the</w:t>
      </w:r>
      <w:r>
        <w:t xml:space="preserve"> </w:t>
      </w:r>
      <w:r>
        <w:t xml:space="preserve">weight-estimation error by the end-member Gram condition number through an</w:t>
      </w:r>
      <w:r>
        <w:t xml:space="preserve"> </w:t>
      </w:r>
      <w:r>
        <w:t xml:space="preserve">explicit Kolmogorov–Smirnov-distance → Gaussian-overlap bridge (with</w:t>
      </w:r>
      <w:r>
        <w:t xml:space="preserve"> </w:t>
      </w:r>
      <w:r>
        <w:t xml:space="preserve">λ_min(HHᵀ) ∝ ρ^{2(K−1)} and, in the ideal density-Fisher limit, σ_err ≍</w:t>
      </w:r>
      <w:r>
        <w:t xml:space="preserve"> </w:t>
      </w:r>
      <w:r>
        <w:t xml:space="preserve">1/(√N ρ^{K−1})), and identifies adjacent-end-member pairwise degeneracy as the</w:t>
      </w:r>
      <w:r>
        <w:t xml:space="preserve"> </w:t>
      </w:r>
      <w:r>
        <w:t xml:space="preserve">controlling bottleneck — the same arc–basement (S1↔S2) pair resolved here. The</w:t>
      </w:r>
      <w:r>
        <w:t xml:space="preserve"> </w:t>
      </w:r>
      <w:r>
        <w:t xml:space="preserve">connection is specific and complementary. The analytic Gram / condition-number</w:t>
      </w:r>
      <w:r>
        <w:t xml:space="preserve"> </w:t>
      </w:r>
      <w:r>
        <w:t xml:space="preserve">analysis predicts the</w:t>
      </w:r>
      <w:r>
        <w:t xml:space="preserve"> </w:t>
      </w:r>
      <w:r>
        <w:rPr>
          <w:i/>
          <w:iCs/>
        </w:rPr>
        <w:t xml:space="preserve">direction</w:t>
      </w:r>
      <w:r>
        <w:t xml:space="preserve"> </w:t>
      </w:r>
      <w:r>
        <w:t xml:space="preserve">of the ill-conditioning exactly — the weakest</w:t>
      </w:r>
      <w:r>
        <w:t xml:space="preserve"> </w:t>
      </w:r>
      <w:r>
        <w:t xml:space="preserve">eigenvector of the normalised end-member overlap matrix is (1, −1, 0)/√2,</w:t>
      </w:r>
      <w:r>
        <w:t xml:space="preserve"> </w:t>
      </w:r>
      <w:r>
        <w:t xml:space="preserve">coinciding with the empirically observed soft axis to within a fraction of a</w:t>
      </w:r>
      <w:r>
        <w:t xml:space="preserve"> </w:t>
      </w:r>
      <w:r>
        <w:t xml:space="preserve">degree — whereas it does not predict its</w:t>
      </w:r>
      <w:r>
        <w:t xml:space="preserve"> </w:t>
      </w:r>
      <w:r>
        <w:rPr>
          <w:i/>
          <w:iCs/>
        </w:rPr>
        <w:t xml:space="preserve">magnitude</w:t>
      </w:r>
      <w:r>
        <w:t xml:space="preserve">: the bare density-overlap</w:t>
      </w:r>
      <w:r>
        <w:t xml:space="preserve"> </w:t>
      </w:r>
      <w:r>
        <w:t xml:space="preserve">condition number (κ ≈ 1 + 4.5 × 10⁻⁵) drastically understates the softness</w:t>
      </w:r>
      <w:r>
        <w:t xml:space="preserve"> </w:t>
      </w:r>
      <w:r>
        <w:t xml:space="preserve">actually observed, since at finite n the softness is governed by the sampling</w:t>
      </w:r>
      <w:r>
        <w:t xml:space="preserve"> </w:t>
      </w:r>
      <w:r>
        <w:t xml:space="preserve">of the likelihood, not by the geometric overlap of the end-member densities.</w:t>
      </w:r>
      <w:r>
        <w:t xml:space="preserve"> </w:t>
      </w:r>
      <w:r>
        <w:t xml:space="preserve">The division of labour is therefore clean: the methods paper supplies the</w:t>
      </w:r>
      <w:r>
        <w:t xml:space="preserve"> </w:t>
      </w:r>
      <w:r>
        <w:t xml:space="preserve">analytic direction and the sufficient conditions, the present study supplies</w:t>
      </w:r>
      <w:r>
        <w:t xml:space="preserve"> </w:t>
      </w:r>
      <w:r>
        <w:t xml:space="preserve">the finite-sample magnitude, and the two can be cross-referenced without</w:t>
      </w:r>
      <w:r>
        <w:t xml:space="preserve"> </w:t>
      </w:r>
      <w:r>
        <w:t xml:space="preserve">re-deriving either. (This also explains why re-seeding the emcee sampler</w:t>
      </w:r>
      <w:r>
        <w:t xml:space="preserve"> </w:t>
      </w:r>
      <w:r>
        <w:t xml:space="preserve">scatters the posterior mean by ~0.19 along this same axis — the sampler is</w:t>
      </w:r>
      <w:r>
        <w:t xml:space="preserve"> </w:t>
      </w:r>
      <w:r>
        <w:t xml:space="preserve">tracing a genuinely flat likelihood ridge, not failing to converge.)</w:t>
      </w:r>
    </w:p>
    <w:bookmarkEnd w:id="27"/>
    <w:bookmarkStart w:id="28" w:name="provenance-of-the-sampled-ne-asia-basins"/>
    <w:p>
      <w:pPr>
        <w:pStyle w:val="Heading3"/>
      </w:pPr>
      <w:r>
        <w:t xml:space="preserve">5.5 Provenance of the sampled NE-Asia basins</w:t>
      </w:r>
    </w:p>
    <w:p>
      <w:pPr>
        <w:pStyle w:val="FirstParagraph"/>
      </w:pPr>
      <w:r>
        <w:t xml:space="preserve">Geologically, the hard cratonic weight largely separates the two sample groups, with one exception on each side (below).</w:t>
      </w:r>
      <w:r>
        <w:t xml:space="preserve"> </w:t>
      </w:r>
      <w:r>
        <w:t xml:space="preserve">Most Songliao samples are dominated by arc plus basement with a negligible</w:t>
      </w:r>
      <w:r>
        <w:t xml:space="preserve"> </w:t>
      </w:r>
      <w:r>
        <w:t xml:space="preserve">cratonic component — the Puetz R-series in particular yields w_S3 =</w:t>
      </w:r>
      <w:r>
        <w:t xml:space="preserve"> </w:t>
      </w:r>
      <w:r>
        <w:t xml:space="preserve">0.012–0.016 — indicating Lower Cretaceous sediment derived from Mesozoic arc rocks and</w:t>
      </w:r>
      <w:r>
        <w:t xml:space="preserve"> </w:t>
      </w:r>
      <w:r>
        <w:t xml:space="preserve">Palaeozoic orogenic (CAOB) terranes, with essentially no first-cycle</w:t>
      </w:r>
      <w:r>
        <w:t xml:space="preserve"> </w:t>
      </w:r>
      <w:r>
        <w:t xml:space="preserve">Archaean–Proterozoic cratonic input, consistent with the Songliao Basin drawing</w:t>
      </w:r>
      <w:r>
        <w:t xml:space="preserve"> </w:t>
      </w:r>
      <w:r>
        <w:t xml:space="preserve">on its encircling arc and accretionary terranes rather than the distant craton (Song et al., 2022). Three of the four NCC north-margin samples instead carry a resolvable cratonic signature</w:t>
      </w:r>
      <w:r>
        <w:t xml:space="preserve"> </w:t>
      </w:r>
      <w:r>
        <w:t xml:space="preserve">(w_S3 = 0.43–0.69), as expected from their position on the northern edge of the</w:t>
      </w:r>
      <w:r>
        <w:t xml:space="preserve"> </w:t>
      </w:r>
      <w:r>
        <w:t xml:space="preserve">North China Craton; the fourth, 05FW008, is arc-dominated (w_S3 = 0.026), the NCC-side counterpart to the craton-rich Songliao exception. (Because 05FW007 and 05FW008 predate or straddle the Jurassic–Cretaceous boundary, the ≈ 130 Ma arc end-member there stands in for older, latest Jurassic arc-derived zircons — all 36 grains of 05FW008 fall between 142 and 164 Ma — and their S1 weight is best read as</w:t>
      </w:r>
      <w:r>
        <w:t xml:space="preserve"> </w:t>
      </w:r>
      <w:r>
        <w:t xml:space="preserve">“Mesozoic arc”</w:t>
      </w:r>
      <w:r>
        <w:t xml:space="preserve"> </w:t>
      </w:r>
      <w:r>
        <w:t xml:space="preserve">in the broad sense.) The Songliao exception, SL0932 (w_S3 = 0.87), is robustly</w:t>
      </w:r>
      <w:r>
        <w:t xml:space="preserve"> </w:t>
      </w:r>
      <w:r>
        <w:t xml:space="preserve">craton-dominated — a hard result, not a soft-direction artefact</w:t>
      </w:r>
      <w:r>
        <w:t xml:space="preserve"> </w:t>
      </w:r>
      <w:r>
        <w:t xml:space="preserve">(Section 4). It is also the only sample of the SL09xx cluster from the Quantou</w:t>
      </w:r>
      <w:r>
        <w:t xml:space="preserve"> </w:t>
      </w:r>
      <w:r>
        <w:t xml:space="preserve">Formation (the others, Denglouku; Feng et al., 2010; Li et al., 2012); we interpret its dominant ~1900 Ma component as cratonic sourcing — either from a local basement high or by drainage delivery from the North China Craton basement to the south-east, as proposed for the Quantou Formation by Li et al. (2012). Since the craton weight is the hard component throughout, all of</w:t>
      </w:r>
      <w:r>
        <w:t xml:space="preserve"> </w:t>
      </w:r>
      <w:r>
        <w:t xml:space="preserve">these group-level provenance statements rest on the well-determined part of the</w:t>
      </w:r>
      <w:r>
        <w:t xml:space="preserve"> </w:t>
      </w:r>
      <w:r>
        <w:t xml:space="preserve">posterior; what should not be over-read is the precise arc:basement split of</w:t>
      </w:r>
      <w:r>
        <w:t xml:space="preserve"> </w:t>
      </w:r>
      <w:r>
        <w:t xml:space="preserve">any individual soft sample (Section 5.1).</w:t>
      </w:r>
    </w:p>
    <w:bookmarkEnd w:id="28"/>
    <w:bookmarkStart w:id="29" w:name="limitations-and-sampling-implications"/>
    <w:p>
      <w:pPr>
        <w:pStyle w:val="Heading3"/>
      </w:pPr>
      <w:r>
        <w:t xml:space="preserve">5.6 Limitations and sampling implications</w:t>
      </w:r>
    </w:p>
    <w:p>
      <w:pPr>
        <w:pStyle w:val="FirstParagraph"/>
      </w:pPr>
      <w:r>
        <w:t xml:space="preserve">The analysis rests on three assumptions, stated plainly. (i) The mixture</w:t>
      </w:r>
      <w:r>
        <w:t xml:space="preserve"> </w:t>
      </w:r>
      <w:r>
        <w:t xml:space="preserve">is three-end-member with geologically fixed reference spectra; co-inferring the</w:t>
      </w:r>
      <w:r>
        <w:t xml:space="preserve"> </w:t>
      </w:r>
      <w:r>
        <w:t xml:space="preserve">end-member shapes relaxes this only mildly (±10% μ / ±20% σ) and, as shown,</w:t>
      </w:r>
      <w:r>
        <w:t xml:space="preserve"> </w:t>
      </w:r>
      <w:r>
        <w:t xml:space="preserve">matters for only two samples. (ii) The symmetric Dirichlet(1) prior on the</w:t>
      </w:r>
      <w:r>
        <w:t xml:space="preserve"> </w:t>
      </w:r>
      <w:r>
        <w:t xml:space="preserve">weights is deliberately uninformative; a sparsity-promoting Dirichlet(α &lt; 1) is</w:t>
      </w:r>
      <w:r>
        <w:t xml:space="preserve"> </w:t>
      </w:r>
      <w:r>
        <w:t xml:space="preserve">a natural extension, albeit not required by the present data. (iii) Grain counts are modest (n = 31–111). The most actionable consequence follows from (iii):</w:t>
      </w:r>
      <w:r>
        <w:t xml:space="preserve"> </w:t>
      </w:r>
      <w:r>
        <w:t xml:space="preserve">since the arc:basement uncertainty obeys an n^(−1/2) counting-noise law for</w:t>
      </w:r>
      <w:r>
        <w:t xml:space="preserve"> </w:t>
      </w:r>
      <w:r>
        <w:t xml:space="preserve">thirteen of fifteen samples, future sampling can be designed to a target precision (cf. Vermeesch, 2004), whereas the two shape-inflated samples call instead for better</w:t>
      </w:r>
      <w:r>
        <w:t xml:space="preserve"> </w:t>
      </w:r>
      <w:r>
        <w:t xml:space="preserve">independent constraints on the end-member age spectra. In this sense the</w:t>
      </w:r>
      <w:r>
        <w:t xml:space="preserve"> </w:t>
      </w:r>
      <w:r>
        <w:t xml:space="preserve">uncertainty analysis is not merely descriptive; it is prescriptive — it turns</w:t>
      </w:r>
      <w:r>
        <w:t xml:space="preserve"> </w:t>
      </w:r>
      <w:r>
        <w:t xml:space="preserve">“how</w:t>
      </w:r>
      <w:r>
        <w:t xml:space="preserve"> </w:t>
      </w:r>
      <w:r>
        <w:t xml:space="preserve">confident are we?”</w:t>
      </w:r>
      <w:r>
        <w:t xml:space="preserve"> </w:t>
      </w:r>
      <w:r>
        <w:t xml:space="preserve">into</w:t>
      </w:r>
      <w:r>
        <w:t xml:space="preserve"> </w:t>
      </w:r>
      <w:r>
        <w:t xml:space="preserve">“what would it take to be more confident?”</w:t>
      </w:r>
      <w:r>
        <w:t xml:space="preserve">, and answers that question differently for reducible and irreducible samples. A further caveat applies throughout: the weights are proportions of the zircon population rather than of sediment mass, since zircon fertility and hydraulic sorting bias the detrital record (Malusà et al., 2016).</w:t>
      </w:r>
    </w:p>
    <w:bookmarkEnd w:id="29"/>
    <w:bookmarkEnd w:id="30"/>
    <w:bookmarkStart w:id="31" w:name="conclusions"/>
    <w:p>
      <w:pPr>
        <w:pStyle w:val="Heading2"/>
      </w:pPr>
      <w:r>
        <w:t xml:space="preserve">6. Conclusions</w:t>
      </w:r>
    </w:p>
    <w:p>
      <w:pPr>
        <w:pStyle w:val="Compact"/>
        <w:numPr>
          <w:ilvl w:val="0"/>
          <w:numId w:val="1003"/>
        </w:numPr>
      </w:pPr>
      <w:r>
        <w:t xml:space="preserve">Casting three-end-member detrital-zircon unmixing as a Bayesian inference</w:t>
      </w:r>
      <w:r>
        <w:t xml:space="preserve"> </w:t>
      </w:r>
      <w:r>
        <w:t xml:space="preserve">problem, with a 121-prior × 100-bootstrap uncertainty scan (181,500 MCMC</w:t>
      </w:r>
      <w:r>
        <w:t xml:space="preserve"> </w:t>
      </w:r>
      <w:r>
        <w:t xml:space="preserve">fits over fifteen NE-Asia Jurassic–Cretaceous samples), yields mixing weights whose</w:t>
      </w:r>
      <w:r>
        <w:t xml:space="preserve"> </w:t>
      </w:r>
      <w:r>
        <w:t xml:space="preserve">credibility is graded per weight and per sample rather than assumed.</w:t>
      </w:r>
    </w:p>
    <w:p>
      <w:pPr>
        <w:pStyle w:val="Compact"/>
        <w:numPr>
          <w:ilvl w:val="0"/>
          <w:numId w:val="1003"/>
        </w:numPr>
      </w:pPr>
      <w:r>
        <w:t xml:space="preserve">A batched GPU implementation of the Goodman–Weare ensemble sampler makes the</w:t>
      </w:r>
      <w:r>
        <w:t xml:space="preserve"> </w:t>
      </w:r>
      <w:r>
        <w:t xml:space="preserve">scan practical — 74 min instead of days — and is validated fit-by-fit</w:t>
      </w:r>
      <w:r>
        <w:t xml:space="preserve"> </w:t>
      </w:r>
      <w:r>
        <w:t xml:space="preserve">against emcee: the maximum posterior-mean difference (0.020) is an order of</w:t>
      </w:r>
      <w:r>
        <w:t xml:space="preserve"> </w:t>
      </w:r>
      <w:r>
        <w:t xml:space="preserve">magnitude below emcee’s own re-seeding scatter (~0.19).</w:t>
      </w:r>
    </w:p>
    <w:p>
      <w:pPr>
        <w:pStyle w:val="Compact"/>
        <w:numPr>
          <w:ilvl w:val="0"/>
          <w:numId w:val="1003"/>
        </w:numPr>
      </w:pPr>
      <w:r>
        <w:t xml:space="preserve">The cratonic weight w_S3 is hard (scan std 0.000–0.085); the arc:basement</w:t>
      </w:r>
      <w:r>
        <w:t xml:space="preserve"> </w:t>
      </w:r>
      <w:r>
        <w:t xml:space="preserve">partition is soft, anti-correlated, and confined to a one-dimensional ridge</w:t>
      </w:r>
      <w:r>
        <w:t xml:space="preserve"> </w:t>
      </w:r>
      <w:r>
        <w:t xml:space="preserve">whose orientation adapts to the sample (rotating onto S2–S3 where the arc is</w:t>
      </w:r>
      <w:r>
        <w:t xml:space="preserve"> </w:t>
      </w:r>
      <w:r>
        <w:t xml:space="preserve">absent, and becoming hard where the craton dominates).</w:t>
      </w:r>
    </w:p>
    <w:p>
      <w:pPr>
        <w:pStyle w:val="Compact"/>
        <w:numPr>
          <w:ilvl w:val="0"/>
          <w:numId w:val="1003"/>
        </w:numPr>
      </w:pPr>
      <w:r>
        <w:t xml:space="preserve">The softness is a finite-grain counting-noise floor — scaling as n^(−1/2)</w:t>
      </w:r>
      <w:r>
        <w:t xml:space="preserve"> </w:t>
      </w:r>
      <w:r>
        <w:t xml:space="preserve">(median exponent −0.507) and matching the multinomial floor to a median</w:t>
      </w:r>
      <w:r>
        <w:t xml:space="preserve"> </w:t>
      </w:r>
      <w:r>
        <w:t xml:space="preserve">factor of 1.02 — not an intrinsic overlap of the well-separated 130 and 280</w:t>
      </w:r>
      <w:r>
        <w:t xml:space="preserve"> </w:t>
      </w:r>
      <w:r>
        <w:t xml:space="preserve">Ma end-members; it is therefore reducible by further dating, except in the</w:t>
      </w:r>
      <w:r>
        <w:t xml:space="preserve"> </w:t>
      </w:r>
      <w:r>
        <w:t xml:space="preserve">two shape-inflated samples (05FW007, R31370-S12652) where tighter</w:t>
      </w:r>
      <w:r>
        <w:t xml:space="preserve"> </w:t>
      </w:r>
      <w:r>
        <w:t xml:space="preserve">end-member constraints are needed instead.</w:t>
      </w:r>
    </w:p>
    <w:p>
      <w:pPr>
        <w:pStyle w:val="Compact"/>
        <w:numPr>
          <w:ilvl w:val="0"/>
          <w:numId w:val="1003"/>
        </w:numPr>
      </w:pPr>
      <w:r>
        <w:t xml:space="preserve">The reported uncertainty is prior-insensitive (median prior share &lt; 3% of</w:t>
      </w:r>
      <w:r>
        <w:t xml:space="preserve"> </w:t>
      </w:r>
      <w:r>
        <w:t xml:space="preserve">between-fit variance) and a single fit’s credible</w:t>
      </w:r>
      <w:r>
        <w:t xml:space="preserve"> </w:t>
      </w:r>
      <w:r>
        <w:t xml:space="preserve">interval already carries about half of it, so the scan refines rather than</w:t>
      </w:r>
      <w:r>
        <w:t xml:space="preserve"> </w:t>
      </w:r>
      <w:r>
        <w:t xml:space="preserve">overturns single-fit inference.</w:t>
      </w:r>
    </w:p>
    <w:p>
      <w:pPr>
        <w:pStyle w:val="Compact"/>
        <w:numPr>
          <w:ilvl w:val="0"/>
          <w:numId w:val="1003"/>
        </w:numPr>
      </w:pPr>
      <w:r>
        <w:t xml:space="preserve">Geologically, the hard craton axis largely separates the craton-fed NCC north-margin</w:t>
      </w:r>
      <w:r>
        <w:t xml:space="preserve"> </w:t>
      </w:r>
      <w:r>
        <w:t xml:space="preserve">samples (w_S3 = 0.43–0.69 in three of the four; 05FW008 is arc-dominated) from the arc + basement-fed Songliao fill (w_S3 ≤</w:t>
      </w:r>
      <w:r>
        <w:t xml:space="preserve"> </w:t>
      </w:r>
      <w:r>
        <w:t xml:space="preserve">0.10 for most samples), with the craton-dominated Quantou-Formation sample SL0932 (w_S3 = 0.87) interpreted as cratonic sourcing — from a local basement high or by drainage delivery from the North China Craton basement (Li et al., 2012).</w:t>
      </w:r>
    </w:p>
    <w:bookmarkEnd w:id="31"/>
    <w:bookmarkStart w:id="32" w:name="credit-authorship-contribution-statement"/>
    <w:p>
      <w:pPr>
        <w:pStyle w:val="Heading2"/>
      </w:pPr>
      <w:r>
        <w:t xml:space="preserve">CRediT authorship contribution statement</w:t>
      </w:r>
    </w:p>
    <w:p>
      <w:pPr>
        <w:pStyle w:val="FirstParagraph"/>
      </w:pPr>
      <w:r>
        <w:rPr>
          <w:b/>
          <w:bCs/>
        </w:rPr>
        <w:t xml:space="preserve">Lujia Pan:</w:t>
      </w:r>
      <w:r>
        <w:t xml:space="preserve"> </w:t>
      </w:r>
      <w:r>
        <w:t xml:space="preserve">Conceptualization, Methodology, Software, Validation, Formal</w:t>
      </w:r>
      <w:r>
        <w:t xml:space="preserve"> </w:t>
      </w:r>
      <w:r>
        <w:t xml:space="preserve">analysis, Investigation, Data curation, Writing – original draft, Writing –</w:t>
      </w:r>
      <w:r>
        <w:t xml:space="preserve"> </w:t>
      </w:r>
      <w:r>
        <w:t xml:space="preserve">review &amp; editing, Visualization.</w:t>
      </w:r>
    </w:p>
    <w:bookmarkEnd w:id="32"/>
    <w:bookmarkStart w:id="33" w:name="declaration-of-competing-interest"/>
    <w:p>
      <w:pPr>
        <w:pStyle w:val="Heading2"/>
      </w:pPr>
      <w:r>
        <w:t xml:space="preserve">Declaration of competing interest</w:t>
      </w:r>
    </w:p>
    <w:p>
      <w:pPr>
        <w:pStyle w:val="FirstParagraph"/>
      </w:pPr>
      <w:r>
        <w:t xml:space="preserve">The author declares that he has no known competing financial interests or</w:t>
      </w:r>
      <w:r>
        <w:t xml:space="preserve"> </w:t>
      </w:r>
      <w:r>
        <w:t xml:space="preserve">personal relationships that could have appeared to influence the work reported</w:t>
      </w:r>
      <w:r>
        <w:t xml:space="preserve"> </w:t>
      </w:r>
      <w:r>
        <w:t xml:space="preserve">in this paper.</w:t>
      </w:r>
    </w:p>
    <w:bookmarkEnd w:id="33"/>
    <w:bookmarkStart w:id="34" w:name="data-and-code-availability"/>
    <w:p>
      <w:pPr>
        <w:pStyle w:val="Heading2"/>
      </w:pPr>
      <w:r>
        <w:t xml:space="preserve">Data and code availability</w:t>
      </w:r>
    </w:p>
    <w:p>
      <w:pPr>
        <w:pStyle w:val="FirstParagraph"/>
      </w:pPr>
      <w:r>
        <w:rPr>
          <w:b/>
          <w:bCs/>
        </w:rPr>
        <w:t xml:space="preserve">Name of the code/library:</w:t>
      </w:r>
      <w:r>
        <w:t xml:space="preserve"> </w:t>
      </w:r>
      <w:r>
        <w:t xml:space="preserve">dz-bayes-uq</w:t>
      </w:r>
    </w:p>
    <w:p>
      <w:pPr>
        <w:pStyle w:val="BodyText"/>
      </w:pPr>
      <w:r>
        <w:rPr>
          <w:b/>
          <w:bCs/>
        </w:rPr>
        <w:t xml:space="preserve">Developer and contact:</w:t>
      </w:r>
      <w:r>
        <w:t xml:space="preserve"> </w:t>
      </w:r>
      <w:r>
        <w:t xml:space="preserve">Lujia Pan (peter205834@hebtu.edu.cn)</w:t>
      </w:r>
    </w:p>
    <w:p>
      <w:pPr>
        <w:pStyle w:val="BodyText"/>
      </w:pPr>
      <w:r>
        <w:rPr>
          <w:b/>
          <w:bCs/>
        </w:rPr>
        <w:t xml:space="preserve">Year first available:</w:t>
      </w:r>
      <w:r>
        <w:t xml:space="preserve"> </w:t>
      </w:r>
      <w:r>
        <w:t xml:space="preserve">2026</w:t>
      </w:r>
    </w:p>
    <w:p>
      <w:pPr>
        <w:pStyle w:val="BodyText"/>
      </w:pPr>
      <w:r>
        <w:rPr>
          <w:b/>
          <w:bCs/>
        </w:rPr>
        <w:t xml:space="preserve">Program language:</w:t>
      </w:r>
      <w:r>
        <w:t xml:space="preserve"> </w:t>
      </w:r>
      <w:r>
        <w:t xml:space="preserve">Python 3</w:t>
      </w:r>
    </w:p>
    <w:p>
      <w:pPr>
        <w:pStyle w:val="BodyText"/>
      </w:pPr>
      <w:r>
        <w:rPr>
          <w:b/>
          <w:bCs/>
        </w:rPr>
        <w:t xml:space="preserve">Software required:</w:t>
      </w:r>
      <w:r>
        <w:t xml:space="preserve"> </w:t>
      </w:r>
      <w:r>
        <w:t xml:space="preserve">Python ≥ 3.10 with numpy, pandas, pyarrow, scipy, emcee, scikit-learn, and matplotlib; the batched sampler additionally requires torch (PyTorch) and a CUDA-capable GPU.</w:t>
      </w:r>
    </w:p>
    <w:p>
      <w:pPr>
        <w:pStyle w:val="BodyText"/>
      </w:pPr>
      <w:r>
        <w:rPr>
          <w:b/>
          <w:bCs/>
        </w:rPr>
        <w:t xml:space="preserve">Program size:</w:t>
      </w:r>
      <w:r>
        <w:t xml:space="preserve"> </w:t>
      </w:r>
      <w:r>
        <w:t xml:space="preserve">~40 MB (release bundle, dominated by the scan output)</w:t>
      </w:r>
    </w:p>
    <w:p>
      <w:pPr>
        <w:pStyle w:val="BodyText"/>
      </w:pPr>
      <w:r>
        <w:rPr>
          <w:b/>
          <w:bCs/>
        </w:rPr>
        <w:t xml:space="preserve">Availability:</w:t>
      </w:r>
      <w:r>
        <w:t xml:space="preserve"> </w:t>
      </w:r>
      <w:r>
        <w:t xml:space="preserve">MIT licence; source at GitHub (https://github.com/PNOAHA/dz-bayes-uq), archived at Zenodo (doi:10.5281/zenodo.21242245).</w:t>
      </w:r>
    </w:p>
    <w:p>
      <w:pPr>
        <w:pStyle w:val="BodyText"/>
      </w:pPr>
      <w:r>
        <w:t xml:space="preserve">The archive contains the batched GPU</w:t>
      </w:r>
      <w:r>
        <w:t xml:space="preserve"> </w:t>
      </w:r>
      <w:r>
        <w:t xml:space="preserve">sampler (</w:t>
      </w:r>
      <w:r>
        <w:rPr>
          <w:rStyle w:val="VerbatimChar"/>
        </w:rPr>
        <w:t xml:space="preserve">bayes_gpu.py</w:t>
      </w:r>
      <w:r>
        <w:t xml:space="preserve">), the scan driver (</w:t>
      </w:r>
      <w:r>
        <w:rPr>
          <w:rStyle w:val="VerbatimChar"/>
        </w:rPr>
        <w:t xml:space="preserve">run_scan_gpu.py</w:t>
      </w:r>
      <w:r>
        <w:t xml:space="preserve">), the fit-by-fit</w:t>
      </w:r>
      <w:r>
        <w:t xml:space="preserve"> </w:t>
      </w:r>
      <w:r>
        <w:t xml:space="preserve">GPU-versus-emcee validation (</w:t>
      </w:r>
      <w:r>
        <w:rPr>
          <w:rStyle w:val="VerbatimChar"/>
        </w:rPr>
        <w:t xml:space="preserve">validate_gpu.py</w:t>
      </w:r>
      <w:r>
        <w:t xml:space="preserve">), the emcee reference</w:t>
      </w:r>
      <w:r>
        <w:t xml:space="preserve"> </w:t>
      </w:r>
      <w:r>
        <w:t xml:space="preserve">implementation (</w:t>
      </w:r>
      <w:r>
        <w:rPr>
          <w:rStyle w:val="VerbatimChar"/>
        </w:rPr>
        <w:t xml:space="preserve">bayesian_realdata.py</w:t>
      </w:r>
      <w:r>
        <w:t xml:space="preserve">), all figure-generation scripts, the</w:t>
      </w:r>
      <w:r>
        <w:t xml:space="preserve"> </w:t>
      </w:r>
      <w:r>
        <w:t xml:space="preserve">fifteen input grain-age samples (CSV, with per-sample source DOIs), and the</w:t>
      </w:r>
      <w:r>
        <w:t xml:space="preserve"> </w:t>
      </w:r>
      <w:r>
        <w:t xml:space="preserve">full 181,500-fit scan output (</w:t>
      </w:r>
      <w:r>
        <w:rPr>
          <w:rStyle w:val="VerbatimChar"/>
        </w:rPr>
        <w:t xml:space="preserve">grains_bayes_gpu.parquet</w:t>
      </w:r>
      <w:r>
        <w:t xml:space="preserve">) underlying every</w:t>
      </w:r>
      <w:r>
        <w:t xml:space="preserve"> </w:t>
      </w:r>
      <w:r>
        <w:t xml:space="preserve">figure and table. Bootstrap seeds are deterministic (SHA-1-derived), so</w:t>
      </w:r>
      <w:r>
        <w:t xml:space="preserve"> </w:t>
      </w:r>
      <w:r>
        <w:t xml:space="preserve">the resampling is reproducible. The input samples are compiled from published open datasets: the NCC north-margin samples of Yang et al. (2006) and Xu et al. (2016) and the Songliao samples SL0929–SL0932 of Li et al. (2012), all accessed via the OneDZ database (Li et al., 2026); and the R31354 and R31370 series of Wang et al. (2022) and Song et al. (2022), respectively, accessed via the database of Puetz et al. (2024).</w:t>
      </w:r>
    </w:p>
    <w:bookmarkEnd w:id="34"/>
    <w:bookmarkStart w:id="35" w:name="acknowledgements"/>
    <w:p>
      <w:pPr>
        <w:pStyle w:val="Heading2"/>
      </w:pPr>
      <w:r>
        <w:t xml:space="preserve">Acknowledgements</w:t>
      </w:r>
    </w:p>
    <w:p>
      <w:pPr>
        <w:pStyle w:val="FirstParagraph"/>
      </w:pPr>
      <w:r>
        <w:t xml:space="preserve">The numerical scan was carried out on an NVIDIA L20 GPU; the exploratory and</w:t>
      </w:r>
      <w:r>
        <w:t xml:space="preserve"> </w:t>
      </w:r>
      <w:r>
        <w:t xml:space="preserve">validation computations used the D107 cluster of the School of Mathematical</w:t>
      </w:r>
      <w:r>
        <w:t xml:space="preserve"> </w:t>
      </w:r>
      <w:r>
        <w:t xml:space="preserve">Sciences, Hebei Normal University.</w:t>
      </w:r>
    </w:p>
    <w:bookmarkEnd w:id="35"/>
    <w:bookmarkStart w:id="36" w:name="funding"/>
    <w:p>
      <w:pPr>
        <w:pStyle w:val="Heading2"/>
      </w:pPr>
      <w:r>
        <w:t xml:space="preserve">Funding</w:t>
      </w:r>
    </w:p>
    <w:p>
      <w:pPr>
        <w:pStyle w:val="FirstParagraph"/>
      </w:pPr>
      <w:r>
        <w:t xml:space="preserve">This work was supported by the Science and Technology Project of the Hebei</w:t>
      </w:r>
      <w:r>
        <w:t xml:space="preserve"> </w:t>
      </w:r>
      <w:r>
        <w:t xml:space="preserve">Education Department (grant number QN2025106) and the Doctoral Research Startup</w:t>
      </w:r>
      <w:r>
        <w:t xml:space="preserve"> </w:t>
      </w:r>
      <w:r>
        <w:t xml:space="preserve">Fund of Hebei Normal University (grant number L2024B05).</w:t>
      </w:r>
    </w:p>
    <w:bookmarkEnd w:id="36"/>
    <w:bookmarkStart w:id="37" w:name="X071796dd6bc546c91e96cca1cf5ff96599de61f"/>
    <w:p>
      <w:pPr>
        <w:pStyle w:val="Heading2"/>
      </w:pPr>
      <w:r>
        <w:t xml:space="preserve">Declaration of generative AI and AI-assisted technologies in the writing process</w:t>
      </w:r>
    </w:p>
    <w:p>
      <w:pPr>
        <w:pStyle w:val="FirstParagraph"/>
      </w:pPr>
      <w:r>
        <w:t xml:space="preserve">During the preparation of this work the author used Claude (Anthropic) in order to improve the language and readability of the manuscript. After using this tool, the author reviewed and edited the content as needed and takes full responsibility for the content of the publication.</w:t>
      </w:r>
    </w:p>
    <w:bookmarkEnd w:id="37"/>
    <w:bookmarkStart w:id="38" w:name="references"/>
    <w:p>
      <w:pPr>
        <w:pStyle w:val="Heading2"/>
      </w:pPr>
      <w:r>
        <w:t xml:space="preserve">References</w:t>
      </w:r>
    </w:p>
    <w:p>
      <w:pPr>
        <w:pStyle w:val="Compact"/>
        <w:numPr>
          <w:ilvl w:val="0"/>
          <w:numId w:val="1004"/>
        </w:numPr>
      </w:pPr>
      <w:r>
        <w:t xml:space="preserve">Andersen, T., 2005. Detrital zircons as tracers of sedimentary provenance: limiting conditions from statistics and numerical simulation. Chemical Geology 216 (3–4), 249–270. doi:10.1016/j.chemgeo.2004.11.013</w:t>
      </w:r>
    </w:p>
    <w:p>
      <w:pPr>
        <w:pStyle w:val="Compact"/>
        <w:numPr>
          <w:ilvl w:val="0"/>
          <w:numId w:val="1004"/>
        </w:numPr>
      </w:pPr>
      <w:r>
        <w:t xml:space="preserve">Efron, B., 1979. Bootstrap methods: another look at the jackknife. The Annals of Statistics 7 (1), 1–26. doi:10.1214/aos/1176344552</w:t>
      </w:r>
    </w:p>
    <w:p>
      <w:pPr>
        <w:pStyle w:val="Compact"/>
        <w:numPr>
          <w:ilvl w:val="0"/>
          <w:numId w:val="1004"/>
        </w:numPr>
      </w:pPr>
      <w:r>
        <w:t xml:space="preserve">Federal Geographic Data Committee (FGDC), 2006. FGDC Digital Cartographic Standard for Geologic Map Symbolization (PostScript Implementation). U.S. Geological Survey Techniques and Methods 11-A2 (FGDC-STD-013-2006). https://pubs.usgs.gov/tm/2006/11A02/ (accessed 2 September 2026).</w:t>
      </w:r>
    </w:p>
    <w:p>
      <w:pPr>
        <w:pStyle w:val="Compact"/>
        <w:numPr>
          <w:ilvl w:val="0"/>
          <w:numId w:val="1004"/>
        </w:numPr>
      </w:pPr>
      <w:r>
        <w:t xml:space="preserve">Feng, Z.-Q., Jia, C.-Z., Xie, X.-N., Zhang, S., Feng, Z.-H., Cross, T.A., 2010. Tectonostratigraphic units and stratigraphic sequences of the nonmarine Songliao basin, northeast China. Basin Research 22 (1), 79–95. doi:10.1111/j.1365-2117.2009.00445.x</w:t>
      </w:r>
    </w:p>
    <w:p>
      <w:pPr>
        <w:pStyle w:val="Compact"/>
        <w:numPr>
          <w:ilvl w:val="0"/>
          <w:numId w:val="1004"/>
        </w:numPr>
      </w:pPr>
      <w:r>
        <w:t xml:space="preserve">Foreman-Mackey, D., Hogg, D.W., Lang, D., Goodman, J., 2013. emcee: the MCMC Hammer. Publications of the Astronomical Society of the Pacific 125 (925), 306–312. doi:10.1086/670067</w:t>
      </w:r>
    </w:p>
    <w:p>
      <w:pPr>
        <w:pStyle w:val="Compact"/>
        <w:numPr>
          <w:ilvl w:val="0"/>
          <w:numId w:val="1004"/>
        </w:numPr>
      </w:pPr>
      <w:r>
        <w:t xml:space="preserve">Gehrels, G., 2014. Detrital zircon U-Pb geochronology applied to tectonics. Annual Review of Earth and Planetary Sciences 42 (1), 127–149. doi:10.1146/annurev-earth-050212-124012</w:t>
      </w:r>
    </w:p>
    <w:p>
      <w:pPr>
        <w:pStyle w:val="Compact"/>
        <w:numPr>
          <w:ilvl w:val="0"/>
          <w:numId w:val="1004"/>
        </w:numPr>
      </w:pPr>
      <w:r>
        <w:t xml:space="preserve">Gelman, A., Carlin, J.B., Stern, H.S., Dunson, D.B., Vehtari, A., Rubin, D.B., 2013. Bayesian Data Analysis, third ed. Chapman and Hall/CRC, Boca Raton, FL. doi:10.1201/b16018</w:t>
      </w:r>
    </w:p>
    <w:p>
      <w:pPr>
        <w:pStyle w:val="Compact"/>
        <w:numPr>
          <w:ilvl w:val="0"/>
          <w:numId w:val="1004"/>
        </w:numPr>
      </w:pPr>
      <w:r>
        <w:t xml:space="preserve">Goodman, J., Weare, J., 2010. Ensemble samplers with affine invariance. Communications in Applied Mathematics and Computational Science 5 (1), 65–80. doi:10.2140/camcos.2010.5.65</w:t>
      </w:r>
    </w:p>
    <w:p>
      <w:pPr>
        <w:pStyle w:val="Compact"/>
        <w:numPr>
          <w:ilvl w:val="0"/>
          <w:numId w:val="1004"/>
        </w:numPr>
      </w:pPr>
      <w:r>
        <w:t xml:space="preserve">Hogg, D.W., Foreman-Mackey, D., 2018. Data analysis recipes: using Markov chain Monte Carlo. The Astrophysical Journal Supplement Series 236 (1), 11. doi:10.3847/1538-4365/aab76e</w:t>
      </w:r>
    </w:p>
    <w:p>
      <w:pPr>
        <w:pStyle w:val="Compact"/>
        <w:numPr>
          <w:ilvl w:val="0"/>
          <w:numId w:val="1004"/>
        </w:numPr>
      </w:pPr>
      <w:r>
        <w:t xml:space="preserve">Huang, H., Wang, T., Guo, L., Tong, Y., He, Z.-Y., Yin, J., Wu, H.-H., 2024. Crustal modification influenced by multiple convergent systems: insights from Mesozoic magmatism in northeastern China. Earth-Science Reviews 252, 104737. doi:10.1016/j.earscirev.2024.104737</w:t>
      </w:r>
    </w:p>
    <w:p>
      <w:pPr>
        <w:pStyle w:val="Compact"/>
        <w:numPr>
          <w:ilvl w:val="0"/>
          <w:numId w:val="1004"/>
        </w:numPr>
      </w:pPr>
      <w:r>
        <w:t xml:space="preserve">Lee, D.D., Seung, H.S., 1999. Learning the parts of objects by non-negative matrix factorization. Nature 401 (6755), 788–791. doi:10.1038/44565</w:t>
      </w:r>
    </w:p>
    <w:p>
      <w:pPr>
        <w:pStyle w:val="Compact"/>
        <w:numPr>
          <w:ilvl w:val="0"/>
          <w:numId w:val="1004"/>
        </w:numPr>
      </w:pPr>
      <w:r>
        <w:t xml:space="preserve">Li, H., Han, J., Yin, Z., 2021. Early Cretaceous arc-related volcanic rocks in the northern Great Xing’an Range, NE China: records of Paleo-Pacific ocean subduction. International Journal of Earth Sciences 110 (4), 1233–1263. doi:10.1007/s00531-021-02014-y</w:t>
      </w:r>
    </w:p>
    <w:p>
      <w:pPr>
        <w:pStyle w:val="Compact"/>
        <w:numPr>
          <w:ilvl w:val="0"/>
          <w:numId w:val="1004"/>
        </w:numPr>
      </w:pPr>
      <w:r>
        <w:t xml:space="preserve">Li, K., Hu, X., Chai, R., Yang, J., Xue, W., Pan, Y., Li, T., Fang, C., Ma, A., Huang, H., Guo, Q., Yang, W., Hu, L., Qi, L., Chen, G., Sun, G., Zhang, S., Deng, T., Li, K., Sun, J., Gao, B., 2026. OneDZ: a global detrital zircon database and implications for constructing giant geoscience database. Earth System Science Data 18 (5), 3671–3696. doi:10.5194/essd-18-3671-2026</w:t>
      </w:r>
    </w:p>
    <w:p>
      <w:pPr>
        <w:pStyle w:val="Compact"/>
        <w:numPr>
          <w:ilvl w:val="0"/>
          <w:numId w:val="1004"/>
        </w:numPr>
      </w:pPr>
      <w:r>
        <w:t xml:space="preserve">Li, S.-Q., Chen, F., Siebel, W., Wu, J.-D., Zhu, X.-Y., Shan, X.-L., Sun, X.-M., 2012. Late Mesozoic tectonic evolution of the Songliao basin, NE China: evidence from detrital zircon ages and Sr–Nd isotopes. Gondwana Research 22 (3–4), 943–955. doi:10.1016/j.gr.2012.04.002</w:t>
      </w:r>
    </w:p>
    <w:p>
      <w:pPr>
        <w:pStyle w:val="Compact"/>
        <w:numPr>
          <w:ilvl w:val="0"/>
          <w:numId w:val="1004"/>
        </w:numPr>
      </w:pPr>
      <w:r>
        <w:t xml:space="preserve">Liu, Y., Li, W., Feng, Z., Wen, Q., Neubauer, F., Liang, C., 2017. A review of the Paleozoic tectonics in the eastern part of Central Asian Orogenic Belt. Gondwana Research 43, 123–148. doi:10.1016/j.gr.2016.03.013</w:t>
      </w:r>
    </w:p>
    <w:p>
      <w:pPr>
        <w:pStyle w:val="Compact"/>
        <w:numPr>
          <w:ilvl w:val="0"/>
          <w:numId w:val="1004"/>
        </w:numPr>
      </w:pPr>
      <w:r>
        <w:t xml:space="preserve">Malusà, M.G., Resentini, A., Garzanti, E., 2016. Hydraulic sorting and mineral fertility bias in detrital geochronology. Gondwana Research 31, 1–19. doi:10.1016/j.gr.2015.09.002</w:t>
      </w:r>
    </w:p>
    <w:p>
      <w:pPr>
        <w:pStyle w:val="Compact"/>
        <w:numPr>
          <w:ilvl w:val="0"/>
          <w:numId w:val="1004"/>
        </w:numPr>
      </w:pPr>
      <w:r>
        <w:t xml:space="preserve">Mosegaard, K., Tarantola, A., 1995. Monte Carlo sampling of solutions to inverse problems. Journal of Geophysical Research: Solid Earth 100 (B7), 12431–12447. doi:10.1029/94JB03097</w:t>
      </w:r>
    </w:p>
    <w:p>
      <w:pPr>
        <w:pStyle w:val="Compact"/>
        <w:numPr>
          <w:ilvl w:val="0"/>
          <w:numId w:val="1004"/>
        </w:numPr>
      </w:pPr>
      <w:r>
        <w:t xml:space="preserve">Okabe, M., Ito, K., 2008. Color Universal Design (CUD): how to make figures and presentations that are friendly to colorblind people. https://jfly.uni-koeln.de/color/ (accessed 2 September 2026).</w:t>
      </w:r>
    </w:p>
    <w:p>
      <w:pPr>
        <w:pStyle w:val="Compact"/>
        <w:numPr>
          <w:ilvl w:val="0"/>
          <w:numId w:val="1004"/>
        </w:numPr>
      </w:pPr>
      <w:r>
        <w:t xml:space="preserve">Pan, L., submitted. Detrital-zircon provenance unmixing with supervised NMF: a forward modelling framework validated on Cretaceous basins of Northeast Asia. Submitted to Computers &amp; Geosciences. Preprint: https://ssrn.com/abstract=6955308; code: https://github.com/PNOAHA/dz-unmix-cg</w:t>
      </w:r>
    </w:p>
    <w:p>
      <w:pPr>
        <w:pStyle w:val="Compact"/>
        <w:numPr>
          <w:ilvl w:val="0"/>
          <w:numId w:val="1004"/>
        </w:numPr>
      </w:pPr>
      <w:r>
        <w:t xml:space="preserve">Pan, L., in preparation. Where does detrital-zircon source unmixing break? An analytic identifiability criterion and its large-scale Monte-Carlo verification for NMF provenance unmixing. Manuscript in preparation. Code: doi:10.5281/zenodo.20768131; https://github.com/PNOAHA/dz-unmix-bounds</w:t>
      </w:r>
    </w:p>
    <w:p>
      <w:pPr>
        <w:pStyle w:val="Compact"/>
        <w:numPr>
          <w:ilvl w:val="0"/>
          <w:numId w:val="1004"/>
        </w:numPr>
      </w:pPr>
      <w:r>
        <w:t xml:space="preserve">Puetz, S.J., Spencer, C.J., Condie, K.C., Roberts, N.M.W., 2024. Enhanced U-Pb detrital zircon, Lu-Hf zircon, δ18O zircon, and Sm-Nd whole rock global databases. Scientific Data 11 (1), 56. doi:10.1038/s41597-023-02902-9</w:t>
      </w:r>
    </w:p>
    <w:p>
      <w:pPr>
        <w:pStyle w:val="Compact"/>
        <w:numPr>
          <w:ilvl w:val="0"/>
          <w:numId w:val="1004"/>
        </w:numPr>
      </w:pPr>
      <w:r>
        <w:t xml:space="preserve">Pullen, A., Ibáñez-Mejía, M., Gehrels, G.E., Ibáñez-Mejía, J.C., Pecha, M., 2014. What happens when n = 1000? Creating large-n geochronological datasets with LA-ICP-MS for geologic investigations. Journal of Analytical Atomic Spectrometry 29 (6), 971–980. doi:10.1039/c4ja00024b</w:t>
      </w:r>
    </w:p>
    <w:p>
      <w:pPr>
        <w:pStyle w:val="Compact"/>
        <w:numPr>
          <w:ilvl w:val="0"/>
          <w:numId w:val="1004"/>
        </w:numPr>
      </w:pPr>
      <w:r>
        <w:t xml:space="preserve">Sambridge, M., Mosegaard, K., 2002. Monte Carlo methods in geophysical inverse problems. Reviews of Geophysics 40 (3), 1009. doi:10.1029/2000RG000089</w:t>
      </w:r>
    </w:p>
    <w:p>
      <w:pPr>
        <w:pStyle w:val="Compact"/>
        <w:numPr>
          <w:ilvl w:val="0"/>
          <w:numId w:val="1004"/>
        </w:numPr>
      </w:pPr>
      <w:r>
        <w:t xml:space="preserve">Sharman, G.R., Johnstone, S.A., 2017. Sediment unmixing using detrital geochronology. Earth and Planetary Science Letters 477, 183–194. doi:10.1016/j.epsl.2017.07.044</w:t>
      </w:r>
    </w:p>
    <w:p>
      <w:pPr>
        <w:pStyle w:val="Compact"/>
        <w:numPr>
          <w:ilvl w:val="0"/>
          <w:numId w:val="1004"/>
        </w:numPr>
      </w:pPr>
      <w:r>
        <w:t xml:space="preserve">Song, Y., Ren, J., Liu, K., Lyu, D., Feng, X., Liu, Y., Stepashko, A., 2022. Syn-rift to post-rift tectonic transition and drainage reorganization in continental rifting basins: detrital zircon analysis from the Songliao Basin, NE China. Geoscience Frontiers 13 (3), 101377. doi:10.1016/j.gsf.2022.101377</w:t>
      </w:r>
    </w:p>
    <w:p>
      <w:pPr>
        <w:pStyle w:val="Compact"/>
        <w:numPr>
          <w:ilvl w:val="0"/>
          <w:numId w:val="1004"/>
        </w:numPr>
      </w:pPr>
      <w:r>
        <w:t xml:space="preserve">Suchard, M.A., Wang, Q., Chan, C., Frelinger, J., Cron, A., West, M., 2010. Understanding GPU programming for statistical computation: studies in massively parallel massive mixtures. Journal of Computational and Graphical Statistics 19 (2), 419–438. doi:10.1198/jcgs.2010.10016</w:t>
      </w:r>
    </w:p>
    <w:p>
      <w:pPr>
        <w:pStyle w:val="Compact"/>
        <w:numPr>
          <w:ilvl w:val="0"/>
          <w:numId w:val="1004"/>
        </w:numPr>
      </w:pPr>
      <w:r>
        <w:t xml:space="preserve">Sundell, K.E., Saylor, J.E., 2017. Unmixing detrital geochronology age distributions. Geochemistry, Geophysics, Geosystems 18 (8), 2872–2886. doi:10.1002/2016GC006774</w:t>
      </w:r>
    </w:p>
    <w:p>
      <w:pPr>
        <w:pStyle w:val="Compact"/>
        <w:numPr>
          <w:ilvl w:val="0"/>
          <w:numId w:val="1004"/>
        </w:numPr>
      </w:pPr>
      <w:r>
        <w:t xml:space="preserve">Tipton, J.R., Sharman, G.R., Johnstone, S.A., 2022. A Bayesian nonparametric approach to unmixing detrital geochronologic data. Mathematical Geosciences 54 (1), 151–176. doi:10.1007/s11004-021-09961-x</w:t>
      </w:r>
    </w:p>
    <w:p>
      <w:pPr>
        <w:pStyle w:val="Compact"/>
        <w:numPr>
          <w:ilvl w:val="0"/>
          <w:numId w:val="1004"/>
        </w:numPr>
      </w:pPr>
      <w:r>
        <w:t xml:space="preserve">Vermeesch, P., 2004. How many grains are needed for a provenance study? Earth and Planetary Science Letters 224 (3–4), 441–451. doi:10.1016/j.epsl.2004.05.037</w:t>
      </w:r>
    </w:p>
    <w:p>
      <w:pPr>
        <w:pStyle w:val="Compact"/>
        <w:numPr>
          <w:ilvl w:val="0"/>
          <w:numId w:val="1004"/>
        </w:numPr>
      </w:pPr>
      <w:r>
        <w:t xml:space="preserve">Wang, P.-J., Mattern, F., Didenko, N.A., Zhu, D.-F., Singer, B., Sun, X.-M., 2016. Tectonics and cycle system of the Cretaceous Songliao Basin: an inverted active continental margin basin. Earth-Science Reviews 159, 82–102. doi:10.1016/j.earscirev.2016.05.004</w:t>
      </w:r>
    </w:p>
    <w:p>
      <w:pPr>
        <w:pStyle w:val="Compact"/>
        <w:numPr>
          <w:ilvl w:val="0"/>
          <w:numId w:val="1004"/>
        </w:numPr>
      </w:pPr>
      <w:r>
        <w:t xml:space="preserve">Wang, S., Cheng, Y., Jin, R., Miao, P., Zhang, T., Xu, Z., Ao, C., Teng, X., Cheng, X., 2022. Detrital zircon U-Pb ages of the Cretaceous strata in the southern Songliao Basin, NE China: constraints on basin-and-range evolution. Sedimentary Geology 433, 106133. doi:10.1016/j.sedgeo.2022.106133</w:t>
      </w:r>
    </w:p>
    <w:p>
      <w:pPr>
        <w:pStyle w:val="Compact"/>
        <w:numPr>
          <w:ilvl w:val="0"/>
          <w:numId w:val="1004"/>
        </w:numPr>
      </w:pPr>
      <w:r>
        <w:t xml:space="preserve">Wu, J.T.-J., Wu, J., Okamoto, K., 2022. Intra-oceanic arc accretion along Northeast Asia during Early Cretaceous provides a plate tectonic context for North China craton destruction. Earth-Science Reviews 226, 103952. doi:10.1016/j.earscirev.2022.103952</w:t>
      </w:r>
    </w:p>
    <w:p>
      <w:pPr>
        <w:pStyle w:val="Compact"/>
        <w:numPr>
          <w:ilvl w:val="0"/>
          <w:numId w:val="1004"/>
        </w:numPr>
      </w:pPr>
      <w:r>
        <w:t xml:space="preserve">Xiao, W., Santosh, M., 2014. The western Central Asian Orogenic Belt: a window to accretionary orogenesis and continental growth. Gondwana Research 25 (4), 1429–1444. doi:10.1016/j.gr.2014.01.008</w:t>
      </w:r>
    </w:p>
    <w:p>
      <w:pPr>
        <w:pStyle w:val="Compact"/>
        <w:numPr>
          <w:ilvl w:val="0"/>
          <w:numId w:val="1004"/>
        </w:numPr>
      </w:pPr>
      <w:r>
        <w:t xml:space="preserve">Xiao, W., Windley, B.F., Hao, J., Zhai, M., 2003. Accretion leading to collision and the Permian Solonker suture, Inner Mongolia, China: termination of the central Asian orogenic belt. Tectonics 22 (6), 1069. doi:10.1029/2002TC001484</w:t>
      </w:r>
    </w:p>
    <w:p>
      <w:pPr>
        <w:pStyle w:val="Compact"/>
        <w:numPr>
          <w:ilvl w:val="0"/>
          <w:numId w:val="1004"/>
        </w:numPr>
      </w:pPr>
      <w:r>
        <w:t xml:space="preserve">Xu, H., Liu, Y., Kuang, H., Peng, N., 2016. Sedimentary response to the intracontinental orogenic process: insight from the anatomy of a small Mesozoic basin in western Yanshan, northern North China. International Geology Review 58 (12), 1528–1556. doi:10.1080/00206814.2016.1168323</w:t>
      </w:r>
    </w:p>
    <w:p>
      <w:pPr>
        <w:pStyle w:val="Compact"/>
        <w:numPr>
          <w:ilvl w:val="0"/>
          <w:numId w:val="1004"/>
        </w:numPr>
      </w:pPr>
      <w:r>
        <w:t xml:space="preserve">Yang, J.-H., Wu, F.-Y., Shao, J.-A., Wilde, S.A., Xie, L.-W., Liu, X.-M., 2006. Constraints on the timing of uplift of the Yanshan Fold and Thrust Belt, North China. Earth and Planetary Science Letters 246 (3–4), 336–352. doi:10.1016/j.epsl.2006.04.029</w:t>
      </w:r>
    </w:p>
    <w:p>
      <w:pPr>
        <w:pStyle w:val="Compact"/>
        <w:numPr>
          <w:ilvl w:val="0"/>
          <w:numId w:val="1004"/>
        </w:numPr>
      </w:pPr>
      <w:r>
        <w:t xml:space="preserve">Zhao, G., 2001. Palaeoproterozoic assembly of the North China Craton. Geological Magazine 138 (1), 87–91. doi:10.1017/S0016756801005040</w:t>
      </w:r>
    </w:p>
    <w:p>
      <w:pPr>
        <w:pStyle w:val="Compact"/>
        <w:numPr>
          <w:ilvl w:val="0"/>
          <w:numId w:val="1004"/>
        </w:numPr>
      </w:pPr>
      <w:r>
        <w:t xml:space="preserve">Zhao, G., Sun, M., Wilde, S.A., Li, S., 2005. Late Archean to Paleoproterozoic evolution of the North China Craton: key issues revisited. Precambrian Research 136 (2), 177–202. doi:10.1016/j.precamres.2004.10.002</w:t>
      </w:r>
    </w:p>
    <w:p>
      <w:pPr>
        <w:pStyle w:val="Compact"/>
        <w:numPr>
          <w:ilvl w:val="0"/>
          <w:numId w:val="1004"/>
        </w:numPr>
      </w:pPr>
      <w:r>
        <w:t xml:space="preserve">Zhao, G., Cawood, P.A., Li, S., Wilde, S.A., Sun, M., Zhang, J., He, Y., Yin, C., 2012. Amalgamation of the North China Craton: key issues and discussion. Precambrian Research 222–223, 55–76. doi:10.1016/j.precamres.2012.09.016</w:t>
      </w:r>
    </w:p>
    <w:p>
      <w:pPr>
        <w:sectPr>
          <w:pgSz w:w="12240" w:h="15840"/>
          <w:pgMar w:top="1440" w:right="1440" w:bottom="1440" w:left="1440" w:header="720" w:footer="720" w:gutter="0"/>
          <w:footnotePr>
            <w:numRestart w:val="eachSect"/>
          </w:footnotePr>
          <w:lnNumType w:countBy="1" w:restart="continuous"/>
        </w:sectPr>
      </w:pPr>
      <w:r>
        <w:pict>
          <v:rect style="width:0;height:1.5pt" o:hralign="center" o:hrstd="t" o:hr="t"/>
        </w:pict>
      </w:r>
    </w:p>
    <w:bookmarkEnd w:id="38"/>
    <w:bookmarkStart w:id="39" w:name="tables"/>
    <w:p>
      <w:pPr>
        <w:pStyle w:val="Heading2"/>
      </w:pPr>
      <w:r>
        <w:t xml:space="preserve">Tables</w:t>
      </w:r>
    </w:p>
    <w:p>
      <w:pPr>
        <w:pStyle w:val="FirstParagraph"/>
      </w:pPr>
      <w:r>
        <w:rPr>
          <w:b/>
          <w:bCs/>
        </w:rPr>
        <w:t xml:space="preserve">Table 1.</w:t>
      </w:r>
      <w:r>
        <w:t xml:space="preserve"> </w:t>
      </w:r>
      <w:r>
        <w:t xml:space="preserve">Posterior mixing weights and per-weight resolvability for the fifteen samples.</w:t>
      </w:r>
    </w:p>
    <w:tbl>
      <w:tblPr>
        <w:tblStyle w:val="Table"/>
        <w:tblW w:type="dxa" w:w="12960"/>
        <w:tblBorders>
          <w:top w:val="single" w:sz="8" w:space="0" w:color="auto"/>
          <w:left w:val="nil"/>
          <w:bottom w:val="single" w:sz="8" w:space="0" w:color="auto"/>
          <w:right w:val="nil"/>
          <w:insideH w:val="nil"/>
          <w:insideV w:val="nil"/>
        </w:tblBorders>
        <w:tblLayout w:type="fixed"/>
        <w:tblLook w:firstRow="1" w:lastRow="0" w:firstColumn="0" w:lastColumn="0" w:noHBand="0" w:noVBand="0" w:val="0020"/>
      </w:tblPr>
      <w:tblGrid>
        <w:gridCol w:w="1656"/>
        <w:gridCol w:w="1728"/>
        <w:gridCol w:w="1296"/>
        <w:gridCol w:w="864"/>
        <w:gridCol w:w="936"/>
        <w:gridCol w:w="648"/>
        <w:gridCol w:w="1368"/>
        <w:gridCol w:w="1368"/>
        <w:gridCol w:w="1368"/>
        <w:gridCol w:w="1728"/>
      </w:tblGrid>
      <w:tr>
        <w:trPr>
          <w:tblHeader w:val="on"/>
        </w:trPr>
        <w:tc>
          <w:tcPr>
            <w:tcW w:type="dxa" w:w="1656"/>
          </w:tcPr>
          <w:p>
            <w:pPr>
              <w:pStyle w:val="Compact"/>
            </w:pPr>
            <w:r>
              <w:rPr>
                <w:sz w:val="18"/>
              </w:rPr>
              <w:t xml:space="preserve">Sample</w:t>
            </w:r>
          </w:p>
        </w:tc>
        <w:tc>
          <w:tcPr>
            <w:tcW w:type="dxa" w:w="1728"/>
          </w:tcPr>
          <w:p>
            <w:pPr>
              <w:pStyle w:val="Compact"/>
            </w:pPr>
            <w:r>
              <w:rPr>
                <w:sz w:val="18"/>
              </w:rPr>
              <w:t xml:space="preserve">Group</w:t>
            </w:r>
          </w:p>
        </w:tc>
        <w:tc>
          <w:tcPr>
            <w:tcW w:type="dxa" w:w="1296"/>
          </w:tcPr>
          <w:p>
            <w:pPr>
              <w:pStyle w:val="Compact"/>
            </w:pPr>
            <w:r>
              <w:rPr>
                <w:sz w:val="18"/>
              </w:rPr>
              <w:t xml:space="preserve">Formation</w:t>
            </w:r>
          </w:p>
        </w:tc>
        <w:tc>
          <w:tcPr>
            <w:tcW w:type="dxa" w:w="864"/>
          </w:tcPr>
          <w:p>
            <w:pPr>
              <w:pStyle w:val="Compact"/>
            </w:pPr>
            <w:r>
              <w:rPr>
                <w:sz w:val="18"/>
              </w:rPr>
              <w:t xml:space="preserve">Lat (°N)</w:t>
            </w:r>
          </w:p>
        </w:tc>
        <w:tc>
          <w:tcPr>
            <w:tcW w:type="dxa" w:w="936"/>
          </w:tcPr>
          <w:p>
            <w:pPr>
              <w:pStyle w:val="Compact"/>
            </w:pPr>
            <w:r>
              <w:rPr>
                <w:sz w:val="18"/>
              </w:rPr>
              <w:t xml:space="preserve">Lon (°E)</w:t>
            </w:r>
          </w:p>
        </w:tc>
        <w:tc>
          <w:tcPr>
            <w:tcW w:type="dxa" w:w="648"/>
          </w:tcPr>
          <w:p>
            <w:pPr>
              <w:pStyle w:val="Compact"/>
            </w:pPr>
            <w:r>
              <w:rPr>
                <w:sz w:val="18"/>
              </w:rPr>
              <w:t xml:space="preserve">n</w:t>
            </w:r>
          </w:p>
        </w:tc>
        <w:tc>
          <w:tcPr>
            <w:tcW w:type="dxa" w:w="1368"/>
          </w:tcPr>
          <w:p>
            <w:pPr>
              <w:pStyle w:val="Compact"/>
            </w:pPr>
            <w:r>
              <w:rPr>
                <w:sz w:val="18"/>
              </w:rPr>
              <w:t xml:space="preserve">w_S1 (Arc) mean±std</w:t>
            </w:r>
          </w:p>
        </w:tc>
        <w:tc>
          <w:tcPr>
            <w:tcW w:type="dxa" w:w="1368"/>
          </w:tcPr>
          <w:p>
            <w:pPr>
              <w:pStyle w:val="Compact"/>
            </w:pPr>
            <w:r>
              <w:rPr>
                <w:sz w:val="18"/>
              </w:rPr>
              <w:t xml:space="preserve">w_S2 (Basement) mean±std</w:t>
            </w:r>
          </w:p>
        </w:tc>
        <w:tc>
          <w:tcPr>
            <w:tcW w:type="dxa" w:w="1368"/>
          </w:tcPr>
          <w:p>
            <w:pPr>
              <w:pStyle w:val="Compact"/>
            </w:pPr>
            <w:r>
              <w:rPr>
                <w:sz w:val="18"/>
              </w:rPr>
              <w:t xml:space="preserve">w_S3 (Craton) mean±std</w:t>
            </w:r>
          </w:p>
        </w:tc>
        <w:tc>
          <w:tcPr>
            <w:tcW w:type="dxa" w:w="1728"/>
          </w:tcPr>
          <w:p>
            <w:pPr>
              <w:pStyle w:val="Compact"/>
            </w:pPr>
            <w:r>
              <w:rPr>
                <w:sz w:val="18"/>
              </w:rPr>
              <w:t xml:space="preserve">Resolvability (per weight)</w:t>
            </w:r>
          </w:p>
        </w:tc>
      </w:tr>
      <w:tr>
        <w:tc>
          <w:tcPr>
            <w:tcW w:type="dxa" w:w="1656"/>
          </w:tcPr>
          <w:p>
            <w:pPr>
              <w:pStyle w:val="Compact"/>
            </w:pPr>
            <w:r>
              <w:rPr>
                <w:sz w:val="18"/>
              </w:rPr>
              <w:t xml:space="preserve">05FW007</w:t>
            </w:r>
          </w:p>
        </w:tc>
        <w:tc>
          <w:tcPr>
            <w:tcW w:type="dxa" w:w="1728"/>
          </w:tcPr>
          <w:p>
            <w:pPr>
              <w:pStyle w:val="Compact"/>
            </w:pPr>
            <w:r>
              <w:rPr>
                <w:sz w:val="18"/>
              </w:rPr>
              <w:t xml:space="preserve">NCC north margin</w:t>
            </w:r>
          </w:p>
        </w:tc>
        <w:tc>
          <w:tcPr>
            <w:tcW w:type="dxa" w:w="1296"/>
          </w:tcPr>
          <w:p>
            <w:pPr>
              <w:pStyle w:val="Compact"/>
            </w:pPr>
            <w:r>
              <w:rPr>
                <w:sz w:val="18"/>
              </w:rPr>
              <w:t xml:space="preserve">Longmen</w:t>
            </w:r>
          </w:p>
        </w:tc>
        <w:tc>
          <w:tcPr>
            <w:tcW w:type="dxa" w:w="864"/>
          </w:tcPr>
          <w:p>
            <w:pPr>
              <w:pStyle w:val="Compact"/>
            </w:pPr>
            <w:r>
              <w:rPr>
                <w:sz w:val="18"/>
              </w:rPr>
              <w:t xml:space="preserve">40.833</w:t>
            </w:r>
          </w:p>
        </w:tc>
        <w:tc>
          <w:tcPr>
            <w:tcW w:type="dxa" w:w="936"/>
          </w:tcPr>
          <w:p>
            <w:pPr>
              <w:pStyle w:val="Compact"/>
            </w:pPr>
            <w:r>
              <w:rPr>
                <w:sz w:val="18"/>
              </w:rPr>
              <w:t xml:space="preserve">115.833</w:t>
            </w:r>
          </w:p>
        </w:tc>
        <w:tc>
          <w:tcPr>
            <w:tcW w:type="dxa" w:w="648"/>
          </w:tcPr>
          <w:p>
            <w:pPr>
              <w:pStyle w:val="Compact"/>
            </w:pPr>
            <w:r>
              <w:rPr>
                <w:sz w:val="18"/>
              </w:rPr>
              <w:t xml:space="preserve">57</w:t>
            </w:r>
          </w:p>
        </w:tc>
        <w:tc>
          <w:tcPr>
            <w:tcW w:type="dxa" w:w="1368"/>
          </w:tcPr>
          <w:p>
            <w:pPr>
              <w:pStyle w:val="Compact"/>
            </w:pPr>
            <w:r>
              <w:rPr>
                <w:sz w:val="18"/>
              </w:rPr>
              <w:t xml:space="preserve">0.133 ± 0.118</w:t>
            </w:r>
          </w:p>
        </w:tc>
        <w:tc>
          <w:tcPr>
            <w:tcW w:type="dxa" w:w="1368"/>
          </w:tcPr>
          <w:p>
            <w:pPr>
              <w:pStyle w:val="Compact"/>
            </w:pPr>
            <w:r>
              <w:rPr>
                <w:sz w:val="18"/>
              </w:rPr>
              <w:t xml:space="preserve">0.436 ± 0.121</w:t>
            </w:r>
          </w:p>
        </w:tc>
        <w:tc>
          <w:tcPr>
            <w:tcW w:type="dxa" w:w="1368"/>
          </w:tcPr>
          <w:p>
            <w:pPr>
              <w:pStyle w:val="Compact"/>
            </w:pPr>
            <w:r>
              <w:rPr>
                <w:sz w:val="18"/>
              </w:rPr>
              <w:t xml:space="preserve">0.431 ± 0.070</w:t>
            </w:r>
          </w:p>
        </w:tc>
        <w:tc>
          <w:tcPr>
            <w:tcW w:type="dxa" w:w="1728"/>
          </w:tcPr>
          <w:p>
            <w:pPr>
              <w:pStyle w:val="Compact"/>
            </w:pPr>
            <w:r>
              <w:rPr>
                <w:sz w:val="18"/>
              </w:rPr>
              <w:t xml:space="preserve">S1,S2 very soft; S3 soft</w:t>
            </w:r>
          </w:p>
        </w:tc>
      </w:tr>
      <w:tr>
        <w:tc>
          <w:tcPr>
            <w:tcW w:type="dxa" w:w="1656"/>
          </w:tcPr>
          <w:p>
            <w:pPr>
              <w:pStyle w:val="Compact"/>
            </w:pPr>
            <w:r>
              <w:rPr>
                <w:sz w:val="18"/>
              </w:rPr>
              <w:t xml:space="preserve">05FW008</w:t>
            </w:r>
          </w:p>
        </w:tc>
        <w:tc>
          <w:tcPr>
            <w:tcW w:type="dxa" w:w="1728"/>
          </w:tcPr>
          <w:p>
            <w:pPr>
              <w:pStyle w:val="Compact"/>
            </w:pPr>
            <w:r>
              <w:rPr>
                <w:sz w:val="18"/>
              </w:rPr>
              <w:t xml:space="preserve">NCC north margin</w:t>
            </w:r>
          </w:p>
        </w:tc>
        <w:tc>
          <w:tcPr>
            <w:tcW w:type="dxa" w:w="1296"/>
          </w:tcPr>
          <w:p>
            <w:pPr>
              <w:pStyle w:val="Compact"/>
            </w:pPr>
            <w:r>
              <w:rPr>
                <w:sz w:val="18"/>
              </w:rPr>
              <w:t xml:space="preserve">Jiulongshan</w:t>
            </w:r>
          </w:p>
        </w:tc>
        <w:tc>
          <w:tcPr>
            <w:tcW w:type="dxa" w:w="864"/>
          </w:tcPr>
          <w:p>
            <w:pPr>
              <w:pStyle w:val="Compact"/>
            </w:pPr>
            <w:r>
              <w:rPr>
                <w:sz w:val="18"/>
              </w:rPr>
              <w:t xml:space="preserve">40.833</w:t>
            </w:r>
          </w:p>
        </w:tc>
        <w:tc>
          <w:tcPr>
            <w:tcW w:type="dxa" w:w="936"/>
          </w:tcPr>
          <w:p>
            <w:pPr>
              <w:pStyle w:val="Compact"/>
            </w:pPr>
            <w:r>
              <w:rPr>
                <w:sz w:val="18"/>
              </w:rPr>
              <w:t xml:space="preserve">115.833</w:t>
            </w:r>
          </w:p>
        </w:tc>
        <w:tc>
          <w:tcPr>
            <w:tcW w:type="dxa" w:w="648"/>
          </w:tcPr>
          <w:p>
            <w:pPr>
              <w:pStyle w:val="Compact"/>
            </w:pPr>
            <w:r>
              <w:rPr>
                <w:sz w:val="18"/>
              </w:rPr>
              <w:t xml:space="preserve">36</w:t>
            </w:r>
          </w:p>
        </w:tc>
        <w:tc>
          <w:tcPr>
            <w:tcW w:type="dxa" w:w="1368"/>
          </w:tcPr>
          <w:p>
            <w:pPr>
              <w:pStyle w:val="Compact"/>
            </w:pPr>
            <w:r>
              <w:rPr>
                <w:sz w:val="18"/>
              </w:rPr>
              <w:t xml:space="preserve">0.940 ± 0.033</w:t>
            </w:r>
          </w:p>
        </w:tc>
        <w:tc>
          <w:tcPr>
            <w:tcW w:type="dxa" w:w="1368"/>
          </w:tcPr>
          <w:p>
            <w:pPr>
              <w:pStyle w:val="Compact"/>
            </w:pPr>
            <w:r>
              <w:rPr>
                <w:sz w:val="18"/>
              </w:rPr>
              <w:t xml:space="preserve">0.034 ± 0.033</w:t>
            </w:r>
          </w:p>
        </w:tc>
        <w:tc>
          <w:tcPr>
            <w:tcW w:type="dxa" w:w="1368"/>
          </w:tcPr>
          <w:p>
            <w:pPr>
              <w:pStyle w:val="Compact"/>
            </w:pPr>
            <w:r>
              <w:rPr>
                <w:sz w:val="18"/>
              </w:rPr>
              <w:t xml:space="preserve">0.026 ± 0.002</w:t>
            </w:r>
          </w:p>
        </w:tc>
        <w:tc>
          <w:tcPr>
            <w:tcW w:type="dxa" w:w="1728"/>
          </w:tcPr>
          <w:p>
            <w:pPr>
              <w:pStyle w:val="Compact"/>
            </w:pPr>
            <w:r>
              <w:rPr>
                <w:sz w:val="18"/>
              </w:rPr>
              <w:t xml:space="preserve">S3 hard; S1,S2 soft</w:t>
            </w:r>
          </w:p>
        </w:tc>
      </w:tr>
      <w:tr>
        <w:tc>
          <w:tcPr>
            <w:tcW w:type="dxa" w:w="1656"/>
          </w:tcPr>
          <w:p>
            <w:pPr>
              <w:pStyle w:val="Compact"/>
            </w:pPr>
            <w:r>
              <w:rPr>
                <w:sz w:val="18"/>
              </w:rPr>
              <w:t xml:space="preserve">100821-1</w:t>
            </w:r>
          </w:p>
        </w:tc>
        <w:tc>
          <w:tcPr>
            <w:tcW w:type="dxa" w:w="1728"/>
          </w:tcPr>
          <w:p>
            <w:pPr>
              <w:pStyle w:val="Compact"/>
            </w:pPr>
            <w:r>
              <w:rPr>
                <w:sz w:val="18"/>
              </w:rPr>
              <w:t xml:space="preserve">NCC north margin</w:t>
            </w:r>
          </w:p>
        </w:tc>
        <w:tc>
          <w:tcPr>
            <w:tcW w:type="dxa" w:w="1296"/>
          </w:tcPr>
          <w:p>
            <w:pPr>
              <w:pStyle w:val="Compact"/>
            </w:pPr>
            <w:r>
              <w:rPr>
                <w:sz w:val="18"/>
              </w:rPr>
              <w:t xml:space="preserve">Tuchengzi</w:t>
            </w:r>
          </w:p>
        </w:tc>
        <w:tc>
          <w:tcPr>
            <w:tcW w:type="dxa" w:w="864"/>
          </w:tcPr>
          <w:p>
            <w:pPr>
              <w:pStyle w:val="Compact"/>
            </w:pPr>
            <w:r>
              <w:rPr>
                <w:sz w:val="18"/>
              </w:rPr>
              <w:t xml:space="preserve">40.733</w:t>
            </w:r>
          </w:p>
        </w:tc>
        <w:tc>
          <w:tcPr>
            <w:tcW w:type="dxa" w:w="936"/>
          </w:tcPr>
          <w:p>
            <w:pPr>
              <w:pStyle w:val="Compact"/>
            </w:pPr>
            <w:r>
              <w:rPr>
                <w:sz w:val="18"/>
              </w:rPr>
              <w:t xml:space="preserve">113.817</w:t>
            </w:r>
          </w:p>
        </w:tc>
        <w:tc>
          <w:tcPr>
            <w:tcW w:type="dxa" w:w="648"/>
          </w:tcPr>
          <w:p>
            <w:pPr>
              <w:pStyle w:val="Compact"/>
            </w:pPr>
            <w:r>
              <w:rPr>
                <w:sz w:val="18"/>
              </w:rPr>
              <w:t xml:space="preserve">82</w:t>
            </w:r>
          </w:p>
        </w:tc>
        <w:tc>
          <w:tcPr>
            <w:tcW w:type="dxa" w:w="1368"/>
          </w:tcPr>
          <w:p>
            <w:pPr>
              <w:pStyle w:val="Compact"/>
            </w:pPr>
            <w:r>
              <w:rPr>
                <w:sz w:val="18"/>
              </w:rPr>
              <w:t xml:space="preserve">0.012 ± 0.001</w:t>
            </w:r>
          </w:p>
        </w:tc>
        <w:tc>
          <w:tcPr>
            <w:tcW w:type="dxa" w:w="1368"/>
          </w:tcPr>
          <w:p>
            <w:pPr>
              <w:pStyle w:val="Compact"/>
            </w:pPr>
            <w:r>
              <w:rPr>
                <w:sz w:val="18"/>
              </w:rPr>
              <w:t xml:space="preserve">0.545 ± 0.055</w:t>
            </w:r>
          </w:p>
        </w:tc>
        <w:tc>
          <w:tcPr>
            <w:tcW w:type="dxa" w:w="1368"/>
          </w:tcPr>
          <w:p>
            <w:pPr>
              <w:pStyle w:val="Compact"/>
            </w:pPr>
            <w:r>
              <w:rPr>
                <w:sz w:val="18"/>
              </w:rPr>
              <w:t xml:space="preserve">0.443 ± 0.055</w:t>
            </w:r>
          </w:p>
        </w:tc>
        <w:tc>
          <w:tcPr>
            <w:tcW w:type="dxa" w:w="1728"/>
          </w:tcPr>
          <w:p>
            <w:pPr>
              <w:pStyle w:val="Compact"/>
            </w:pPr>
            <w:r>
              <w:rPr>
                <w:sz w:val="18"/>
              </w:rPr>
              <w:t xml:space="preserve">S1 hard; S2,S3 soft</w:t>
            </w:r>
          </w:p>
        </w:tc>
      </w:tr>
      <w:tr>
        <w:tc>
          <w:tcPr>
            <w:tcW w:type="dxa" w:w="1656"/>
          </w:tcPr>
          <w:p>
            <w:pPr>
              <w:pStyle w:val="Compact"/>
            </w:pPr>
            <w:r>
              <w:rPr>
                <w:sz w:val="18"/>
              </w:rPr>
              <w:t xml:space="preserve">100821-3</w:t>
            </w:r>
          </w:p>
        </w:tc>
        <w:tc>
          <w:tcPr>
            <w:tcW w:type="dxa" w:w="1728"/>
          </w:tcPr>
          <w:p>
            <w:pPr>
              <w:pStyle w:val="Compact"/>
            </w:pPr>
            <w:r>
              <w:rPr>
                <w:sz w:val="18"/>
              </w:rPr>
              <w:t xml:space="preserve">NCC north margin</w:t>
            </w:r>
          </w:p>
        </w:tc>
        <w:tc>
          <w:tcPr>
            <w:tcW w:type="dxa" w:w="1296"/>
          </w:tcPr>
          <w:p>
            <w:pPr>
              <w:pStyle w:val="Compact"/>
            </w:pPr>
            <w:r>
              <w:rPr>
                <w:sz w:val="18"/>
              </w:rPr>
              <w:t xml:space="preserve">Tuchengzi</w:t>
            </w:r>
          </w:p>
        </w:tc>
        <w:tc>
          <w:tcPr>
            <w:tcW w:type="dxa" w:w="864"/>
          </w:tcPr>
          <w:p>
            <w:pPr>
              <w:pStyle w:val="Compact"/>
            </w:pPr>
            <w:r>
              <w:rPr>
                <w:sz w:val="18"/>
              </w:rPr>
              <w:t xml:space="preserve">40.733</w:t>
            </w:r>
          </w:p>
        </w:tc>
        <w:tc>
          <w:tcPr>
            <w:tcW w:type="dxa" w:w="936"/>
          </w:tcPr>
          <w:p>
            <w:pPr>
              <w:pStyle w:val="Compact"/>
            </w:pPr>
            <w:r>
              <w:rPr>
                <w:sz w:val="18"/>
              </w:rPr>
              <w:t xml:space="preserve">113.817</w:t>
            </w:r>
          </w:p>
        </w:tc>
        <w:tc>
          <w:tcPr>
            <w:tcW w:type="dxa" w:w="648"/>
          </w:tcPr>
          <w:p>
            <w:pPr>
              <w:pStyle w:val="Compact"/>
            </w:pPr>
            <w:r>
              <w:rPr>
                <w:sz w:val="18"/>
              </w:rPr>
              <w:t xml:space="preserve">111</w:t>
            </w:r>
          </w:p>
        </w:tc>
        <w:tc>
          <w:tcPr>
            <w:tcW w:type="dxa" w:w="1368"/>
          </w:tcPr>
          <w:p>
            <w:pPr>
              <w:pStyle w:val="Compact"/>
            </w:pPr>
            <w:r>
              <w:rPr>
                <w:sz w:val="18"/>
              </w:rPr>
              <w:t xml:space="preserve">0.009 ± 0.001</w:t>
            </w:r>
          </w:p>
        </w:tc>
        <w:tc>
          <w:tcPr>
            <w:tcW w:type="dxa" w:w="1368"/>
          </w:tcPr>
          <w:p>
            <w:pPr>
              <w:pStyle w:val="Compact"/>
            </w:pPr>
            <w:r>
              <w:rPr>
                <w:sz w:val="18"/>
              </w:rPr>
              <w:t xml:space="preserve">0.304 ± 0.042</w:t>
            </w:r>
          </w:p>
        </w:tc>
        <w:tc>
          <w:tcPr>
            <w:tcW w:type="dxa" w:w="1368"/>
          </w:tcPr>
          <w:p>
            <w:pPr>
              <w:pStyle w:val="Compact"/>
            </w:pPr>
            <w:r>
              <w:rPr>
                <w:sz w:val="18"/>
              </w:rPr>
              <w:t xml:space="preserve">0.687 ± 0.042</w:t>
            </w:r>
          </w:p>
        </w:tc>
        <w:tc>
          <w:tcPr>
            <w:tcW w:type="dxa" w:w="1728"/>
          </w:tcPr>
          <w:p>
            <w:pPr>
              <w:pStyle w:val="Compact"/>
            </w:pPr>
            <w:r>
              <w:rPr>
                <w:sz w:val="18"/>
              </w:rPr>
              <w:t xml:space="preserve">S1 hard; S2,S3 soft</w:t>
            </w:r>
          </w:p>
        </w:tc>
      </w:tr>
      <w:tr>
        <w:tc>
          <w:tcPr>
            <w:tcW w:type="dxa" w:w="1656"/>
          </w:tcPr>
          <w:p>
            <w:pPr>
              <w:pStyle w:val="Compact"/>
            </w:pPr>
            <w:r>
              <w:rPr>
                <w:sz w:val="18"/>
              </w:rPr>
              <w:t xml:space="preserve">SL0929</w:t>
            </w:r>
          </w:p>
        </w:tc>
        <w:tc>
          <w:tcPr>
            <w:tcW w:type="dxa" w:w="1728"/>
          </w:tcPr>
          <w:p>
            <w:pPr>
              <w:pStyle w:val="Compact"/>
            </w:pPr>
            <w:r>
              <w:rPr>
                <w:sz w:val="18"/>
              </w:rPr>
              <w:t xml:space="preserve">Songliao</w:t>
            </w:r>
          </w:p>
        </w:tc>
        <w:tc>
          <w:tcPr>
            <w:tcW w:type="dxa" w:w="1296"/>
          </w:tcPr>
          <w:p>
            <w:pPr>
              <w:pStyle w:val="Compact"/>
            </w:pPr>
            <w:r>
              <w:rPr>
                <w:sz w:val="18"/>
              </w:rPr>
              <w:t xml:space="preserve">Denglouku</w:t>
            </w:r>
          </w:p>
        </w:tc>
        <w:tc>
          <w:tcPr>
            <w:tcW w:type="dxa" w:w="864"/>
          </w:tcPr>
          <w:p>
            <w:pPr>
              <w:pStyle w:val="Compact"/>
            </w:pPr>
            <w:r>
              <w:rPr>
                <w:sz w:val="18"/>
              </w:rPr>
              <w:t xml:space="preserve">43.090</w:t>
            </w:r>
          </w:p>
        </w:tc>
        <w:tc>
          <w:tcPr>
            <w:tcW w:type="dxa" w:w="936"/>
          </w:tcPr>
          <w:p>
            <w:pPr>
              <w:pStyle w:val="Compact"/>
            </w:pPr>
            <w:r>
              <w:rPr>
                <w:sz w:val="18"/>
              </w:rPr>
              <w:t xml:space="preserve">124.488</w:t>
            </w:r>
          </w:p>
        </w:tc>
        <w:tc>
          <w:tcPr>
            <w:tcW w:type="dxa" w:w="648"/>
          </w:tcPr>
          <w:p>
            <w:pPr>
              <w:pStyle w:val="Compact"/>
            </w:pPr>
            <w:r>
              <w:rPr>
                <w:sz w:val="18"/>
              </w:rPr>
              <w:t xml:space="preserve">76</w:t>
            </w:r>
          </w:p>
        </w:tc>
        <w:tc>
          <w:tcPr>
            <w:tcW w:type="dxa" w:w="1368"/>
          </w:tcPr>
          <w:p>
            <w:pPr>
              <w:pStyle w:val="Compact"/>
            </w:pPr>
            <w:r>
              <w:rPr>
                <w:sz w:val="18"/>
              </w:rPr>
              <w:t xml:space="preserve">0.326 ± 0.101</w:t>
            </w:r>
          </w:p>
        </w:tc>
        <w:tc>
          <w:tcPr>
            <w:tcW w:type="dxa" w:w="1368"/>
          </w:tcPr>
          <w:p>
            <w:pPr>
              <w:pStyle w:val="Compact"/>
            </w:pPr>
            <w:r>
              <w:rPr>
                <w:sz w:val="18"/>
              </w:rPr>
              <w:t xml:space="preserve">0.587 ± 0.105</w:t>
            </w:r>
          </w:p>
        </w:tc>
        <w:tc>
          <w:tcPr>
            <w:tcW w:type="dxa" w:w="1368"/>
          </w:tcPr>
          <w:p>
            <w:pPr>
              <w:pStyle w:val="Compact"/>
            </w:pPr>
            <w:r>
              <w:rPr>
                <w:sz w:val="18"/>
              </w:rPr>
              <w:t xml:space="preserve">0.087 ± 0.031</w:t>
            </w:r>
          </w:p>
        </w:tc>
        <w:tc>
          <w:tcPr>
            <w:tcW w:type="dxa" w:w="1728"/>
          </w:tcPr>
          <w:p>
            <w:pPr>
              <w:pStyle w:val="Compact"/>
            </w:pPr>
            <w:r>
              <w:rPr>
                <w:sz w:val="18"/>
              </w:rPr>
              <w:t xml:space="preserve">S1,S2 very soft; S3 soft</w:t>
            </w:r>
          </w:p>
        </w:tc>
      </w:tr>
      <w:tr>
        <w:tc>
          <w:tcPr>
            <w:tcW w:type="dxa" w:w="1656"/>
          </w:tcPr>
          <w:p>
            <w:pPr>
              <w:pStyle w:val="Compact"/>
            </w:pPr>
            <w:r>
              <w:rPr>
                <w:sz w:val="18"/>
              </w:rPr>
              <w:t xml:space="preserve">SL0930</w:t>
            </w:r>
          </w:p>
        </w:tc>
        <w:tc>
          <w:tcPr>
            <w:tcW w:type="dxa" w:w="1728"/>
          </w:tcPr>
          <w:p>
            <w:pPr>
              <w:pStyle w:val="Compact"/>
            </w:pPr>
            <w:r>
              <w:rPr>
                <w:sz w:val="18"/>
              </w:rPr>
              <w:t xml:space="preserve">Songliao</w:t>
            </w:r>
          </w:p>
        </w:tc>
        <w:tc>
          <w:tcPr>
            <w:tcW w:type="dxa" w:w="1296"/>
          </w:tcPr>
          <w:p>
            <w:pPr>
              <w:pStyle w:val="Compact"/>
            </w:pPr>
            <w:r>
              <w:rPr>
                <w:sz w:val="18"/>
              </w:rPr>
              <w:t xml:space="preserve">Denglouku</w:t>
            </w:r>
          </w:p>
        </w:tc>
        <w:tc>
          <w:tcPr>
            <w:tcW w:type="dxa" w:w="864"/>
          </w:tcPr>
          <w:p>
            <w:pPr>
              <w:pStyle w:val="Compact"/>
            </w:pPr>
            <w:r>
              <w:rPr>
                <w:sz w:val="18"/>
              </w:rPr>
              <w:t xml:space="preserve">43.100</w:t>
            </w:r>
          </w:p>
        </w:tc>
        <w:tc>
          <w:tcPr>
            <w:tcW w:type="dxa" w:w="936"/>
          </w:tcPr>
          <w:p>
            <w:pPr>
              <w:pStyle w:val="Compact"/>
            </w:pPr>
            <w:r>
              <w:rPr>
                <w:sz w:val="18"/>
              </w:rPr>
              <w:t xml:space="preserve">124.692</w:t>
            </w:r>
          </w:p>
        </w:tc>
        <w:tc>
          <w:tcPr>
            <w:tcW w:type="dxa" w:w="648"/>
          </w:tcPr>
          <w:p>
            <w:pPr>
              <w:pStyle w:val="Compact"/>
            </w:pPr>
            <w:r>
              <w:rPr>
                <w:sz w:val="18"/>
              </w:rPr>
              <w:t xml:space="preserve">74</w:t>
            </w:r>
          </w:p>
        </w:tc>
        <w:tc>
          <w:tcPr>
            <w:tcW w:type="dxa" w:w="1368"/>
          </w:tcPr>
          <w:p>
            <w:pPr>
              <w:pStyle w:val="Compact"/>
            </w:pPr>
            <w:r>
              <w:rPr>
                <w:sz w:val="18"/>
              </w:rPr>
              <w:t xml:space="preserve">0.337 ± 0.055</w:t>
            </w:r>
          </w:p>
        </w:tc>
        <w:tc>
          <w:tcPr>
            <w:tcW w:type="dxa" w:w="1368"/>
          </w:tcPr>
          <w:p>
            <w:pPr>
              <w:pStyle w:val="Compact"/>
            </w:pPr>
            <w:r>
              <w:rPr>
                <w:sz w:val="18"/>
              </w:rPr>
              <w:t xml:space="preserve">0.560 ± 0.061</w:t>
            </w:r>
          </w:p>
        </w:tc>
        <w:tc>
          <w:tcPr>
            <w:tcW w:type="dxa" w:w="1368"/>
          </w:tcPr>
          <w:p>
            <w:pPr>
              <w:pStyle w:val="Compact"/>
            </w:pPr>
            <w:r>
              <w:rPr>
                <w:sz w:val="18"/>
              </w:rPr>
              <w:t xml:space="preserve">0.103 ± 0.031</w:t>
            </w:r>
          </w:p>
        </w:tc>
        <w:tc>
          <w:tcPr>
            <w:tcW w:type="dxa" w:w="1728"/>
          </w:tcPr>
          <w:p>
            <w:pPr>
              <w:pStyle w:val="Compact"/>
            </w:pPr>
            <w:r>
              <w:rPr>
                <w:sz w:val="18"/>
              </w:rPr>
              <w:t xml:space="preserve">all soft</w:t>
            </w:r>
          </w:p>
        </w:tc>
      </w:tr>
      <w:tr>
        <w:tc>
          <w:tcPr>
            <w:tcW w:type="dxa" w:w="1656"/>
          </w:tcPr>
          <w:p>
            <w:pPr>
              <w:pStyle w:val="Compact"/>
            </w:pPr>
            <w:r>
              <w:rPr>
                <w:sz w:val="18"/>
              </w:rPr>
              <w:t xml:space="preserve">SL0931</w:t>
            </w:r>
          </w:p>
        </w:tc>
        <w:tc>
          <w:tcPr>
            <w:tcW w:type="dxa" w:w="1728"/>
          </w:tcPr>
          <w:p>
            <w:pPr>
              <w:pStyle w:val="Compact"/>
            </w:pPr>
            <w:r>
              <w:rPr>
                <w:sz w:val="18"/>
              </w:rPr>
              <w:t xml:space="preserve">Songliao</w:t>
            </w:r>
          </w:p>
        </w:tc>
        <w:tc>
          <w:tcPr>
            <w:tcW w:type="dxa" w:w="1296"/>
          </w:tcPr>
          <w:p>
            <w:pPr>
              <w:pStyle w:val="Compact"/>
            </w:pPr>
            <w:r>
              <w:rPr>
                <w:sz w:val="18"/>
              </w:rPr>
              <w:t xml:space="preserve">Denglouku</w:t>
            </w:r>
          </w:p>
        </w:tc>
        <w:tc>
          <w:tcPr>
            <w:tcW w:type="dxa" w:w="864"/>
          </w:tcPr>
          <w:p>
            <w:pPr>
              <w:pStyle w:val="Compact"/>
            </w:pPr>
            <w:r>
              <w:rPr>
                <w:sz w:val="18"/>
              </w:rPr>
              <w:t xml:space="preserve">43.100</w:t>
            </w:r>
          </w:p>
        </w:tc>
        <w:tc>
          <w:tcPr>
            <w:tcW w:type="dxa" w:w="936"/>
          </w:tcPr>
          <w:p>
            <w:pPr>
              <w:pStyle w:val="Compact"/>
            </w:pPr>
            <w:r>
              <w:rPr>
                <w:sz w:val="18"/>
              </w:rPr>
              <w:t xml:space="preserve">124.696</w:t>
            </w:r>
          </w:p>
        </w:tc>
        <w:tc>
          <w:tcPr>
            <w:tcW w:type="dxa" w:w="648"/>
          </w:tcPr>
          <w:p>
            <w:pPr>
              <w:pStyle w:val="Compact"/>
            </w:pPr>
            <w:r>
              <w:rPr>
                <w:sz w:val="18"/>
              </w:rPr>
              <w:t xml:space="preserve">81</w:t>
            </w:r>
          </w:p>
        </w:tc>
        <w:tc>
          <w:tcPr>
            <w:tcW w:type="dxa" w:w="1368"/>
          </w:tcPr>
          <w:p>
            <w:pPr>
              <w:pStyle w:val="Compact"/>
            </w:pPr>
            <w:r>
              <w:rPr>
                <w:sz w:val="18"/>
              </w:rPr>
              <w:t xml:space="preserve">0.214 ± 0.052</w:t>
            </w:r>
          </w:p>
        </w:tc>
        <w:tc>
          <w:tcPr>
            <w:tcW w:type="dxa" w:w="1368"/>
          </w:tcPr>
          <w:p>
            <w:pPr>
              <w:pStyle w:val="Compact"/>
            </w:pPr>
            <w:r>
              <w:rPr>
                <w:sz w:val="18"/>
              </w:rPr>
              <w:t xml:space="preserve">0.343 ± 0.057</w:t>
            </w:r>
          </w:p>
        </w:tc>
        <w:tc>
          <w:tcPr>
            <w:tcW w:type="dxa" w:w="1368"/>
          </w:tcPr>
          <w:p>
            <w:pPr>
              <w:pStyle w:val="Compact"/>
            </w:pPr>
            <w:r>
              <w:rPr>
                <w:sz w:val="18"/>
              </w:rPr>
              <w:t xml:space="preserve">0.443 ± 0.047</w:t>
            </w:r>
          </w:p>
        </w:tc>
        <w:tc>
          <w:tcPr>
            <w:tcW w:type="dxa" w:w="1728"/>
          </w:tcPr>
          <w:p>
            <w:pPr>
              <w:pStyle w:val="Compact"/>
            </w:pPr>
            <w:r>
              <w:rPr>
                <w:sz w:val="18"/>
              </w:rPr>
              <w:t xml:space="preserve">all soft</w:t>
            </w:r>
          </w:p>
        </w:tc>
      </w:tr>
      <w:tr>
        <w:tc>
          <w:tcPr>
            <w:tcW w:type="dxa" w:w="1656"/>
          </w:tcPr>
          <w:p>
            <w:pPr>
              <w:pStyle w:val="Compact"/>
            </w:pPr>
            <w:r>
              <w:rPr>
                <w:sz w:val="18"/>
              </w:rPr>
              <w:t xml:space="preserve">SL0932</w:t>
            </w:r>
          </w:p>
        </w:tc>
        <w:tc>
          <w:tcPr>
            <w:tcW w:type="dxa" w:w="1728"/>
          </w:tcPr>
          <w:p>
            <w:pPr>
              <w:pStyle w:val="Compact"/>
            </w:pPr>
            <w:r>
              <w:rPr>
                <w:sz w:val="18"/>
              </w:rPr>
              <w:t xml:space="preserve">Songliao</w:t>
            </w:r>
          </w:p>
        </w:tc>
        <w:tc>
          <w:tcPr>
            <w:tcW w:type="dxa" w:w="1296"/>
          </w:tcPr>
          <w:p>
            <w:pPr>
              <w:pStyle w:val="Compact"/>
            </w:pPr>
            <w:r>
              <w:rPr>
                <w:sz w:val="18"/>
              </w:rPr>
              <w:t xml:space="preserve">Quantou</w:t>
            </w:r>
          </w:p>
        </w:tc>
        <w:tc>
          <w:tcPr>
            <w:tcW w:type="dxa" w:w="864"/>
          </w:tcPr>
          <w:p>
            <w:pPr>
              <w:pStyle w:val="Compact"/>
            </w:pPr>
            <w:r>
              <w:rPr>
                <w:sz w:val="18"/>
              </w:rPr>
              <w:t xml:space="preserve">43.100</w:t>
            </w:r>
          </w:p>
        </w:tc>
        <w:tc>
          <w:tcPr>
            <w:tcW w:type="dxa" w:w="936"/>
          </w:tcPr>
          <w:p>
            <w:pPr>
              <w:pStyle w:val="Compact"/>
            </w:pPr>
            <w:r>
              <w:rPr>
                <w:sz w:val="18"/>
              </w:rPr>
              <w:t xml:space="preserve">124.701</w:t>
            </w:r>
          </w:p>
        </w:tc>
        <w:tc>
          <w:tcPr>
            <w:tcW w:type="dxa" w:w="648"/>
          </w:tcPr>
          <w:p>
            <w:pPr>
              <w:pStyle w:val="Compact"/>
            </w:pPr>
            <w:r>
              <w:rPr>
                <w:sz w:val="18"/>
              </w:rPr>
              <w:t xml:space="preserve">75</w:t>
            </w:r>
          </w:p>
        </w:tc>
        <w:tc>
          <w:tcPr>
            <w:tcW w:type="dxa" w:w="1368"/>
          </w:tcPr>
          <w:p>
            <w:pPr>
              <w:pStyle w:val="Compact"/>
            </w:pPr>
            <w:r>
              <w:rPr>
                <w:sz w:val="18"/>
              </w:rPr>
              <w:t xml:space="preserve">0.071 ± 0.026</w:t>
            </w:r>
          </w:p>
        </w:tc>
        <w:tc>
          <w:tcPr>
            <w:tcW w:type="dxa" w:w="1368"/>
          </w:tcPr>
          <w:p>
            <w:pPr>
              <w:pStyle w:val="Compact"/>
            </w:pPr>
            <w:r>
              <w:rPr>
                <w:sz w:val="18"/>
              </w:rPr>
              <w:t xml:space="preserve">0.057 ± 0.023</w:t>
            </w:r>
          </w:p>
        </w:tc>
        <w:tc>
          <w:tcPr>
            <w:tcW w:type="dxa" w:w="1368"/>
          </w:tcPr>
          <w:p>
            <w:pPr>
              <w:pStyle w:val="Compact"/>
            </w:pPr>
            <w:r>
              <w:rPr>
                <w:sz w:val="18"/>
              </w:rPr>
              <w:t xml:space="preserve">0.872 ± 0.034</w:t>
            </w:r>
          </w:p>
        </w:tc>
        <w:tc>
          <w:tcPr>
            <w:tcW w:type="dxa" w:w="1728"/>
          </w:tcPr>
          <w:p>
            <w:pPr>
              <w:pStyle w:val="Compact"/>
            </w:pPr>
            <w:r>
              <w:rPr>
                <w:sz w:val="18"/>
              </w:rPr>
              <w:t xml:space="preserve">S1,S2 hard; S3 soft</w:t>
            </w:r>
          </w:p>
        </w:tc>
      </w:tr>
      <w:tr>
        <w:tc>
          <w:tcPr>
            <w:tcW w:type="dxa" w:w="1656"/>
          </w:tcPr>
          <w:p>
            <w:pPr>
              <w:pStyle w:val="Compact"/>
            </w:pPr>
            <w:r>
              <w:rPr>
                <w:sz w:val="18"/>
              </w:rPr>
              <w:t xml:space="preserve">R31354-S12518</w:t>
            </w:r>
          </w:p>
        </w:tc>
        <w:tc>
          <w:tcPr>
            <w:tcW w:type="dxa" w:w="1728"/>
          </w:tcPr>
          <w:p>
            <w:pPr>
              <w:pStyle w:val="Compact"/>
            </w:pPr>
            <w:r>
              <w:rPr>
                <w:sz w:val="18"/>
              </w:rPr>
              <w:t xml:space="preserve">Songliao</w:t>
            </w:r>
          </w:p>
        </w:tc>
        <w:tc>
          <w:tcPr>
            <w:tcW w:type="dxa" w:w="1296"/>
          </w:tcPr>
          <w:p>
            <w:pPr>
              <w:pStyle w:val="Compact"/>
            </w:pPr>
            <w:r>
              <w:rPr>
                <w:sz w:val="18"/>
              </w:rPr>
              <w:t xml:space="preserve">—</w:t>
            </w:r>
          </w:p>
        </w:tc>
        <w:tc>
          <w:tcPr>
            <w:tcW w:type="dxa" w:w="864"/>
          </w:tcPr>
          <w:p>
            <w:pPr>
              <w:pStyle w:val="Compact"/>
            </w:pPr>
            <w:r>
              <w:rPr>
                <w:sz w:val="18"/>
              </w:rPr>
              <w:t xml:space="preserve">43.290</w:t>
            </w:r>
          </w:p>
        </w:tc>
        <w:tc>
          <w:tcPr>
            <w:tcW w:type="dxa" w:w="936"/>
          </w:tcPr>
          <w:p>
            <w:pPr>
              <w:pStyle w:val="Compact"/>
            </w:pPr>
            <w:r>
              <w:rPr>
                <w:sz w:val="18"/>
              </w:rPr>
              <w:t xml:space="preserve">122.318</w:t>
            </w:r>
          </w:p>
        </w:tc>
        <w:tc>
          <w:tcPr>
            <w:tcW w:type="dxa" w:w="648"/>
          </w:tcPr>
          <w:p>
            <w:pPr>
              <w:pStyle w:val="Compact"/>
            </w:pPr>
            <w:r>
              <w:rPr>
                <w:sz w:val="18"/>
              </w:rPr>
              <w:t xml:space="preserve">79</w:t>
            </w:r>
          </w:p>
        </w:tc>
        <w:tc>
          <w:tcPr>
            <w:tcW w:type="dxa" w:w="1368"/>
          </w:tcPr>
          <w:p>
            <w:pPr>
              <w:pStyle w:val="Compact"/>
            </w:pPr>
            <w:r>
              <w:rPr>
                <w:sz w:val="18"/>
              </w:rPr>
              <w:t xml:space="preserve">0.606 ± 0.069</w:t>
            </w:r>
          </w:p>
        </w:tc>
        <w:tc>
          <w:tcPr>
            <w:tcW w:type="dxa" w:w="1368"/>
          </w:tcPr>
          <w:p>
            <w:pPr>
              <w:pStyle w:val="Compact"/>
            </w:pPr>
            <w:r>
              <w:rPr>
                <w:sz w:val="18"/>
              </w:rPr>
              <w:t xml:space="preserve">0.379 ± 0.069</w:t>
            </w:r>
          </w:p>
        </w:tc>
        <w:tc>
          <w:tcPr>
            <w:tcW w:type="dxa" w:w="1368"/>
          </w:tcPr>
          <w:p>
            <w:pPr>
              <w:pStyle w:val="Compact"/>
            </w:pPr>
            <w:r>
              <w:rPr>
                <w:sz w:val="18"/>
              </w:rPr>
              <w:t xml:space="preserve">0.015 ± 0.007</w:t>
            </w:r>
          </w:p>
        </w:tc>
        <w:tc>
          <w:tcPr>
            <w:tcW w:type="dxa" w:w="1728"/>
          </w:tcPr>
          <w:p>
            <w:pPr>
              <w:pStyle w:val="Compact"/>
            </w:pPr>
            <w:r>
              <w:rPr>
                <w:sz w:val="18"/>
              </w:rPr>
              <w:t xml:space="preserve">S3 hard; S1,S2 soft</w:t>
            </w:r>
          </w:p>
        </w:tc>
      </w:tr>
      <w:tr>
        <w:tc>
          <w:tcPr>
            <w:tcW w:type="dxa" w:w="1656"/>
          </w:tcPr>
          <w:p>
            <w:pPr>
              <w:pStyle w:val="Compact"/>
            </w:pPr>
            <w:r>
              <w:rPr>
                <w:sz w:val="18"/>
              </w:rPr>
              <w:t xml:space="preserve">R31354-S12519</w:t>
            </w:r>
          </w:p>
        </w:tc>
        <w:tc>
          <w:tcPr>
            <w:tcW w:type="dxa" w:w="1728"/>
          </w:tcPr>
          <w:p>
            <w:pPr>
              <w:pStyle w:val="Compact"/>
            </w:pPr>
            <w:r>
              <w:rPr>
                <w:sz w:val="18"/>
              </w:rPr>
              <w:t xml:space="preserve">Songliao</w:t>
            </w:r>
          </w:p>
        </w:tc>
        <w:tc>
          <w:tcPr>
            <w:tcW w:type="dxa" w:w="1296"/>
          </w:tcPr>
          <w:p>
            <w:pPr>
              <w:pStyle w:val="Compact"/>
            </w:pPr>
            <w:r>
              <w:rPr>
                <w:sz w:val="18"/>
              </w:rPr>
              <w:t xml:space="preserve">—</w:t>
            </w:r>
          </w:p>
        </w:tc>
        <w:tc>
          <w:tcPr>
            <w:tcW w:type="dxa" w:w="864"/>
          </w:tcPr>
          <w:p>
            <w:pPr>
              <w:pStyle w:val="Compact"/>
            </w:pPr>
            <w:r>
              <w:rPr>
                <w:sz w:val="18"/>
              </w:rPr>
              <w:t xml:space="preserve">43.290</w:t>
            </w:r>
          </w:p>
        </w:tc>
        <w:tc>
          <w:tcPr>
            <w:tcW w:type="dxa" w:w="936"/>
          </w:tcPr>
          <w:p>
            <w:pPr>
              <w:pStyle w:val="Compact"/>
            </w:pPr>
            <w:r>
              <w:rPr>
                <w:sz w:val="18"/>
              </w:rPr>
              <w:t xml:space="preserve">122.318</w:t>
            </w:r>
          </w:p>
        </w:tc>
        <w:tc>
          <w:tcPr>
            <w:tcW w:type="dxa" w:w="648"/>
          </w:tcPr>
          <w:p>
            <w:pPr>
              <w:pStyle w:val="Compact"/>
            </w:pPr>
            <w:r>
              <w:rPr>
                <w:sz w:val="18"/>
              </w:rPr>
              <w:t xml:space="preserve">78</w:t>
            </w:r>
          </w:p>
        </w:tc>
        <w:tc>
          <w:tcPr>
            <w:tcW w:type="dxa" w:w="1368"/>
          </w:tcPr>
          <w:p>
            <w:pPr>
              <w:pStyle w:val="Compact"/>
            </w:pPr>
            <w:r>
              <w:rPr>
                <w:sz w:val="18"/>
              </w:rPr>
              <w:t xml:space="preserve">0.690 ± 0.060</w:t>
            </w:r>
          </w:p>
        </w:tc>
        <w:tc>
          <w:tcPr>
            <w:tcW w:type="dxa" w:w="1368"/>
          </w:tcPr>
          <w:p>
            <w:pPr>
              <w:pStyle w:val="Compact"/>
            </w:pPr>
            <w:r>
              <w:rPr>
                <w:sz w:val="18"/>
              </w:rPr>
              <w:t xml:space="preserve">0.298 ± 0.060</w:t>
            </w:r>
          </w:p>
        </w:tc>
        <w:tc>
          <w:tcPr>
            <w:tcW w:type="dxa" w:w="1368"/>
          </w:tcPr>
          <w:p>
            <w:pPr>
              <w:pStyle w:val="Compact"/>
            </w:pPr>
            <w:r>
              <w:rPr>
                <w:sz w:val="18"/>
              </w:rPr>
              <w:t xml:space="preserve">0.012 ± 0.000</w:t>
            </w:r>
          </w:p>
        </w:tc>
        <w:tc>
          <w:tcPr>
            <w:tcW w:type="dxa" w:w="1728"/>
          </w:tcPr>
          <w:p>
            <w:pPr>
              <w:pStyle w:val="Compact"/>
            </w:pPr>
            <w:r>
              <w:rPr>
                <w:sz w:val="18"/>
              </w:rPr>
              <w:t xml:space="preserve">S3 hard; S1,S2 soft</w:t>
            </w:r>
          </w:p>
        </w:tc>
      </w:tr>
      <w:tr>
        <w:tc>
          <w:tcPr>
            <w:tcW w:type="dxa" w:w="1656"/>
          </w:tcPr>
          <w:p>
            <w:pPr>
              <w:pStyle w:val="Compact"/>
            </w:pPr>
            <w:r>
              <w:rPr>
                <w:sz w:val="18"/>
              </w:rPr>
              <w:t xml:space="preserve">R31370-S12650</w:t>
            </w:r>
          </w:p>
        </w:tc>
        <w:tc>
          <w:tcPr>
            <w:tcW w:type="dxa" w:w="1728"/>
          </w:tcPr>
          <w:p>
            <w:pPr>
              <w:pStyle w:val="Compact"/>
            </w:pPr>
            <w:r>
              <w:rPr>
                <w:sz w:val="18"/>
              </w:rPr>
              <w:t xml:space="preserve">Songliao</w:t>
            </w:r>
          </w:p>
        </w:tc>
        <w:tc>
          <w:tcPr>
            <w:tcW w:type="dxa" w:w="1296"/>
          </w:tcPr>
          <w:p>
            <w:pPr>
              <w:pStyle w:val="Compact"/>
            </w:pPr>
            <w:r>
              <w:rPr>
                <w:sz w:val="18"/>
              </w:rPr>
              <w:t xml:space="preserve">—</w:t>
            </w:r>
          </w:p>
        </w:tc>
        <w:tc>
          <w:tcPr>
            <w:tcW w:type="dxa" w:w="864"/>
          </w:tcPr>
          <w:p>
            <w:pPr>
              <w:pStyle w:val="Compact"/>
            </w:pPr>
            <w:r>
              <w:rPr>
                <w:sz w:val="18"/>
              </w:rPr>
              <w:t xml:space="preserve">45.873</w:t>
            </w:r>
          </w:p>
        </w:tc>
        <w:tc>
          <w:tcPr>
            <w:tcW w:type="dxa" w:w="936"/>
          </w:tcPr>
          <w:p>
            <w:pPr>
              <w:pStyle w:val="Compact"/>
            </w:pPr>
            <w:r>
              <w:rPr>
                <w:sz w:val="18"/>
              </w:rPr>
              <w:t xml:space="preserve">125.532</w:t>
            </w:r>
          </w:p>
        </w:tc>
        <w:tc>
          <w:tcPr>
            <w:tcW w:type="dxa" w:w="648"/>
          </w:tcPr>
          <w:p>
            <w:pPr>
              <w:pStyle w:val="Compact"/>
            </w:pPr>
            <w:r>
              <w:rPr>
                <w:sz w:val="18"/>
              </w:rPr>
              <w:t xml:space="preserve">78</w:t>
            </w:r>
          </w:p>
        </w:tc>
        <w:tc>
          <w:tcPr>
            <w:tcW w:type="dxa" w:w="1368"/>
          </w:tcPr>
          <w:p>
            <w:pPr>
              <w:pStyle w:val="Compact"/>
            </w:pPr>
            <w:r>
              <w:rPr>
                <w:sz w:val="18"/>
              </w:rPr>
              <w:t xml:space="preserve">0.460 ± 0.069</w:t>
            </w:r>
          </w:p>
        </w:tc>
        <w:tc>
          <w:tcPr>
            <w:tcW w:type="dxa" w:w="1368"/>
          </w:tcPr>
          <w:p>
            <w:pPr>
              <w:pStyle w:val="Compact"/>
            </w:pPr>
            <w:r>
              <w:rPr>
                <w:sz w:val="18"/>
              </w:rPr>
              <w:t xml:space="preserve">0.528 ± 0.069</w:t>
            </w:r>
          </w:p>
        </w:tc>
        <w:tc>
          <w:tcPr>
            <w:tcW w:type="dxa" w:w="1368"/>
          </w:tcPr>
          <w:p>
            <w:pPr>
              <w:pStyle w:val="Compact"/>
            </w:pPr>
            <w:r>
              <w:rPr>
                <w:sz w:val="18"/>
              </w:rPr>
              <w:t xml:space="preserve">0.012 ± 0.000</w:t>
            </w:r>
          </w:p>
        </w:tc>
        <w:tc>
          <w:tcPr>
            <w:tcW w:type="dxa" w:w="1728"/>
          </w:tcPr>
          <w:p>
            <w:pPr>
              <w:pStyle w:val="Compact"/>
            </w:pPr>
            <w:r>
              <w:rPr>
                <w:sz w:val="18"/>
              </w:rPr>
              <w:t xml:space="preserve">S3 hard; S1,S2 soft</w:t>
            </w:r>
          </w:p>
        </w:tc>
      </w:tr>
      <w:tr>
        <w:tc>
          <w:tcPr>
            <w:tcW w:type="dxa" w:w="1656"/>
          </w:tcPr>
          <w:p>
            <w:pPr>
              <w:pStyle w:val="Compact"/>
            </w:pPr>
            <w:r>
              <w:rPr>
                <w:sz w:val="18"/>
              </w:rPr>
              <w:t xml:space="preserve">R31370-S12651</w:t>
            </w:r>
          </w:p>
        </w:tc>
        <w:tc>
          <w:tcPr>
            <w:tcW w:type="dxa" w:w="1728"/>
          </w:tcPr>
          <w:p>
            <w:pPr>
              <w:pStyle w:val="Compact"/>
            </w:pPr>
            <w:r>
              <w:rPr>
                <w:sz w:val="18"/>
              </w:rPr>
              <w:t xml:space="preserve">Songliao</w:t>
            </w:r>
          </w:p>
        </w:tc>
        <w:tc>
          <w:tcPr>
            <w:tcW w:type="dxa" w:w="1296"/>
          </w:tcPr>
          <w:p>
            <w:pPr>
              <w:pStyle w:val="Compact"/>
            </w:pPr>
            <w:r>
              <w:rPr>
                <w:sz w:val="18"/>
              </w:rPr>
              <w:t xml:space="preserve">—</w:t>
            </w:r>
          </w:p>
        </w:tc>
        <w:tc>
          <w:tcPr>
            <w:tcW w:type="dxa" w:w="864"/>
          </w:tcPr>
          <w:p>
            <w:pPr>
              <w:pStyle w:val="Compact"/>
            </w:pPr>
            <w:r>
              <w:rPr>
                <w:sz w:val="18"/>
              </w:rPr>
              <w:t xml:space="preserve">45.873</w:t>
            </w:r>
          </w:p>
        </w:tc>
        <w:tc>
          <w:tcPr>
            <w:tcW w:type="dxa" w:w="936"/>
          </w:tcPr>
          <w:p>
            <w:pPr>
              <w:pStyle w:val="Compact"/>
            </w:pPr>
            <w:r>
              <w:rPr>
                <w:sz w:val="18"/>
              </w:rPr>
              <w:t xml:space="preserve">125.532</w:t>
            </w:r>
          </w:p>
        </w:tc>
        <w:tc>
          <w:tcPr>
            <w:tcW w:type="dxa" w:w="648"/>
          </w:tcPr>
          <w:p>
            <w:pPr>
              <w:pStyle w:val="Compact"/>
            </w:pPr>
            <w:r>
              <w:rPr>
                <w:sz w:val="18"/>
              </w:rPr>
              <w:t xml:space="preserve">64</w:t>
            </w:r>
          </w:p>
        </w:tc>
        <w:tc>
          <w:tcPr>
            <w:tcW w:type="dxa" w:w="1368"/>
          </w:tcPr>
          <w:p>
            <w:pPr>
              <w:pStyle w:val="Compact"/>
            </w:pPr>
            <w:r>
              <w:rPr>
                <w:sz w:val="18"/>
              </w:rPr>
              <w:t xml:space="preserve">0.567 ± 0.057</w:t>
            </w:r>
          </w:p>
        </w:tc>
        <w:tc>
          <w:tcPr>
            <w:tcW w:type="dxa" w:w="1368"/>
          </w:tcPr>
          <w:p>
            <w:pPr>
              <w:pStyle w:val="Compact"/>
            </w:pPr>
            <w:r>
              <w:rPr>
                <w:sz w:val="18"/>
              </w:rPr>
              <w:t xml:space="preserve">0.418 ± 0.057</w:t>
            </w:r>
          </w:p>
        </w:tc>
        <w:tc>
          <w:tcPr>
            <w:tcW w:type="dxa" w:w="1368"/>
          </w:tcPr>
          <w:p>
            <w:pPr>
              <w:pStyle w:val="Compact"/>
            </w:pPr>
            <w:r>
              <w:rPr>
                <w:sz w:val="18"/>
              </w:rPr>
              <w:t xml:space="preserve">0.015 ± 0.000</w:t>
            </w:r>
          </w:p>
        </w:tc>
        <w:tc>
          <w:tcPr>
            <w:tcW w:type="dxa" w:w="1728"/>
          </w:tcPr>
          <w:p>
            <w:pPr>
              <w:pStyle w:val="Compact"/>
            </w:pPr>
            <w:r>
              <w:rPr>
                <w:sz w:val="18"/>
              </w:rPr>
              <w:t xml:space="preserve">S3 hard; S1,S2 soft</w:t>
            </w:r>
          </w:p>
        </w:tc>
      </w:tr>
      <w:tr>
        <w:tc>
          <w:tcPr>
            <w:tcW w:type="dxa" w:w="1656"/>
          </w:tcPr>
          <w:p>
            <w:pPr>
              <w:pStyle w:val="Compact"/>
            </w:pPr>
            <w:r>
              <w:rPr>
                <w:sz w:val="18"/>
              </w:rPr>
              <w:t xml:space="preserve">R31370-S12652</w:t>
            </w:r>
          </w:p>
        </w:tc>
        <w:tc>
          <w:tcPr>
            <w:tcW w:type="dxa" w:w="1728"/>
          </w:tcPr>
          <w:p>
            <w:pPr>
              <w:pStyle w:val="Compact"/>
            </w:pPr>
            <w:r>
              <w:rPr>
                <w:sz w:val="18"/>
              </w:rPr>
              <w:t xml:space="preserve">Songliao</w:t>
            </w:r>
          </w:p>
        </w:tc>
        <w:tc>
          <w:tcPr>
            <w:tcW w:type="dxa" w:w="1296"/>
          </w:tcPr>
          <w:p>
            <w:pPr>
              <w:pStyle w:val="Compact"/>
            </w:pPr>
            <w:r>
              <w:rPr>
                <w:sz w:val="18"/>
              </w:rPr>
              <w:t xml:space="preserve">—</w:t>
            </w:r>
          </w:p>
        </w:tc>
        <w:tc>
          <w:tcPr>
            <w:tcW w:type="dxa" w:w="864"/>
          </w:tcPr>
          <w:p>
            <w:pPr>
              <w:pStyle w:val="Compact"/>
            </w:pPr>
            <w:r>
              <w:rPr>
                <w:sz w:val="18"/>
              </w:rPr>
              <w:t xml:space="preserve">43.881</w:t>
            </w:r>
          </w:p>
        </w:tc>
        <w:tc>
          <w:tcPr>
            <w:tcW w:type="dxa" w:w="936"/>
          </w:tcPr>
          <w:p>
            <w:pPr>
              <w:pStyle w:val="Compact"/>
            </w:pPr>
            <w:r>
              <w:rPr>
                <w:sz w:val="18"/>
              </w:rPr>
              <w:t xml:space="preserve">125.779</w:t>
            </w:r>
          </w:p>
        </w:tc>
        <w:tc>
          <w:tcPr>
            <w:tcW w:type="dxa" w:w="648"/>
          </w:tcPr>
          <w:p>
            <w:pPr>
              <w:pStyle w:val="Compact"/>
            </w:pPr>
            <w:r>
              <w:rPr>
                <w:sz w:val="18"/>
              </w:rPr>
              <w:t xml:space="preserve">91</w:t>
            </w:r>
          </w:p>
        </w:tc>
        <w:tc>
          <w:tcPr>
            <w:tcW w:type="dxa" w:w="1368"/>
          </w:tcPr>
          <w:p>
            <w:pPr>
              <w:pStyle w:val="Compact"/>
            </w:pPr>
            <w:r>
              <w:rPr>
                <w:sz w:val="18"/>
              </w:rPr>
              <w:t xml:space="preserve">0.247 ± 0.219</w:t>
            </w:r>
          </w:p>
        </w:tc>
        <w:tc>
          <w:tcPr>
            <w:tcW w:type="dxa" w:w="1368"/>
          </w:tcPr>
          <w:p>
            <w:pPr>
              <w:pStyle w:val="Compact"/>
            </w:pPr>
            <w:r>
              <w:rPr>
                <w:sz w:val="18"/>
              </w:rPr>
              <w:t xml:space="preserve">0.659 ± 0.177</w:t>
            </w:r>
          </w:p>
        </w:tc>
        <w:tc>
          <w:tcPr>
            <w:tcW w:type="dxa" w:w="1368"/>
          </w:tcPr>
          <w:p>
            <w:pPr>
              <w:pStyle w:val="Compact"/>
            </w:pPr>
            <w:r>
              <w:rPr>
                <w:sz w:val="18"/>
              </w:rPr>
              <w:t xml:space="preserve">0.093 ± 0.063</w:t>
            </w:r>
          </w:p>
        </w:tc>
        <w:tc>
          <w:tcPr>
            <w:tcW w:type="dxa" w:w="1728"/>
          </w:tcPr>
          <w:p>
            <w:pPr>
              <w:pStyle w:val="Compact"/>
            </w:pPr>
            <w:r>
              <w:rPr>
                <w:sz w:val="18"/>
              </w:rPr>
              <w:t xml:space="preserve">S1,S2 very soft; S3 soft</w:t>
            </w:r>
          </w:p>
        </w:tc>
      </w:tr>
      <w:tr>
        <w:tc>
          <w:tcPr>
            <w:tcW w:type="dxa" w:w="1656"/>
          </w:tcPr>
          <w:p>
            <w:pPr>
              <w:pStyle w:val="Compact"/>
            </w:pPr>
            <w:r>
              <w:rPr>
                <w:sz w:val="18"/>
              </w:rPr>
              <w:t xml:space="preserve">R31370-S12653</w:t>
            </w:r>
          </w:p>
        </w:tc>
        <w:tc>
          <w:tcPr>
            <w:tcW w:type="dxa" w:w="1728"/>
          </w:tcPr>
          <w:p>
            <w:pPr>
              <w:pStyle w:val="Compact"/>
            </w:pPr>
            <w:r>
              <w:rPr>
                <w:sz w:val="18"/>
              </w:rPr>
              <w:t xml:space="preserve">Songliao</w:t>
            </w:r>
          </w:p>
        </w:tc>
        <w:tc>
          <w:tcPr>
            <w:tcW w:type="dxa" w:w="1296"/>
          </w:tcPr>
          <w:p>
            <w:pPr>
              <w:pStyle w:val="Compact"/>
            </w:pPr>
            <w:r>
              <w:rPr>
                <w:sz w:val="18"/>
              </w:rPr>
              <w:t xml:space="preserve">—</w:t>
            </w:r>
          </w:p>
        </w:tc>
        <w:tc>
          <w:tcPr>
            <w:tcW w:type="dxa" w:w="864"/>
          </w:tcPr>
          <w:p>
            <w:pPr>
              <w:pStyle w:val="Compact"/>
            </w:pPr>
            <w:r>
              <w:rPr>
                <w:sz w:val="18"/>
              </w:rPr>
              <w:t xml:space="preserve">46.465</w:t>
            </w:r>
          </w:p>
        </w:tc>
        <w:tc>
          <w:tcPr>
            <w:tcW w:type="dxa" w:w="936"/>
          </w:tcPr>
          <w:p>
            <w:pPr>
              <w:pStyle w:val="Compact"/>
            </w:pPr>
            <w:r>
              <w:rPr>
                <w:sz w:val="18"/>
              </w:rPr>
              <w:t xml:space="preserve">125.803</w:t>
            </w:r>
          </w:p>
        </w:tc>
        <w:tc>
          <w:tcPr>
            <w:tcW w:type="dxa" w:w="648"/>
          </w:tcPr>
          <w:p>
            <w:pPr>
              <w:pStyle w:val="Compact"/>
            </w:pPr>
            <w:r>
              <w:rPr>
                <w:sz w:val="18"/>
              </w:rPr>
              <w:t xml:space="preserve">31</w:t>
            </w:r>
          </w:p>
        </w:tc>
        <w:tc>
          <w:tcPr>
            <w:tcW w:type="dxa" w:w="1368"/>
          </w:tcPr>
          <w:p>
            <w:pPr>
              <w:pStyle w:val="Compact"/>
            </w:pPr>
            <w:r>
              <w:rPr>
                <w:sz w:val="18"/>
              </w:rPr>
              <w:t xml:space="preserve">0.214 ± 0.071</w:t>
            </w:r>
          </w:p>
        </w:tc>
        <w:tc>
          <w:tcPr>
            <w:tcW w:type="dxa" w:w="1368"/>
          </w:tcPr>
          <w:p>
            <w:pPr>
              <w:pStyle w:val="Compact"/>
            </w:pPr>
            <w:r>
              <w:rPr>
                <w:sz w:val="18"/>
              </w:rPr>
              <w:t xml:space="preserve">0.195 ± 0.072</w:t>
            </w:r>
          </w:p>
        </w:tc>
        <w:tc>
          <w:tcPr>
            <w:tcW w:type="dxa" w:w="1368"/>
          </w:tcPr>
          <w:p>
            <w:pPr>
              <w:pStyle w:val="Compact"/>
            </w:pPr>
            <w:r>
              <w:rPr>
                <w:sz w:val="18"/>
              </w:rPr>
              <w:t xml:space="preserve">0.591 ± 0.085</w:t>
            </w:r>
          </w:p>
        </w:tc>
        <w:tc>
          <w:tcPr>
            <w:tcW w:type="dxa" w:w="1728"/>
          </w:tcPr>
          <w:p>
            <w:pPr>
              <w:pStyle w:val="Compact"/>
            </w:pPr>
            <w:r>
              <w:rPr>
                <w:sz w:val="18"/>
              </w:rPr>
              <w:t xml:space="preserve">all soft</w:t>
            </w:r>
          </w:p>
        </w:tc>
      </w:tr>
      <w:tr>
        <w:tc>
          <w:tcPr>
            <w:tcW w:type="dxa" w:w="1656"/>
          </w:tcPr>
          <w:p>
            <w:pPr>
              <w:pStyle w:val="Compact"/>
            </w:pPr>
            <w:r>
              <w:rPr>
                <w:sz w:val="18"/>
              </w:rPr>
              <w:t xml:space="preserve">R31370-S12654</w:t>
            </w:r>
          </w:p>
        </w:tc>
        <w:tc>
          <w:tcPr>
            <w:tcW w:type="dxa" w:w="1728"/>
          </w:tcPr>
          <w:p>
            <w:pPr>
              <w:pStyle w:val="Compact"/>
            </w:pPr>
            <w:r>
              <w:rPr>
                <w:sz w:val="18"/>
              </w:rPr>
              <w:t xml:space="preserve">Songliao</w:t>
            </w:r>
          </w:p>
        </w:tc>
        <w:tc>
          <w:tcPr>
            <w:tcW w:type="dxa" w:w="1296"/>
          </w:tcPr>
          <w:p>
            <w:pPr>
              <w:pStyle w:val="Compact"/>
            </w:pPr>
            <w:r>
              <w:rPr>
                <w:sz w:val="18"/>
              </w:rPr>
              <w:t xml:space="preserve">—</w:t>
            </w:r>
          </w:p>
        </w:tc>
        <w:tc>
          <w:tcPr>
            <w:tcW w:type="dxa" w:w="864"/>
          </w:tcPr>
          <w:p>
            <w:pPr>
              <w:pStyle w:val="Compact"/>
            </w:pPr>
            <w:r>
              <w:rPr>
                <w:sz w:val="18"/>
              </w:rPr>
              <w:t xml:space="preserve">45.637</w:t>
            </w:r>
          </w:p>
        </w:tc>
        <w:tc>
          <w:tcPr>
            <w:tcW w:type="dxa" w:w="936"/>
          </w:tcPr>
          <w:p>
            <w:pPr>
              <w:pStyle w:val="Compact"/>
            </w:pPr>
            <w:r>
              <w:rPr>
                <w:sz w:val="18"/>
              </w:rPr>
              <w:t xml:space="preserve">125.179</w:t>
            </w:r>
          </w:p>
        </w:tc>
        <w:tc>
          <w:tcPr>
            <w:tcW w:type="dxa" w:w="648"/>
          </w:tcPr>
          <w:p>
            <w:pPr>
              <w:pStyle w:val="Compact"/>
            </w:pPr>
            <w:r>
              <w:rPr>
                <w:sz w:val="18"/>
              </w:rPr>
              <w:t xml:space="preserve">78</w:t>
            </w:r>
          </w:p>
        </w:tc>
        <w:tc>
          <w:tcPr>
            <w:tcW w:type="dxa" w:w="1368"/>
          </w:tcPr>
          <w:p>
            <w:pPr>
              <w:pStyle w:val="Compact"/>
            </w:pPr>
            <w:r>
              <w:rPr>
                <w:sz w:val="18"/>
              </w:rPr>
              <w:t xml:space="preserve">0.719 ± 0.050</w:t>
            </w:r>
          </w:p>
        </w:tc>
        <w:tc>
          <w:tcPr>
            <w:tcW w:type="dxa" w:w="1368"/>
          </w:tcPr>
          <w:p>
            <w:pPr>
              <w:pStyle w:val="Compact"/>
            </w:pPr>
            <w:r>
              <w:rPr>
                <w:sz w:val="18"/>
              </w:rPr>
              <w:t xml:space="preserve">0.264 ± 0.050</w:t>
            </w:r>
          </w:p>
        </w:tc>
        <w:tc>
          <w:tcPr>
            <w:tcW w:type="dxa" w:w="1368"/>
          </w:tcPr>
          <w:p>
            <w:pPr>
              <w:pStyle w:val="Compact"/>
            </w:pPr>
            <w:r>
              <w:rPr>
                <w:sz w:val="18"/>
              </w:rPr>
              <w:t xml:space="preserve">0.016 ± 0.010</w:t>
            </w:r>
          </w:p>
        </w:tc>
        <w:tc>
          <w:tcPr>
            <w:tcW w:type="dxa" w:w="1728"/>
          </w:tcPr>
          <w:p>
            <w:pPr>
              <w:pStyle w:val="Compact"/>
            </w:pPr>
            <w:r>
              <w:rPr>
                <w:sz w:val="18"/>
              </w:rPr>
              <w:t xml:space="preserve">S3 hard; S1,S2 soft</w:t>
            </w:r>
          </w:p>
        </w:tc>
      </w:tr>
    </w:tbl>
    <w:p>
      <w:pPr>
        <w:pStyle w:val="BodyText"/>
        <w:sectPr>
          <w:pgSz w:w="15840" w:h="12240" w:orient="landscape"/>
          <w:pgMar w:top="1440" w:right="1440" w:bottom="1440" w:left="1440" w:header="720" w:footer="720" w:gutter="0"/>
          <w:footnotePr>
            <w:numRestart w:val="eachSect"/>
          </w:footnotePr>
          <w:lnNumType w:countBy="1" w:restart="continuous"/>
        </w:sectPr>
      </w:pPr>
      <w:r>
        <w:rPr>
          <w:i/>
          <w:iCs/>
        </w:rPr>
        <w:t xml:space="preserve">Notes:</w:t>
      </w:r>
      <w:r>
        <w:t xml:space="preserve"> </w:t>
      </w:r>
      <w:r>
        <w:t xml:space="preserve">Posterior weight means and standard deviations are aggregated over</w:t>
      </w:r>
      <w:r>
        <w:t xml:space="preserve"> </w:t>
      </w:r>
      <w:r>
        <w:t xml:space="preserve">12,100 independent MCMC fits per sample (121 systematically perturbed prior</w:t>
      </w:r>
      <w:r>
        <w:t xml:space="preserve"> </w:t>
      </w:r>
      <w:r>
        <w:t xml:space="preserve">configurations — end-member prior centres shifted by mean_shift ∈ [−10%, +10%]</w:t>
      </w:r>
      <w:r>
        <w:t xml:space="preserve"> </w:t>
      </w:r>
      <w:r>
        <w:t xml:space="preserve">× sigma_shift ∈ [−20%, +20%], 11 × 11 grid — combined with 100 bootstrap</w:t>
      </w:r>
      <w:r>
        <w:t xml:space="preserve"> </w:t>
      </w:r>
      <w:r>
        <w:t xml:space="preserve">resamples of the detrital-zircon ages);</w:t>
      </w:r>
      <w:r>
        <w:t xml:space="preserve"> </w:t>
      </w:r>
      <w:r>
        <w:rPr>
          <w:i/>
          <w:iCs/>
        </w:rPr>
        <w:t xml:space="preserve">n</w:t>
      </w:r>
      <w:r>
        <w:t xml:space="preserve"> </w:t>
      </w:r>
      <w:r>
        <w:t xml:space="preserve">is the number of dated grains,</w:t>
      </w:r>
      <w:r>
        <w:t xml:space="preserve"> </w:t>
      </w:r>
      <w:r>
        <w:t xml:space="preserve">and Lat/Lon (WGS84) are the sample coordinates as recorded in the OneDZ (Li et al., 2026) and Puetz et al. (2024) databases. Formation is as recorded in the OneDZ database; the Puetz database records the basin only (—). The NCC north-margin samples range from the Middle Jurassic (Longmen) through the Jurassic–Cretaceous boundary (Jiulongshan) to the Upper Jurassic–Lower Cretaceous (Tuchengzi), whereas the Songliao samples are Lower Cretaceous (Section 2); for 05FW007 and 05FW008 the S1 end-member stands in for older Mesozoic arc-derived zircons (Section 5.5). The reported std captures the combined</w:t>
      </w:r>
      <w:r>
        <w:t xml:space="preserve"> </w:t>
      </w:r>
      <w:r>
        <w:t xml:space="preserve">prior-sensitivity and data-resampling uncertainty (not the within-chain MCMC</w:t>
      </w:r>
      <w:r>
        <w:t xml:space="preserve"> </w:t>
      </w:r>
      <w:r>
        <w:t xml:space="preserve">error alone), and for most samples it is predominantly</w:t>
      </w:r>
      <w:r>
        <w:t xml:space="preserve"> </w:t>
      </w:r>
      <w:r>
        <w:t xml:space="preserve">data-resampling (median prior share &lt; 3%); the strongest exceptions are</w:t>
      </w:r>
      <w:r>
        <w:t xml:space="preserve"> </w:t>
      </w:r>
      <w:r>
        <w:t xml:space="preserve">05FW007, 05FW008, and R31370-S12652, where prior / end-member-shape flexibility</w:t>
      </w:r>
      <w:r>
        <w:t xml:space="preserve"> </w:t>
      </w:r>
      <w:r>
        <w:t xml:space="preserve">contributes roughly a third to a half of the between-fit variance (see the decomposition in Fig. 4). End-members: S1 = Mesozoic arc (peak 130 Ma), S2 =</w:t>
      </w:r>
      <w:r>
        <w:t xml:space="preserve"> </w:t>
      </w:r>
      <w:r>
        <w:t xml:space="preserve">Palaeozoic basement / CAOB (280 Ma), S3 = Archaean–Proterozoic craton (1900</w:t>
      </w:r>
      <w:r>
        <w:t xml:space="preserve"> </w:t>
      </w:r>
      <w:r>
        <w:t xml:space="preserve">Ma).</w:t>
      </w:r>
      <w:r>
        <w:t xml:space="preserve"> </w:t>
      </w:r>
      <w:r>
        <w:rPr>
          <w:b/>
          <w:bCs/>
        </w:rPr>
        <w:t xml:space="preserve">Resolvability is graded per weight</w:t>
      </w:r>
      <w:r>
        <w:t xml:space="preserve"> </w:t>
      </w:r>
      <w:r>
        <w:t xml:space="preserve">by its scan std —</w:t>
      </w:r>
      <w:r>
        <w:t xml:space="preserve"> </w:t>
      </w:r>
      <w:r>
        <w:rPr>
          <w:i/>
          <w:iCs/>
        </w:rPr>
        <w:t xml:space="preserve">hard</w:t>
      </w:r>
      <w:r>
        <w:t xml:space="preserve"> </w:t>
      </w:r>
      <w:r>
        <w:t xml:space="preserve">(&lt; 0.03;</w:t>
      </w:r>
      <w:r>
        <w:t xml:space="preserve"> </w:t>
      </w:r>
      <w:r>
        <w:t xml:space="preserve">insensitive to both prior and bootstrap),</w:t>
      </w:r>
      <w:r>
        <w:t xml:space="preserve"> </w:t>
      </w:r>
      <w:r>
        <w:rPr>
          <w:i/>
          <w:iCs/>
        </w:rPr>
        <w:t xml:space="preserve">soft</w:t>
      </w:r>
      <w:r>
        <w:t xml:space="preserve"> </w:t>
      </w:r>
      <w:r>
        <w:t xml:space="preserve">(0.03–0.10),</w:t>
      </w:r>
      <w:r>
        <w:t xml:space="preserve"> </w:t>
      </w:r>
      <w:r>
        <w:rPr>
          <w:i/>
          <w:iCs/>
        </w:rPr>
        <w:t xml:space="preserve">very soft</w:t>
      </w:r>
      <w:r>
        <w:t xml:space="preserve"> </w:t>
      </w:r>
      <w:r>
        <w:t xml:space="preserve">(&gt; 0.10) — rather than by a single sample-level grade, since</w:t>
      </w:r>
      <w:r>
        <w:t xml:space="preserve"> </w:t>
      </w:r>
      <w:r>
        <w:rPr>
          <w:i/>
          <w:iCs/>
        </w:rPr>
        <w:t xml:space="preserve">which</w:t>
      </w:r>
      <w:r>
        <w:t xml:space="preserve"> </w:t>
      </w:r>
      <w:r>
        <w:t xml:space="preserve">weights</w:t>
      </w:r>
      <w:r>
        <w:t xml:space="preserve"> </w:t>
      </w:r>
      <w:r>
        <w:t xml:space="preserve">are resolved differs from sample to sample: the craton weight w_S3 is the best-constrained in most samples, whereas the soft (exchangeable) pair rotates onto w_S2↔w_S3 where</w:t>
      </w:r>
      <w:r>
        <w:t xml:space="preserve"> </w:t>
      </w:r>
      <w:r>
        <w:t xml:space="preserve">the arc is essentially absent (100821-1, 100821-3, w_S1 ≈ 0.01), and w_S1↔w_S2 become the</w:t>
      </w:r>
      <w:r>
        <w:t xml:space="preserve"> </w:t>
      </w:r>
      <w:r>
        <w:rPr>
          <w:i/>
          <w:iCs/>
        </w:rPr>
        <w:t xml:space="preserve">hard</w:t>
      </w:r>
      <w:r>
        <w:t xml:space="preserve"> </w:t>
      </w:r>
      <w:r>
        <w:t xml:space="preserve">pair where the craton dominates (SL0932, w_S3 = 0.87).</w:t>
      </w:r>
      <w:r>
        <w:t xml:space="preserve"> </w:t>
      </w:r>
      <w:r>
        <w:t xml:space="preserve">The softness of the arc–basement split is set by the finite grain count (n =</w:t>
      </w:r>
      <w:r>
        <w:t xml:space="preserve"> </w:t>
      </w:r>
      <w:r>
        <w:t xml:space="preserve">31–111; the soft-direction spread scales as n^(−1/2) and equals the multinomial</w:t>
      </w:r>
      <w:r>
        <w:t xml:space="preserve"> </w:t>
      </w:r>
      <w:r>
        <w:t xml:space="preserve">counting-noise floor to within ~2%),</w:t>
      </w:r>
      <w:r>
        <w:t xml:space="preserve"> </w:t>
      </w:r>
      <w:r>
        <w:rPr>
          <w:i/>
          <w:iCs/>
        </w:rPr>
        <w:t xml:space="preserve">not</w:t>
      </w:r>
      <w:r>
        <w:t xml:space="preserve"> </w:t>
      </w:r>
      <w:r>
        <w:t xml:space="preserve">by the proximity of the 130 and 280</w:t>
      </w:r>
      <w:r>
        <w:t xml:space="preserve"> </w:t>
      </w:r>
      <w:r>
        <w:t xml:space="preserve">Ma end-members, well resolved at the data level; it is</w:t>
      </w:r>
      <w:r>
        <w:t xml:space="preserve"> </w:t>
      </w:r>
      <w:r>
        <w:t xml:space="preserve">therefore reducible by additional dating — except in 05FW007 and R31370-S12652,</w:t>
      </w:r>
      <w:r>
        <w:t xml:space="preserve"> </w:t>
      </w:r>
      <w:r>
        <w:t xml:space="preserve">where end-member-shape ambiguity also contributes and more grains alone would</w:t>
      </w:r>
      <w:r>
        <w:t xml:space="preserve"> </w:t>
      </w:r>
      <w:r>
        <w:t xml:space="preserve">not resolve it.</w:t>
      </w:r>
    </w:p>
    <w:p>
      <w:pPr>
        <w:pStyle w:val="BodyText"/>
      </w:pPr>
      <w:r>
        <w:rPr>
          <w:b/>
          <w:bCs/>
        </w:rPr>
        <w:t xml:space="preserve">Table 2.</w:t>
      </w:r>
      <w:r>
        <w:t xml:space="preserve"> </w:t>
      </w:r>
      <w:r>
        <w:t xml:space="preserve">(In Section 3.4 above.)</w:t>
      </w:r>
    </w:p>
    <w:bookmarkEnd w:id="39"/>
    <w:bookmarkStart w:id="40" w:name="figure-captions"/>
    <w:p>
      <w:pPr>
        <w:pStyle w:val="Heading2"/>
      </w:pPr>
      <w:r>
        <w:t xml:space="preserve">Figure captions</w:t>
      </w:r>
    </w:p>
    <w:p>
      <w:pPr>
        <w:pStyle w:val="FirstParagraph"/>
      </w:pPr>
      <w:r>
        <w:rPr>
          <w:b/>
          <w:bCs/>
        </w:rPr>
        <w:t xml:space="preserve">Figure 1.</w:t>
      </w:r>
      <w:r>
        <w:t xml:space="preserve"> </w:t>
      </w:r>
      <w:r>
        <w:t xml:space="preserve">Location of the fifteen Jurassic–Cretaceous detrital-zircon samples on a schematic tectonic basemap of NE Asia. The North-China-Craton</w:t>
      </w:r>
      <w:r>
        <w:t xml:space="preserve"> </w:t>
      </w:r>
      <w:r>
        <w:t xml:space="preserve">(NCC) north-margin group (reddish-purple squares, n = 4) lies on the craton</w:t>
      </w:r>
      <w:r>
        <w:t xml:space="preserve"> </w:t>
      </w:r>
      <w:r>
        <w:t xml:space="preserve">south of the Solonker Suture; the Songliao Basin group (grey circles, n = 11)</w:t>
      </w:r>
      <w:r>
        <w:t xml:space="preserve"> </w:t>
      </w:r>
      <w:r>
        <w:t xml:space="preserve">occupies the Songliao Basin. Regional framework after Pan</w:t>
      </w:r>
      <w:r>
        <w:t xml:space="preserve"> </w:t>
      </w:r>
      <w:r>
        <w:t xml:space="preserve">(submitted): the Siberian and North China cratons, the intervening Central</w:t>
      </w:r>
      <w:r>
        <w:t xml:space="preserve"> </w:t>
      </w:r>
      <w:r>
        <w:t xml:space="preserve">Asian Orogenic Belt (CAOB), the Mongol–Okhotsk and Solonker sutures, and the</w:t>
      </w:r>
      <w:r>
        <w:t xml:space="preserve"> </w:t>
      </w:r>
      <w:r>
        <w:t xml:space="preserve">sinistral Tanlu Fault Zone; the blue vector marks NW-directed Palaeo-Pacific</w:t>
      </w:r>
      <w:r>
        <w:t xml:space="preserve"> </w:t>
      </w:r>
      <w:r>
        <w:t xml:space="preserve">subduction. Near-coincident samples share one symbol (the label gives the</w:t>
      </w:r>
      <w:r>
        <w:t xml:space="preserve"> </w:t>
      </w:r>
      <w:r>
        <w:t xml:space="preserve">site); individual sample coordinates are listed in Table 1 (compiled via the OneDZ and Puetz databases; Li et al., 2026; Puetz et al., 2024). Line styles follow FGDC TM 11A02 (FGDC, 2006); the categorical palette is Okabe–Ito (Okabe &amp; Ito, 2008).</w:t>
      </w:r>
    </w:p>
    <w:p>
      <w:pPr>
        <w:pStyle w:val="BodyText"/>
      </w:pPr>
      <w:r>
        <w:rPr>
          <w:b/>
          <w:bCs/>
        </w:rPr>
        <w:t xml:space="preserve">Figure 2.</w:t>
      </w:r>
      <w:r>
        <w:t xml:space="preserve"> </w:t>
      </w:r>
      <w:r>
        <w:t xml:space="preserve">MCMC sampling diagnostics for the 181,500-fit GPU scan</w:t>
      </w:r>
      <w:r>
        <w:t xml:space="preserve"> </w:t>
      </w:r>
      <w:r>
        <w:t xml:space="preserve">(Goodman–Weare affine-invariant ensemble sampler; 64 walkers × 5000 steps,</w:t>
      </w:r>
      <w:r>
        <w:t xml:space="preserve"> </w:t>
      </w:r>
      <w:r>
        <w:t xml:space="preserve">1000-step burn-in). (a) Distribution of the acceptance fraction over all fits:</w:t>
      </w:r>
      <w:r>
        <w:t xml:space="preserve"> </w:t>
      </w:r>
      <w:r>
        <w:t xml:space="preserve">99.3% fall within the emcee-recommended healthy band [0.2, 0.5] (Foreman-Mackey et al., 2013; shaded),</w:t>
      </w:r>
      <w:r>
        <w:t xml:space="preserve"> </w:t>
      </w:r>
      <w:r>
        <w:t xml:space="preserve">median 0.42 (dashed line). (b) Per-sample box plots (NCC north-margin above the</w:t>
      </w:r>
      <w:r>
        <w:t xml:space="preserve"> </w:t>
      </w:r>
      <w:r>
        <w:t xml:space="preserve">divider, Songliao below); every sample’s median sits in the healthy band. The only</w:t>
      </w:r>
      <w:r>
        <w:t xml:space="preserve"> </w:t>
      </w:r>
      <w:r>
        <w:t xml:space="preserve">sample with a depressed acceptance is R31370-S12652 (highlighted; median ≈</w:t>
      </w:r>
      <w:r>
        <w:t xml:space="preserve"> </w:t>
      </w:r>
      <w:r>
        <w:t xml:space="preserve">0.28), the most degenerate / shape-inflated sample (Section 4.4), whose flatter</w:t>
      </w:r>
      <w:r>
        <w:t xml:space="preserve"> </w:t>
      </w:r>
      <w:r>
        <w:t xml:space="preserve">posterior is intrinsically harder to sample — still healthy. Per-fit integrated</w:t>
      </w:r>
      <w:r>
        <w:t xml:space="preserve"> </w:t>
      </w:r>
      <w:r>
        <w:t xml:space="preserve">autocorrelation times were not stored; convergence is corroborated by the</w:t>
      </w:r>
      <w:r>
        <w:t xml:space="preserve"> </w:t>
      </w:r>
      <w:r>
        <w:t xml:space="preserve">burn-in, the acceptance fraction shown here, and the fit-by-fit GPU-versus-emcee</w:t>
      </w:r>
      <w:r>
        <w:t xml:space="preserve"> </w:t>
      </w:r>
      <w:r>
        <w:t xml:space="preserve">equivalence check (Section 3.4).</w:t>
      </w:r>
    </w:p>
    <w:p>
      <w:pPr>
        <w:pStyle w:val="BodyText"/>
      </w:pPr>
      <w:r>
        <w:rPr>
          <w:b/>
          <w:bCs/>
        </w:rPr>
        <w:t xml:space="preserve">Figure 3.</w:t>
      </w:r>
      <w:r>
        <w:t xml:space="preserve"> </w:t>
      </w:r>
      <w:r>
        <w:t xml:space="preserve">Detrital-zircon unmixing of fifteen Jurassic–Cretaceous samples</w:t>
      </w:r>
      <w:r>
        <w:t xml:space="preserve"> </w:t>
      </w:r>
      <w:r>
        <w:t xml:space="preserve">from NE Asia, resolved as a three-end-member Gaussian mixture under a Bayesian</w:t>
      </w:r>
      <w:r>
        <w:t xml:space="preserve"> </w:t>
      </w:r>
      <w:r>
        <w:t xml:space="preserve">framework, with full posterior uncertainty propagated through a 121-prior ×</w:t>
      </w:r>
      <w:r>
        <w:t xml:space="preserve"> </w:t>
      </w:r>
      <w:r>
        <w:t xml:space="preserve">100-bootstrap scan (181,500 GPU-accelerated MCMC fits). (a) Ternary diagram of</w:t>
      </w:r>
      <w:r>
        <w:t xml:space="preserve"> </w:t>
      </w:r>
      <w:r>
        <w:t xml:space="preserve">posterior mean mixing weights for the arc (S1, ~130 Ma), basement/CAOB (S2,</w:t>
      </w:r>
      <w:r>
        <w:t xml:space="preserve"> </w:t>
      </w:r>
      <w:r>
        <w:t xml:space="preserve">~280 Ma), and craton (S3, ~1900 Ma) end-members; each sample is a single point</w:t>
      </w:r>
      <w:r>
        <w:t xml:space="preserve"> </w:t>
      </w:r>
      <w:r>
        <w:t xml:space="preserve">(NCC north-margin group, reddish-purple squares; Songliao group, grey circles)</w:t>
      </w:r>
      <w:r>
        <w:t xml:space="preserve"> </w:t>
      </w:r>
      <w:r>
        <w:t xml:space="preserve">enclosed by a 2-σ covariance ellipse whose size and orientation encode the</w:t>
      </w:r>
      <w:r>
        <w:t xml:space="preserve"> </w:t>
      </w:r>
      <w:r>
        <w:t xml:space="preserve">posterior spread, with Songliao samples elongated along the S1–S2 edge. (b)</w:t>
      </w:r>
      <w:r>
        <w:t xml:space="preserve"> </w:t>
      </w:r>
      <w:r>
        <w:t xml:space="preserve">Dot-and-whisker plot of per-sample end-member weights ± one standard deviation</w:t>
      </w:r>
      <w:r>
        <w:t xml:space="preserve"> </w:t>
      </w:r>
      <w:r>
        <w:t xml:space="preserve">across the scan grid, coloured by end-member (S1 orange, S2 green, S3 blue);</w:t>
      </w:r>
      <w:r>
        <w:t xml:space="preserve"> </w:t>
      </w:r>
      <w:r>
        <w:t xml:space="preserve">whisker length is inversely proportional to confidence. Together the panels</w:t>
      </w:r>
      <w:r>
        <w:t xml:space="preserve"> </w:t>
      </w:r>
      <w:r>
        <w:t xml:space="preserve">demonstrate that the craton weight w_S3 is tightly constrained (near-zero spread),</w:t>
      </w:r>
      <w:r>
        <w:t xml:space="preserve"> </w:t>
      </w:r>
      <w:r>
        <w:t xml:space="preserve">whereas the arc-versus-basement partition w_S1↔w_S2 is soft: the data fixes the</w:t>
      </w:r>
      <w:r>
        <w:t xml:space="preserve"> </w:t>
      </w:r>
      <w:r>
        <w:t xml:space="preserve">arc + basement sum while leaving its internal split limited by the finite number of</w:t>
      </w:r>
      <w:r>
        <w:t xml:space="preserve"> </w:t>
      </w:r>
      <w:r>
        <w:t xml:space="preserve">dated grains — a counting-noise floor that scales as n^(−1/2) and is largely reducible</w:t>
      </w:r>
      <w:r>
        <w:t xml:space="preserve"> </w:t>
      </w:r>
      <w:r>
        <w:t xml:space="preserve">by further dating — rather than by any intrinsic overlap of the well-separated</w:t>
      </w:r>
      <w:r>
        <w:t xml:space="preserve"> </w:t>
      </w:r>
      <w:r>
        <w:t xml:space="preserve">130 and 280 Ma end-members.</w:t>
      </w:r>
    </w:p>
    <w:p>
      <w:pPr>
        <w:pStyle w:val="BodyText"/>
      </w:pPr>
      <w:r>
        <w:rPr>
          <w:b/>
          <w:bCs/>
        </w:rPr>
        <w:t xml:space="preserve">Figure 4.</w:t>
      </w:r>
      <w:r>
        <w:t xml:space="preserve"> </w:t>
      </w:r>
      <w:r>
        <w:t xml:space="preserve">Variance-source decomposition of the posterior mixing-weight</w:t>
      </w:r>
      <w:r>
        <w:t xml:space="preserve"> </w:t>
      </w:r>
      <w:r>
        <w:t xml:space="preserve">uncertainty for the fifteen samples (NCC north-margin group left of the</w:t>
      </w:r>
      <w:r>
        <w:t xml:space="preserve"> </w:t>
      </w:r>
      <w:r>
        <w:t xml:space="preserve">dashed divider, Songliao right; the two shape-inflated samples 05FW007 and</w:t>
      </w:r>
      <w:r>
        <w:t xml:space="preserve"> </w:t>
      </w:r>
      <w:r>
        <w:t xml:space="preserve">R31370-S12652 highlighted in orange, with</w:t>
      </w:r>
      <w:r>
        <w:t xml:space="preserve"> </w:t>
      </w:r>
      <w:r>
        <w:rPr>
          <w:i/>
          <w:iCs/>
        </w:rPr>
        <w:t xml:space="preserve">n</w:t>
      </w:r>
      <w:r>
        <w:t xml:space="preserve"> </w:t>
      </w:r>
      <w:r>
        <w:t xml:space="preserve">the number of dated grains). For</w:t>
      </w:r>
      <w:r>
        <w:t xml:space="preserve"> </w:t>
      </w:r>
      <w:r>
        <w:t xml:space="preserve">each sample the pooled posterior weight covariance across the 121-prior ×</w:t>
      </w:r>
      <w:r>
        <w:t xml:space="preserve"> </w:t>
      </w:r>
      <w:r>
        <w:t xml:space="preserve">100-bootstrap scan has total variance tr(Σ) = Σ_k Var(w_k), partitioned by the</w:t>
      </w:r>
      <w:r>
        <w:t xml:space="preserve"> </w:t>
      </w:r>
      <w:r>
        <w:t xml:space="preserve">law of total variance into three additive sources: the mean within-fit credible</w:t>
      </w:r>
      <w:r>
        <w:t xml:space="preserve"> </w:t>
      </w:r>
      <w:r>
        <w:t xml:space="preserve">variance (blue) and the between-fit scatter of the posterior means contributed</w:t>
      </w:r>
      <w:r>
        <w:t xml:space="preserve"> </w:t>
      </w:r>
      <w:r>
        <w:t xml:space="preserve">by bootstrap resampling of the grains (grey) and by the ±10% μ / ±20% σ prior</w:t>
      </w:r>
      <w:r>
        <w:t xml:space="preserve"> </w:t>
      </w:r>
      <w:r>
        <w:t xml:space="preserve">perturbation (orange). (a) Absolute variance; the value above each bar is the</w:t>
      </w:r>
      <w:r>
        <w:t xml:space="preserve"> </w:t>
      </w:r>
      <w:r>
        <w:t xml:space="preserve">total posterior spread √tr(Σ). (b) The same, normalised to 100%. The</w:t>
      </w:r>
      <w:r>
        <w:t xml:space="preserve"> </w:t>
      </w:r>
      <w:r>
        <w:t xml:space="preserve">within-fit credible width supplies about half of the total variance</w:t>
      </w:r>
      <w:r>
        <w:t xml:space="preserve"> </w:t>
      </w:r>
      <w:r>
        <w:t xml:space="preserve">(median 54%), showing that a single Bayesian fit’s own credible</w:t>
      </w:r>
      <w:r>
        <w:t xml:space="preserve"> </w:t>
      </w:r>
      <w:r>
        <w:t xml:space="preserve">interval already captures most of the reported uncertainty; the</w:t>
      </w:r>
      <w:r>
        <w:t xml:space="preserve"> </w:t>
      </w:r>
      <w:r>
        <w:t xml:space="preserve">prior-sensitivity share is negligible (median 0.8%) except in 05FW007 and</w:t>
      </w:r>
      <w:r>
        <w:t xml:space="preserve"> </w:t>
      </w:r>
      <w:r>
        <w:t xml:space="preserve">R31370-S12652 (~25% and ~20%), where</w:t>
      </w:r>
      <w:r>
        <w:t xml:space="preserve"> </w:t>
      </w:r>
      <w:r>
        <w:t xml:space="preserve">co-inference of the end-member shapes inflates the arc–basement degeneracy;</w:t>
      </w:r>
      <w:r>
        <w:t xml:space="preserve"> </w:t>
      </w:r>
      <w:r>
        <w:t xml:space="preserve">the third prior-sensitive sample of Section 4.2, 05FW008, registers only a</w:t>
      </w:r>
      <w:r>
        <w:t xml:space="preserve"> </w:t>
      </w:r>
      <w:r>
        <w:t xml:space="preserve">small share on this total-variance basis, its spread being dominated by the</w:t>
      </w:r>
      <w:r>
        <w:t xml:space="preserve"> </w:t>
      </w:r>
      <w:r>
        <w:t xml:space="preserve">within-fit term. For</w:t>
      </w:r>
      <w:r>
        <w:t xml:space="preserve"> </w:t>
      </w:r>
      <w:r>
        <w:t xml:space="preserve">the remaining samples the reported uncertainty is essentially a data-resampling</w:t>
      </w:r>
      <w:r>
        <w:t xml:space="preserve"> </w:t>
      </w:r>
      <w:r>
        <w:t xml:space="preserve">(finite-grain) quantity, independent of the prior.</w:t>
      </w:r>
    </w:p>
    <w:p>
      <w:pPr>
        <w:pStyle w:val="BodyText"/>
      </w:pPr>
      <w:r>
        <w:rPr>
          <w:b/>
          <w:bCs/>
        </w:rPr>
        <w:t xml:space="preserve">Figure 5.</w:t>
      </w:r>
      <w:r>
        <w:t xml:space="preserve"> </w:t>
      </w:r>
      <w:r>
        <w:t xml:space="preserve">Prior versus posterior for the end-member shape parameters —</w:t>
      </w:r>
      <w:r>
        <w:t xml:space="preserve"> </w:t>
      </w:r>
      <w:r>
        <w:t xml:space="preserve">peak age μ (top row) and peak width σ (bottom row) of the arc (S1), basement</w:t>
      </w:r>
      <w:r>
        <w:t xml:space="preserve"> </w:t>
      </w:r>
      <w:r>
        <w:t xml:space="preserve">(S2), and craton (S3) end-members — testing whether the reference priors</w:t>
      </w:r>
      <w:r>
        <w:t xml:space="preserve"> </w:t>
      </w:r>
      <w:r>
        <w:t xml:space="preserve">dominate the posterior. In each panel the grey curve is the Gaussian prior</w:t>
      </w:r>
      <w:r>
        <w:t xml:space="preserve"> </w:t>
      </w:r>
      <w:r>
        <w:t xml:space="preserve">(centred on the reference value, dashed line; relative std ±10% on μ, ±20% on</w:t>
      </w:r>
      <w:r>
        <w:t xml:space="preserve"> </w:t>
      </w:r>
      <w:r>
        <w:t xml:space="preserve">σ) and the coloured curve is a representative single-fit posterior (median over</w:t>
      </w:r>
      <w:r>
        <w:t xml:space="preserve"> </w:t>
      </w:r>
      <w:r>
        <w:t xml:space="preserve">the 15 samples of the posterior mean and within-fit std, at the central prior</w:t>
      </w:r>
      <w:r>
        <w:t xml:space="preserve"> </w:t>
      </w:r>
      <w:r>
        <w:t xml:space="preserve">configuration mean_shift = sigma_shift = 0); coloured ticks are the 15</w:t>
      </w:r>
      <w:r>
        <w:t xml:space="preserve"> </w:t>
      </w:r>
      <w:r>
        <w:t xml:space="preserve">per-sample posterior means. The data appreciably updates the shapes rather than</w:t>
      </w:r>
      <w:r>
        <w:t xml:space="preserve"> </w:t>
      </w:r>
      <w:r>
        <w:t xml:space="preserve">reproducing the prior: the posterior on μ narrows to 0.31–0.53× the prior width</w:t>
      </w:r>
      <w:r>
        <w:t xml:space="preserve"> </w:t>
      </w:r>
      <w:r>
        <w:t xml:space="preserve">(tightest for the craton, μ_S3) and shifts by up to 0.7 prior-σ (arc +0.7,</w:t>
      </w:r>
      <w:r>
        <w:t xml:space="preserve"> </w:t>
      </w:r>
      <w:r>
        <w:t xml:space="preserve">basement −0.5), while σ_S2 and σ_S3 shift to +1.4 and +1.6 prior-σ (the</w:t>
      </w:r>
      <w:r>
        <w:t xml:space="preserve"> </w:t>
      </w:r>
      <w:r>
        <w:t xml:space="preserve">basement and craton age modes are broader than assumed: σ_S2 ≈ 38 vs 30 Myr,</w:t>
      </w:r>
      <w:r>
        <w:t xml:space="preserve"> </w:t>
      </w:r>
      <w:r>
        <w:t xml:space="preserve">σ_S3 ≈ 132 vs 100 Myr). That the end-member shapes are data-constrained is the</w:t>
      </w:r>
      <w:r>
        <w:t xml:space="preserve"> </w:t>
      </w:r>
      <w:r>
        <w:t xml:space="preserve">flip side of the weights’ prior-insensitivity (Section 5.3): the data pins the</w:t>
      </w:r>
      <w:r>
        <w:t xml:space="preserve"> </w:t>
      </w:r>
      <w:r>
        <w:t xml:space="preserve">shapes, so the mixing weights do not depend on the exact prior.</w:t>
      </w:r>
    </w:p>
    <w:p>
      <w:pPr>
        <w:pStyle w:val="BodyText"/>
      </w:pPr>
      <w:r>
        <w:rPr>
          <w:b/>
          <w:bCs/>
        </w:rPr>
        <w:t xml:space="preserve">Figure 6.</w:t>
      </w:r>
      <w:r>
        <w:t xml:space="preserve"> </w:t>
      </w:r>
      <w:r>
        <w:t xml:space="preserve">Agreement between the supervised-NMF point estimate of the</w:t>
      </w:r>
      <w:r>
        <w:t xml:space="preserve"> </w:t>
      </w:r>
      <w:r>
        <w:t xml:space="preserve">companion methods study (Pan, submitted) and this paper’s Bayesian posterior</w:t>
      </w:r>
      <w:r>
        <w:t xml:space="preserve"> </w:t>
      </w:r>
      <w:r>
        <w:t xml:space="preserve">mean, for the four North-China-Craton north-margin samples where both can be</w:t>
      </w:r>
      <w:r>
        <w:t xml:space="preserve"> </w:t>
      </w:r>
      <w:r>
        <w:t xml:space="preserve">run (05FW007, 05FW008, 100821-1, 100821-3; 12 points = 4 samples × 3</w:t>
      </w:r>
      <w:r>
        <w:t xml:space="preserve"> </w:t>
      </w:r>
      <w:r>
        <w:t xml:space="preserve">end-members, coloured by end-member). The supervised-NMF weights are computed</w:t>
      </w:r>
      <w:r>
        <w:t xml:space="preserve"> </w:t>
      </w:r>
      <w:r>
        <w:t xml:space="preserve">by applying that method (identical end-members and KL multiplicative updates; Lee &amp; Seung, 1999) to the same real grain-age spectra; error bars are the Bayesian scan standard</w:t>
      </w:r>
      <w:r>
        <w:t xml:space="preserve"> </w:t>
      </w:r>
      <w:r>
        <w:t xml:space="preserve">deviation (this paper). Points fall on the 1:1 line — the mean absolute weight</w:t>
      </w:r>
      <w:r>
        <w:t xml:space="preserve"> </w:t>
      </w:r>
      <w:r>
        <w:t xml:space="preserve">difference is 0.03 — with the closest agreement on the hard craton weight w_S3</w:t>
      </w:r>
      <w:r>
        <w:t xml:space="preserve"> </w:t>
      </w:r>
      <w:r>
        <w:t xml:space="preserve">(MAE 0.01) and the largest deviation on the soft arc/basement split (w_S1,</w:t>
      </w:r>
      <w:r>
        <w:t xml:space="preserve"> </w:t>
      </w:r>
      <w:r>
        <w:t xml:space="preserve">w_S2; MAE 0.04), where the point estimate nonetheless lies within the Bayesian</w:t>
      </w:r>
      <w:r>
        <w:t xml:space="preserve"> </w:t>
      </w:r>
      <w:r>
        <w:t xml:space="preserve">uncertainty (e.g. sample 05FW007). The comparison is limited to these four</w:t>
      </w:r>
      <w:r>
        <w:t xml:space="preserve"> </w:t>
      </w:r>
      <w:r>
        <w:t xml:space="preserve">samples as the eleven Puetz/OneDZ Songliao samples were never run through</w:t>
      </w:r>
      <w:r>
        <w:t xml:space="preserve"> </w:t>
      </w:r>
      <w:r>
        <w:t xml:space="preserve">that pipeline.</w:t>
      </w:r>
    </w:p>
    <w:bookmarkEnd w:id="40"/>
    <w:bookmarkEnd w:id="41"/>
    <w:sectPr>
      <w:pgSz w:w="12240" w:h="15840"/>
      <w:pgMar w:top="1440" w:right="1440" w:bottom="1440" w:left="1440" w:header="720" w:footer="720" w:gutter="0"/>
      <w:footnotePr>
        <w:numRestart w:val="eachSect"/>
      </w:footnotePr>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2026-09-03T02:45:29Z</dcterms:created>
  <dcterms:modified xsi:type="dcterms:W3CDTF">2026-09-03T02:45:29Z</dcterms:modified>
</cp:coreProperties>
</file>

<file path=docProps/custom.xml><?xml version="1.0" encoding="utf-8"?>
<Properties xmlns="http://schemas.openxmlformats.org/officeDocument/2006/custom-properties" xmlns:vt="http://schemas.openxmlformats.org/officeDocument/2006/docPropsVTypes"/>
</file>