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2958CF" w:rsidRDefault="002958CF" w:rsidP="003F4B8C">
      <w:pPr>
        <w:ind w:left="360"/>
        <w:rPr>
          <w:rFonts w:hint="eastAsia"/>
        </w:rPr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lastRenderedPageBreak/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>
      <w:pPr>
        <w:rPr>
          <w:rFonts w:hint="eastAsia"/>
        </w:rPr>
      </w:pPr>
    </w:p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t>后端</w:t>
      </w:r>
    </w:p>
    <w:p w:rsidR="00CA2095" w:rsidRDefault="00196448" w:rsidP="00CA2095">
      <w:pPr>
        <w:pStyle w:val="2"/>
      </w:pPr>
      <w:r>
        <w:t>J</w:t>
      </w:r>
      <w:r>
        <w:rPr>
          <w:rFonts w:hint="eastAsia"/>
        </w:rPr>
        <w:t>ava</w:t>
      </w:r>
    </w:p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A86506" w:rsidRPr="00A86506" w:rsidRDefault="00E5416D" w:rsidP="00E5416D">
      <w:pPr>
        <w:pStyle w:val="3"/>
        <w:rPr>
          <w:rFonts w:hint="eastAsia"/>
        </w:rPr>
      </w:pPr>
      <w:proofErr w:type="spellStart"/>
      <w:r w:rsidRPr="00E5416D">
        <w:t>ssh</w:t>
      </w:r>
      <w:proofErr w:type="spellEnd"/>
      <w:r w:rsidRPr="00E5416D">
        <w:t xml:space="preserve"> </w:t>
      </w:r>
      <w:hyperlink r:id="rId8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r w:rsidR="00995DAC">
        <w:rPr>
          <w:rFonts w:hint="eastAsia"/>
        </w:rPr>
        <w:t>user</w:t>
      </w:r>
      <w:r w:rsidR="00995DAC">
        <w:t>N</w:t>
      </w:r>
      <w:bookmarkStart w:id="0" w:name="_GoBack"/>
      <w:bookmarkEnd w:id="0"/>
      <w:r w:rsidR="00163A0B">
        <w:rPr>
          <w:rFonts w:hint="eastAsia"/>
        </w:rPr>
        <w:t>ame}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314F55" w:rsidRPr="00314F55" w:rsidRDefault="00314F55" w:rsidP="00314F55"/>
    <w:sectPr w:rsidR="00314F55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45A84"/>
    <w:rsid w:val="00056D9D"/>
    <w:rsid w:val="00082843"/>
    <w:rsid w:val="000D2395"/>
    <w:rsid w:val="000E72FC"/>
    <w:rsid w:val="000F7B88"/>
    <w:rsid w:val="00121FD5"/>
    <w:rsid w:val="00137AA8"/>
    <w:rsid w:val="00163A0B"/>
    <w:rsid w:val="00196448"/>
    <w:rsid w:val="001B1177"/>
    <w:rsid w:val="00253590"/>
    <w:rsid w:val="00262402"/>
    <w:rsid w:val="002958CF"/>
    <w:rsid w:val="002E2212"/>
    <w:rsid w:val="00304142"/>
    <w:rsid w:val="00314F55"/>
    <w:rsid w:val="003F4B8C"/>
    <w:rsid w:val="00403F6B"/>
    <w:rsid w:val="004579F3"/>
    <w:rsid w:val="004B6009"/>
    <w:rsid w:val="004C581D"/>
    <w:rsid w:val="005153C5"/>
    <w:rsid w:val="005247A2"/>
    <w:rsid w:val="00524D8B"/>
    <w:rsid w:val="00526E08"/>
    <w:rsid w:val="005D17E0"/>
    <w:rsid w:val="005D3CB0"/>
    <w:rsid w:val="0063627F"/>
    <w:rsid w:val="006F6F47"/>
    <w:rsid w:val="00760A92"/>
    <w:rsid w:val="007C7BBD"/>
    <w:rsid w:val="00806781"/>
    <w:rsid w:val="008603B8"/>
    <w:rsid w:val="008E4B3D"/>
    <w:rsid w:val="008F1AEB"/>
    <w:rsid w:val="00945EE1"/>
    <w:rsid w:val="00980CA4"/>
    <w:rsid w:val="00995DAC"/>
    <w:rsid w:val="009C43C5"/>
    <w:rsid w:val="009F13CB"/>
    <w:rsid w:val="009F22D7"/>
    <w:rsid w:val="00A55726"/>
    <w:rsid w:val="00A7789A"/>
    <w:rsid w:val="00A86506"/>
    <w:rsid w:val="00B04197"/>
    <w:rsid w:val="00B775F9"/>
    <w:rsid w:val="00BD0F44"/>
    <w:rsid w:val="00BD78C1"/>
    <w:rsid w:val="00BE2B9D"/>
    <w:rsid w:val="00C811B2"/>
    <w:rsid w:val="00CA2095"/>
    <w:rsid w:val="00CE637D"/>
    <w:rsid w:val="00D63441"/>
    <w:rsid w:val="00DE3371"/>
    <w:rsid w:val="00DE688E"/>
    <w:rsid w:val="00E4398B"/>
    <w:rsid w:val="00E5416D"/>
    <w:rsid w:val="00EE365B"/>
    <w:rsid w:val="00F05989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6.12.26.13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D088-C844-4E0E-9D10-B67C58C9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7077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63</cp:revision>
  <dcterms:created xsi:type="dcterms:W3CDTF">2019-04-15T09:13:00Z</dcterms:created>
  <dcterms:modified xsi:type="dcterms:W3CDTF">2019-04-23T01:56:00Z</dcterms:modified>
</cp:coreProperties>
</file>