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</w:t>
      </w:r>
    </w:p>
    <w:p>
      <w:pPr>
        <w:pStyle w:val="Normal"/>
      </w:pPr>
      <w:r>
        <w:t xml:space="preserve">Internal Consistency of the Study-Specific Composite Measures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35"/>
        <w:gridCol w:w="1504"/>
        <w:gridCol w:w="796"/>
        <w:gridCol w:w="796"/>
        <w:gridCol w:w="1923"/>
        <w:gridCol w:w="1437"/>
        <w:gridCol w:w="1962"/>
      </w:tblGrid>
      <w:tr>
        <w:trPr>
          <w:trHeight w:val="61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No. of items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Cronbach's alpha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inter-item r</w:t>
            </w:r>
          </w:p>
        </w:tc>
      </w:tr>
      <w:tr>
        <w:trPr>
          <w:trHeight w:val="60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Perceived Medication Benefit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[0.73, 0.80]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0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Perceived Adverse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[0.67, 0.76]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1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Medication-Related Functional Impairment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[0.78, 0.85]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1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Perceived 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[0.64,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60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Cessation-Related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[0.63, 0.73]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Discontinuation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[0.61,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1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Perceived Pharmacist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[0.05,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0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Perceived Prescriber Support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[0.29, 0.52]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</w:tbl>
    <w:p>
      <w:pPr>
        <w:pStyle w:val="Normal"/>
      </w:pPr>
      <w:r>
        <w:t xml:space="preserve">Note. N = 422 (imputation 1). CI = confidence interval for alpha (Feldt). Cronbach's alpha is reported for all composites for comparability; for the 2-item composites it is a function of the inter-item correlation.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pierrecouture</cp:lastModifiedBy>
  <cp:revision>9</cp:revision>
  <dcterms:created xsi:type="dcterms:W3CDTF">2017-02-28T11:18:00Z</dcterms:created>
  <dcterms:modified xsi:type="dcterms:W3CDTF">2026-06-06T12:09:39Z</dcterms:modified>
  <cp:category/>
</cp:coreProperties>
</file>