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600"/>
        <w:gridCol w:w="1110"/>
        <w:gridCol w:w="1935"/>
        <w:gridCol w:w="2880"/>
        <w:gridCol w:w="5070"/>
        <w:gridCol w:w="990"/>
        <w:tblGridChange w:id="0">
          <w:tblGrid>
            <w:gridCol w:w="1350"/>
            <w:gridCol w:w="600"/>
            <w:gridCol w:w="1110"/>
            <w:gridCol w:w="1935"/>
            <w:gridCol w:w="2880"/>
            <w:gridCol w:w="507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1c406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color w:val="ffffff"/>
                <w:rtl w:val="0"/>
              </w:rPr>
              <w:t xml:space="preserve">Feature/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color w:val="ffffff"/>
                <w:rtl w:val="0"/>
              </w:rPr>
              <w:t xml:space="preserve">Theme</w:t>
            </w:r>
          </w:p>
        </w:tc>
        <w:tc>
          <w:tcPr>
            <w:shd w:fill="1c406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color w:val="ffffff"/>
                <w:rtl w:val="0"/>
              </w:rPr>
              <w:t xml:space="preserve">US ID</w:t>
            </w:r>
          </w:p>
        </w:tc>
        <w:tc>
          <w:tcPr>
            <w:shd w:fill="1c406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color w:val="ffffff"/>
                <w:rtl w:val="0"/>
              </w:rPr>
              <w:t xml:space="preserve">Persona</w:t>
            </w:r>
          </w:p>
        </w:tc>
        <w:tc>
          <w:tcPr>
            <w:shd w:fill="1c406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color w:val="ffffff"/>
                <w:rtl w:val="0"/>
              </w:rPr>
              <w:t xml:space="preserve">Epic</w:t>
            </w:r>
          </w:p>
        </w:tc>
        <w:tc>
          <w:tcPr>
            <w:shd w:fill="1c406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color w:val="ffffff"/>
                <w:rtl w:val="0"/>
              </w:rPr>
              <w:t xml:space="preserve">Story</w:t>
            </w:r>
          </w:p>
        </w:tc>
        <w:tc>
          <w:tcPr>
            <w:shd w:fill="1c406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color w:val="ffffff"/>
                <w:rtl w:val="0"/>
              </w:rPr>
              <w:t xml:space="preserve">Acceptance Criteria</w:t>
            </w:r>
          </w:p>
        </w:tc>
        <w:tc>
          <w:tcPr>
            <w:shd w:fill="1c406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color w:val="ffffff"/>
                <w:rtl w:val="0"/>
              </w:rPr>
              <w:t xml:space="preserve">FR/NFR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US1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HM, POC, JS,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As a [HM, POC, JS, R], I should be able to view real-time dashboards for sales and inventory at different levels such as product and branch level to provide transparency and enable data-driven decision making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Authorized users (HM, POC, JS, R) can access role-based dashboards that display sales and inventory data at branch and product levels, with dashboards loading in ≤5 seconds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Dashboard data reflects completed sales and inventory transactions within 1-5 minutes, maintaining at least 95% data accuracy when compared with underlying system records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Users can filter and drill down dashboard data by branch, product, and date range, with 100% of transactions included in aggregated views to support data-driven decision making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ter Tight" w:cs="Inter Tight" w:eastAsia="Inter Tight" w:hAnsi="Inter Tigh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US2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HM, POC, JS,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As a [HM, POC, JS, R], I should be able to export customizable reports for easier reporting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Authorized users (HM, POC, JS, R) can export customizable reports in PDF and Excel formats with selectable filters (branch, date range, product/service)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Exported reports reflect the applied filters and dashboard data with at least 95% data accuracy compared to system records.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Report generation completes within ≤10 seconds for standard date ranges (e.g., monthly reports), eliminating manual monthly reporting.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b w:val="1"/>
                <w:bCs w:val="1"/>
                <w:rtl w:val="0"/>
              </w:rPr>
              <w:t xml:space="preserve">Order Fulfillment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US3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HM, POC, JS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nter Tight" w:cs="Inter Tight" w:eastAsia="Inter Tight" w:hAnsi="Inter Tight"/>
                <w:b w:val="1"/>
                <w:bCs w:val="1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As a [HM, POC, JS], I should be able to edit labor and packaging pricing matrices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Authorized users (HM, POC, JS) can create, edit, and update labor and packaging pricing matrices, with changes saved successfully in 100% of valid submissions.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Updated pricing rules are applied to new job orders within ≤5 minutes of saving, ensuring at least 95% pricing accuracy across transactions.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The system validates pricing inputs (e.g., required fields, allowable ranges) and prevents 100% of invalid pricing entries from being saved.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US4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HM, POC, JS,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As a [HM, POC, JS, R], I should be able to create quotations and job estimates for tracking and management of 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Authorized users (HM, POC, JS, R) can create quotations and job estimates with mandatory fields (service, labor, parts, pricing), achieving at least 90% data field completion before saving.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Created quotations and estimates are stored centrally and are retrievable for 100% of valid records for tracking and conversion to job orders.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Fonts w:ascii="Inter Tight" w:cs="Inter Tight" w:eastAsia="Inter Tight" w:hAnsi="Inter Tight"/>
                <w:rtl w:val="0"/>
              </w:rPr>
              <w:t xml:space="preserve">Quotation totals and estimates are automatically calculated using current pricing matrices with at least 95% pricing accuracy, and generation completes within ≤5 seconds.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ter Tight" w:cs="Inter Tight" w:eastAsia="Inter Tight" w:hAnsi="Inter T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