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34D7" w14:textId="77777777" w:rsidR="00F06D94" w:rsidRDefault="00000000">
      <w:pPr>
        <w:spacing w:before="1200"/>
        <w:jc w:val="center"/>
      </w:pPr>
      <w:r>
        <w:rPr>
          <w:b/>
          <w:bCs/>
          <w:color w:val="1F4E79"/>
          <w:sz w:val="24"/>
          <w:szCs w:val="24"/>
        </w:rPr>
        <w:t>PROJECT PROPOSAL DOCUMENT (EXPANDED / HIGH-END SCOPE)</w:t>
      </w:r>
    </w:p>
    <w:p w14:paraId="00F034D8" w14:textId="77777777" w:rsidR="00F06D94" w:rsidRDefault="00000000">
      <w:pPr>
        <w:spacing w:before="300" w:after="300"/>
        <w:jc w:val="center"/>
      </w:pPr>
      <w:r>
        <w:rPr>
          <w:b/>
          <w:bCs/>
          <w:sz w:val="36"/>
          <w:szCs w:val="36"/>
        </w:rPr>
        <w:t>Predicting Fund-Level Liquidity Stress Using Cross-Fund Network Intelligence and Explainable AI</w:t>
      </w:r>
    </w:p>
    <w:p w14:paraId="00F034D9" w14:textId="77777777" w:rsidR="00F06D94" w:rsidRDefault="00000000">
      <w:pPr>
        <w:spacing w:after="100"/>
        <w:jc w:val="center"/>
      </w:pPr>
      <w:r>
        <w:rPr>
          <w:i/>
          <w:iCs/>
          <w:color w:val="444444"/>
          <w:sz w:val="22"/>
          <w:szCs w:val="22"/>
        </w:rPr>
        <w:t>An Explainable, Evidence-Grounded, Graph-Aware Early-Warning System for Mutual Fund and ETF Liquidity Risk — with a Live Web &amp; Mobile Application Layer</w:t>
      </w:r>
    </w:p>
    <w:p w14:paraId="00F034DA" w14:textId="710BB2AD" w:rsidR="00F06D94" w:rsidRDefault="00F06D94">
      <w:pPr>
        <w:spacing w:before="800"/>
        <w:jc w:val="center"/>
      </w:pPr>
    </w:p>
    <w:p w14:paraId="00F034DB" w14:textId="77777777" w:rsidR="00F06D94" w:rsidRDefault="00F06D94">
      <w:pPr>
        <w:pageBreakBefore/>
      </w:pPr>
    </w:p>
    <w:p w14:paraId="00F034DC" w14:textId="77777777" w:rsidR="00F06D94" w:rsidRDefault="00000000">
      <w:pPr>
        <w:pStyle w:val="Heading1"/>
        <w:spacing w:before="320" w:after="160"/>
      </w:pPr>
      <w:r>
        <w:t>1. Problem Statement</w:t>
      </w:r>
    </w:p>
    <w:p w14:paraId="00F034DD" w14:textId="77777777" w:rsidR="00F06D94" w:rsidRDefault="00000000">
      <w:pPr>
        <w:spacing w:after="160" w:line="276" w:lineRule="auto"/>
      </w:pPr>
      <w:r>
        <w:t xml:space="preserve">Mutual funds and ETFs offer investors daily redemption while holding underlying assets that are not always equally easy to sell, creating a structural liquidity mismatch. This mismatch has repeatedly caused real investor harm — funds freezing redemptions or suspending trading during market stress (e.g., Franklin Templeton India 2020, Third Avenue 2015, Woodford 2019). Current fund disclosures (NAV, returns) do not reveal this hidden risk until it materializes, and publicly available regulatory data (Form N-PORT) remains underused for building predictive, explainable early-warning tools. It is also unclear whether liquidity risk should be assessed per fund in isolation, or whether liquidity conditions in other, similarly-exposed funds carry additional predictive value — and whether that spillover can be </w:t>
      </w:r>
      <w:proofErr w:type="spellStart"/>
      <w:r>
        <w:t>modeled</w:t>
      </w:r>
      <w:proofErr w:type="spellEnd"/>
      <w:r>
        <w:t xml:space="preserve"> as an explicit network/contagion mechanism rather than an implicit correlation.</w:t>
      </w:r>
    </w:p>
    <w:p w14:paraId="00F034DE" w14:textId="77777777" w:rsidR="00F06D94" w:rsidRDefault="00000000">
      <w:pPr>
        <w:pStyle w:val="Heading2"/>
        <w:spacing w:before="240" w:after="120"/>
      </w:pPr>
      <w:r>
        <w:t>1.1 Background</w:t>
      </w:r>
    </w:p>
    <w:p w14:paraId="00F034DF" w14:textId="77777777" w:rsidR="00F06D94" w:rsidRDefault="00000000">
      <w:pPr>
        <w:spacing w:after="160" w:line="276" w:lineRule="auto"/>
      </w:pPr>
      <w:r>
        <w:t>Liquidity refers to how easily an asset can be bought or sold without significantly moving its price. Funds pool investor money and promise flexible redemption, but their underlying holdings (corporate bonds, small-cap stocks, bank loans) may take much longer to sell at fair value — especially during stressed markets when many investors want to exit at once. This gap between promised liquidity and actual liquidity is known as liquidity risk, and it is a central concern for regulators such as the SEC, the Federal Reserve, and the Bank for International Settlements (BIS).</w:t>
      </w:r>
    </w:p>
    <w:p w14:paraId="00F034E0" w14:textId="77777777" w:rsidR="00F06D94" w:rsidRDefault="00000000">
      <w:pPr>
        <w:pStyle w:val="Heading2"/>
        <w:spacing w:before="240" w:after="120"/>
      </w:pPr>
      <w:r>
        <w:t>1.2 Research Gap</w:t>
      </w:r>
    </w:p>
    <w:p w14:paraId="00F034E1" w14:textId="77777777" w:rsidR="00F06D94" w:rsidRDefault="00000000">
      <w:pPr>
        <w:pStyle w:val="ListParagraph"/>
        <w:numPr>
          <w:ilvl w:val="0"/>
          <w:numId w:val="2"/>
        </w:numPr>
        <w:spacing w:after="100" w:line="276" w:lineRule="auto"/>
      </w:pPr>
      <w:r>
        <w:t>Regulatory/descriptive studies (SEC, BIS, Fed) document liquidity mismatch risk qualitatively or via aggregate statistics, but rarely build fund-level, forward-looking predictive models using disclosed portfolio data (Form N-PORT).</w:t>
      </w:r>
    </w:p>
    <w:p w14:paraId="00F034E2" w14:textId="77777777" w:rsidR="00F06D94" w:rsidRDefault="00000000">
      <w:pPr>
        <w:pStyle w:val="ListParagraph"/>
        <w:numPr>
          <w:ilvl w:val="0"/>
          <w:numId w:val="2"/>
        </w:numPr>
        <w:spacing w:after="100" w:line="276" w:lineRule="auto"/>
      </w:pPr>
      <w:r>
        <w:t xml:space="preserve">Academic liquidity literature (e.g., Amihud, Pastor-Stambaugh) measures illiquidity at the individual security </w:t>
      </w:r>
      <w:proofErr w:type="gramStart"/>
      <w:r>
        <w:t>level, but</w:t>
      </w:r>
      <w:proofErr w:type="gramEnd"/>
      <w:r>
        <w:t xml:space="preserve"> rarely aggregates it to the fund level to assess redemption-driven vulnerability.</w:t>
      </w:r>
    </w:p>
    <w:p w14:paraId="00F034E3" w14:textId="77777777" w:rsidR="00F06D94" w:rsidRDefault="00000000">
      <w:pPr>
        <w:pStyle w:val="ListParagraph"/>
        <w:numPr>
          <w:ilvl w:val="0"/>
          <w:numId w:val="2"/>
        </w:numPr>
        <w:spacing w:after="100" w:line="276" w:lineRule="auto"/>
      </w:pPr>
      <w:r>
        <w:t xml:space="preserve">Most fund liquidity analysis treats each fund in isolation; there is limited empirical work testing whether liquidity conditions in other, overlapping-holdings funds carry predictive information, and even less work </w:t>
      </w:r>
      <w:proofErr w:type="spellStart"/>
      <w:r>
        <w:t>modeling</w:t>
      </w:r>
      <w:proofErr w:type="spellEnd"/>
      <w:r>
        <w:t xml:space="preserve"> the explicit mechanism (shared holdings → forced sale → price impact → propagated stress) rather than just an implied correlation.</w:t>
      </w:r>
    </w:p>
    <w:p w14:paraId="00F034E4" w14:textId="77777777" w:rsidR="00F06D94" w:rsidRDefault="00000000">
      <w:pPr>
        <w:pStyle w:val="ListParagraph"/>
        <w:numPr>
          <w:ilvl w:val="0"/>
          <w:numId w:val="2"/>
        </w:numPr>
        <w:spacing w:after="100" w:line="276" w:lineRule="auto"/>
      </w:pPr>
      <w:r>
        <w:t>Explainability in financial risk models is typically limited to raw feature-importance scores, with little work connecting model-driven explanations to retrieved real-world evidence or to the structure of the underlying fund network.</w:t>
      </w:r>
    </w:p>
    <w:p w14:paraId="00F034E5" w14:textId="77777777" w:rsidR="00F06D94" w:rsidRDefault="00000000">
      <w:pPr>
        <w:pStyle w:val="ListParagraph"/>
        <w:numPr>
          <w:ilvl w:val="0"/>
          <w:numId w:val="2"/>
        </w:numPr>
        <w:spacing w:after="100" w:line="276" w:lineRule="auto"/>
      </w:pPr>
      <w:r>
        <w:t>Form N-PORT, public since 2019, remains underused in open, reproducible research due to the practical barrier of parsing XBRL filings.</w:t>
      </w:r>
    </w:p>
    <w:p w14:paraId="00F034E6" w14:textId="77777777" w:rsidR="00F06D94" w:rsidRDefault="00000000">
      <w:pPr>
        <w:spacing w:after="160" w:line="276" w:lineRule="auto"/>
      </w:pPr>
      <w:r>
        <w:t xml:space="preserve">In short: there is </w:t>
      </w:r>
      <w:proofErr w:type="gramStart"/>
      <w:r>
        <w:t>no</w:t>
      </w:r>
      <w:proofErr w:type="gramEnd"/>
      <w:r>
        <w:t xml:space="preserve"> widely available, evidence-grounded, fund-level early-warning system that predicts liquidity stress from disclosed holdings, models cross-fund network propagation and contagion explicitly, aggregates this into a sector-wide systemic index, and explains results in plain, sourced language — delivered through a live, interactive application.</w:t>
      </w:r>
    </w:p>
    <w:p w14:paraId="00F034E7" w14:textId="77777777" w:rsidR="00F06D94" w:rsidRDefault="00000000">
      <w:pPr>
        <w:pStyle w:val="Heading1"/>
        <w:spacing w:before="320" w:after="160"/>
      </w:pPr>
      <w:r>
        <w:t>2. Objectives</w:t>
      </w:r>
    </w:p>
    <w:p w14:paraId="00F034E8" w14:textId="77777777" w:rsidR="00F06D94" w:rsidRDefault="00000000">
      <w:pPr>
        <w:pStyle w:val="ListParagraph"/>
        <w:numPr>
          <w:ilvl w:val="0"/>
          <w:numId w:val="3"/>
        </w:numPr>
        <w:spacing w:after="100" w:line="276" w:lineRule="auto"/>
      </w:pPr>
      <w:r>
        <w:t>Develop a fund-level liquidity stress index using portfolio holdings and an expanded set of asset-level, fund-level, time-series, macro, and text-derived liquidity features derived from public disclosure data (Form N-PORT) and market data.</w:t>
      </w:r>
    </w:p>
    <w:p w14:paraId="00F034E9" w14:textId="77777777" w:rsidR="00F06D94" w:rsidRDefault="00000000">
      <w:pPr>
        <w:pStyle w:val="ListParagraph"/>
        <w:numPr>
          <w:ilvl w:val="0"/>
          <w:numId w:val="3"/>
        </w:numPr>
        <w:spacing w:after="100" w:line="276" w:lineRule="auto"/>
      </w:pPr>
      <w:r>
        <w:t>Test whether cross-fund information — including portfolio-overlap-weighted peer signals, network centrality, community structure, and temporal network evolution — improves prediction of a fund's future liquidity stress, compared to using the fund's own data alone.</w:t>
      </w:r>
    </w:p>
    <w:p w14:paraId="00F034EA" w14:textId="77777777" w:rsidR="00F06D94" w:rsidRDefault="00000000">
      <w:pPr>
        <w:pStyle w:val="ListParagraph"/>
        <w:numPr>
          <w:ilvl w:val="0"/>
          <w:numId w:val="3"/>
        </w:numPr>
        <w:spacing w:after="100" w:line="276" w:lineRule="auto"/>
      </w:pPr>
      <w:r>
        <w:lastRenderedPageBreak/>
        <w:t>Build an explainable, evidence-grounded system that interprets each prediction using SHAP-based feature attribution, graph-level explanation (centrality/peer contribution), and a retrieval-augmented (RAG) multi-provider LLM pipeline citing real fund disclosures and financial-stability research.</w:t>
      </w:r>
    </w:p>
    <w:p w14:paraId="00F034EB" w14:textId="77777777" w:rsidR="00F06D94" w:rsidRDefault="00000000">
      <w:pPr>
        <w:pStyle w:val="ListParagraph"/>
        <w:numPr>
          <w:ilvl w:val="0"/>
          <w:numId w:val="3"/>
        </w:numPr>
        <w:spacing w:after="100" w:line="276" w:lineRule="auto"/>
      </w:pPr>
      <w:r>
        <w:t>Model explicit liquidity contagion via a fire-sale simulation — estimating how forced liquidation in one fund propagates price impact and liquidity stress to overlapping funds — and aggregate fund-level results into a sector-wide Systemic Liquidity Risk Index.</w:t>
      </w:r>
    </w:p>
    <w:p w14:paraId="00F034EC" w14:textId="77777777" w:rsidR="00F06D94" w:rsidRDefault="00000000">
      <w:pPr>
        <w:pStyle w:val="ListParagraph"/>
        <w:numPr>
          <w:ilvl w:val="0"/>
          <w:numId w:val="3"/>
        </w:numPr>
        <w:spacing w:after="100" w:line="276" w:lineRule="auto"/>
      </w:pPr>
      <w:r>
        <w:t>Deliver the system as a working, interactive web and mobile application that computes fund-level results on demand using historical and live market data, and presents them through an explainable, click-through dashboard.</w:t>
      </w:r>
    </w:p>
    <w:p w14:paraId="00F034ED" w14:textId="77777777" w:rsidR="00F06D94" w:rsidRDefault="00000000">
      <w:pPr>
        <w:pStyle w:val="Heading2"/>
        <w:spacing w:before="240" w:after="120"/>
      </w:pPr>
      <w:r>
        <w:t>2.1 Objective Details</w:t>
      </w:r>
    </w:p>
    <w:p w14:paraId="00F034EE" w14:textId="77777777" w:rsidR="00F06D94" w:rsidRDefault="00000000">
      <w:pPr>
        <w:spacing w:after="160" w:line="276" w:lineRule="auto"/>
      </w:pPr>
      <w:r>
        <w:rPr>
          <w:b/>
          <w:bCs/>
        </w:rPr>
        <w:t xml:space="preserve">Objective 1 — Fund-Level Liquidity Index: </w:t>
      </w:r>
      <w:r>
        <w:t>Construct a quantitative liquidity stress score for individual mutual funds/ETFs by combining portfolio composition, asset-level liquidity proxies, fund/market-level signals, time-series momentum, macro context, and text-derived sentiment (full feature list in Section 6).</w:t>
      </w:r>
    </w:p>
    <w:p w14:paraId="00F034EF" w14:textId="77777777" w:rsidR="00F06D94" w:rsidRDefault="00000000">
      <w:pPr>
        <w:spacing w:after="160" w:line="276" w:lineRule="auto"/>
      </w:pPr>
      <w:r>
        <w:rPr>
          <w:b/>
          <w:bCs/>
        </w:rPr>
        <w:t xml:space="preserve">Objective 2 — Cross-Fund Prediction: </w:t>
      </w:r>
      <w:r>
        <w:t>Construct cross-fund features — portfolio overlap, peer-group average stress, network centrality (degree, eigenvector, betweenness), community/cluster membership (Louvain), and temporal network evolution (density, clustering coefficient over time) — and compare a fund-only predictive model, an overlap-weighted baseline, and a Graph Neural Network (</w:t>
      </w:r>
      <w:proofErr w:type="spellStart"/>
      <w:r>
        <w:t>GraphSAGE</w:t>
      </w:r>
      <w:proofErr w:type="spellEnd"/>
      <w:r>
        <w:t>/GAT) that learns propagation directly from the fund network, on out-of-sample performance (AUC, precision/recall).</w:t>
      </w:r>
    </w:p>
    <w:p w14:paraId="00F034F0" w14:textId="77777777" w:rsidR="00F06D94" w:rsidRDefault="00000000">
      <w:pPr>
        <w:spacing w:after="160" w:line="276" w:lineRule="auto"/>
      </w:pPr>
      <w:r>
        <w:rPr>
          <w:b/>
          <w:bCs/>
        </w:rPr>
        <w:t xml:space="preserve">Objective 3 — Explainability: </w:t>
      </w:r>
      <w:r>
        <w:t>Use SHAP to identify feature drivers behind each fund's prediction, surface graph-level explanations (which edges/peer funds/centrality measures drove the score), build a curated retrieval corpus, and generate citation-backed natural language explanations via a multi-provider RAG-LLM pipeline (Section 7) that selects the best-grounded output across providers.</w:t>
      </w:r>
    </w:p>
    <w:p w14:paraId="00F034F1" w14:textId="77777777" w:rsidR="00F06D94" w:rsidRDefault="00000000">
      <w:pPr>
        <w:spacing w:after="160" w:line="276" w:lineRule="auto"/>
      </w:pPr>
      <w:r>
        <w:rPr>
          <w:b/>
          <w:bCs/>
        </w:rPr>
        <w:t xml:space="preserve">Objective 4 — Contagion &amp; Systemic Risk: </w:t>
      </w:r>
      <w:r>
        <w:t>Simulate forced liquidation events and their price-impact propagation across overlapping funds (fire-sale mechanism), and aggregate fund-level scores and centrality into a single sector-wide Systemic Liquidity Risk Index tracked over time.</w:t>
      </w:r>
    </w:p>
    <w:p w14:paraId="00F034F2" w14:textId="77777777" w:rsidR="00F06D94" w:rsidRDefault="00000000">
      <w:pPr>
        <w:spacing w:after="160" w:line="276" w:lineRule="auto"/>
      </w:pPr>
      <w:r>
        <w:rPr>
          <w:b/>
          <w:bCs/>
        </w:rPr>
        <w:t xml:space="preserve">Objective 5 — Application Delivery: </w:t>
      </w:r>
      <w:r>
        <w:t>Implement the full pipeline as an interactive web and mobile application with on-demand, click-triggered computation per fund, live market data integration, and a multi-provider RAG explanation layer (Sections 7–9).</w:t>
      </w:r>
    </w:p>
    <w:p w14:paraId="00F034F3" w14:textId="77777777" w:rsidR="00F06D94" w:rsidRDefault="00000000">
      <w:pPr>
        <w:pStyle w:val="Heading1"/>
        <w:spacing w:before="320" w:after="160"/>
      </w:pPr>
      <w:r>
        <w:t>3. Novelty</w:t>
      </w:r>
    </w:p>
    <w:p w14:paraId="00F034F4" w14:textId="77777777" w:rsidR="00F06D94" w:rsidRDefault="00000000">
      <w:pPr>
        <w:pStyle w:val="ListParagraph"/>
        <w:numPr>
          <w:ilvl w:val="0"/>
          <w:numId w:val="2"/>
        </w:numPr>
        <w:spacing w:after="100" w:line="276" w:lineRule="auto"/>
      </w:pPr>
      <w:r>
        <w:t>Aggregation from security-level to fund-level: classical liquidity research (e.g., Amihud, 2002) measures illiquidity per security; this project aggregates security-level liquidity up to the fund level, accounting for portfolio weighting and concentration.</w:t>
      </w:r>
    </w:p>
    <w:p w14:paraId="00F034F5" w14:textId="77777777" w:rsidR="00F06D94" w:rsidRDefault="00000000">
      <w:pPr>
        <w:pStyle w:val="ListParagraph"/>
        <w:numPr>
          <w:ilvl w:val="0"/>
          <w:numId w:val="2"/>
        </w:numPr>
        <w:spacing w:after="100" w:line="276" w:lineRule="auto"/>
      </w:pPr>
      <w:r>
        <w:t xml:space="preserve">Network-aware cross-fund </w:t>
      </w:r>
      <w:proofErr w:type="spellStart"/>
      <w:r>
        <w:t>modeling</w:t>
      </w:r>
      <w:proofErr w:type="spellEnd"/>
      <w:r>
        <w:t>: rather than assuming all funds affect each other equally, cross-fund signals are weighted by portfolio overlap and further enriched with centrality, community detection, and temporal network evolution — and compared against a Graph Neural Network that learns the propagation pattern directly, rather than relying solely on hand-engineered features.</w:t>
      </w:r>
    </w:p>
    <w:p w14:paraId="00F034F6" w14:textId="77777777" w:rsidR="00F06D94" w:rsidRDefault="00000000">
      <w:pPr>
        <w:pStyle w:val="ListParagraph"/>
        <w:numPr>
          <w:ilvl w:val="0"/>
          <w:numId w:val="2"/>
        </w:numPr>
        <w:spacing w:after="100" w:line="276" w:lineRule="auto"/>
      </w:pPr>
      <w:r>
        <w:t>Explicit contagion mechanism: most related work infers spillover only from correlation/feature improvement; this project simulates the actual fire-sale mechanism (forced liquidation → price impact → propagated stress) to test the hypothesis mechanistically.</w:t>
      </w:r>
    </w:p>
    <w:p w14:paraId="00F034F7" w14:textId="77777777" w:rsidR="00F06D94" w:rsidRDefault="00000000">
      <w:pPr>
        <w:pStyle w:val="ListParagraph"/>
        <w:numPr>
          <w:ilvl w:val="0"/>
          <w:numId w:val="2"/>
        </w:numPr>
        <w:spacing w:after="100" w:line="276" w:lineRule="auto"/>
      </w:pPr>
      <w:r>
        <w:t xml:space="preserve">Systemic, sector-wide output: beyond fund-level scores, results are aggregated into a single Systemic Liquidity Risk Index — conceptually </w:t>
      </w:r>
      <w:proofErr w:type="gramStart"/>
      <w:r>
        <w:t>similar to</w:t>
      </w:r>
      <w:proofErr w:type="gramEnd"/>
      <w:r>
        <w:t xml:space="preserve"> systemic risk measures used in banking research (e.g., SRISK/CoVaR</w:t>
      </w:r>
      <w:proofErr w:type="gramStart"/>
      <w:r>
        <w:t>), but</w:t>
      </w:r>
      <w:proofErr w:type="gramEnd"/>
      <w:r>
        <w:t xml:space="preserve"> applied to the fund sector.</w:t>
      </w:r>
    </w:p>
    <w:p w14:paraId="00F034F8" w14:textId="77777777" w:rsidR="00F06D94" w:rsidRDefault="00000000">
      <w:pPr>
        <w:pStyle w:val="ListParagraph"/>
        <w:numPr>
          <w:ilvl w:val="0"/>
          <w:numId w:val="2"/>
        </w:numPr>
        <w:spacing w:after="100" w:line="276" w:lineRule="auto"/>
      </w:pPr>
      <w:r>
        <w:t>Evidence-grounded, multi-provider explainability: pairs SHAP and graph-level explanation with retrieval-augmented, citation-backed natural language explanations, generated across multiple LLM providers (</w:t>
      </w:r>
      <w:proofErr w:type="spellStart"/>
      <w:r>
        <w:t>Groq</w:t>
      </w:r>
      <w:proofErr w:type="spellEnd"/>
      <w:r>
        <w:t xml:space="preserve">, </w:t>
      </w:r>
      <w:proofErr w:type="spellStart"/>
      <w:r>
        <w:lastRenderedPageBreak/>
        <w:t>OpenRouter</w:t>
      </w:r>
      <w:proofErr w:type="spellEnd"/>
      <w:r>
        <w:t>, Gemini) with an automated best-outcome selection step — rather than relying on a single model's output.</w:t>
      </w:r>
    </w:p>
    <w:p w14:paraId="00F034F9" w14:textId="77777777" w:rsidR="00F06D94" w:rsidRDefault="00000000">
      <w:pPr>
        <w:pStyle w:val="ListParagraph"/>
        <w:numPr>
          <w:ilvl w:val="0"/>
          <w:numId w:val="2"/>
        </w:numPr>
        <w:spacing w:after="100" w:line="276" w:lineRule="auto"/>
      </w:pPr>
      <w:r>
        <w:t>Practical, underused dataset: Form N-PORT is public but rarely used in open, reproducible applied research due to its XBRL parsing overhead; this project builds a full pipeline from raw filings to a live, interactive explainable application.</w:t>
      </w:r>
    </w:p>
    <w:p w14:paraId="00F034FA" w14:textId="77777777" w:rsidR="00F06D94" w:rsidRDefault="00000000">
      <w:pPr>
        <w:pStyle w:val="Heading1"/>
        <w:spacing w:before="320" w:after="160"/>
      </w:pPr>
      <w:r>
        <w:t>4. Methodology</w:t>
      </w:r>
    </w:p>
    <w:p w14:paraId="00F034FB" w14:textId="77777777" w:rsidR="00F06D94" w:rsidRDefault="00000000">
      <w:pPr>
        <w:pStyle w:val="Heading2"/>
        <w:spacing w:before="240" w:after="120"/>
      </w:pPr>
      <w:r>
        <w:t>4.1 Data Sources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50"/>
        <w:gridCol w:w="3000"/>
      </w:tblGrid>
      <w:tr w:rsidR="00F06D94" w14:paraId="00F034FF" w14:textId="77777777">
        <w:tblPrEx>
          <w:tblCellMar>
            <w:top w:w="0" w:type="dxa"/>
            <w:bottom w:w="0" w:type="dxa"/>
          </w:tblCellMar>
        </w:tblPrEx>
        <w:trPr>
          <w:tblHeader/>
        </w:trPr>
        <w:tc>
          <w:tcPr>
            <w:tcW w:w="3000" w:type="dxa"/>
            <w:shd w:val="clear" w:color="auto" w:fill="1F4E79"/>
            <w:tcMar>
              <w:top w:w="100" w:type="dxa"/>
              <w:left w:w="120" w:type="dxa"/>
              <w:bottom w:w="100" w:type="dxa"/>
              <w:right w:w="120" w:type="dxa"/>
            </w:tcMar>
          </w:tcPr>
          <w:p w14:paraId="00F034FC" w14:textId="77777777" w:rsidR="00F06D94" w:rsidRDefault="00000000">
            <w:r>
              <w:rPr>
                <w:b/>
                <w:bCs/>
                <w:color w:val="FFFFFF"/>
              </w:rPr>
              <w:t>Data</w:t>
            </w:r>
          </w:p>
        </w:tc>
        <w:tc>
          <w:tcPr>
            <w:tcW w:w="3350" w:type="dxa"/>
            <w:shd w:val="clear" w:color="auto" w:fill="1F4E79"/>
            <w:tcMar>
              <w:top w:w="100" w:type="dxa"/>
              <w:left w:w="120" w:type="dxa"/>
              <w:bottom w:w="100" w:type="dxa"/>
              <w:right w:w="120" w:type="dxa"/>
            </w:tcMar>
          </w:tcPr>
          <w:p w14:paraId="00F034FD" w14:textId="77777777" w:rsidR="00F06D94" w:rsidRDefault="00000000">
            <w:r>
              <w:rPr>
                <w:b/>
                <w:bCs/>
                <w:color w:val="FFFFFF"/>
              </w:rPr>
              <w:t>Source</w:t>
            </w:r>
          </w:p>
        </w:tc>
        <w:tc>
          <w:tcPr>
            <w:tcW w:w="3000" w:type="dxa"/>
            <w:shd w:val="clear" w:color="auto" w:fill="1F4E79"/>
            <w:tcMar>
              <w:top w:w="100" w:type="dxa"/>
              <w:left w:w="120" w:type="dxa"/>
              <w:bottom w:w="100" w:type="dxa"/>
              <w:right w:w="120" w:type="dxa"/>
            </w:tcMar>
          </w:tcPr>
          <w:p w14:paraId="00F034FE" w14:textId="77777777" w:rsidR="00F06D94" w:rsidRDefault="00000000">
            <w:r>
              <w:rPr>
                <w:b/>
                <w:bCs/>
                <w:color w:val="FFFFFF"/>
              </w:rPr>
              <w:t>Purpose</w:t>
            </w:r>
          </w:p>
        </w:tc>
      </w:tr>
      <w:tr w:rsidR="00F06D94" w14:paraId="00F03503" w14:textId="77777777">
        <w:tblPrEx>
          <w:tblCellMar>
            <w:top w:w="0" w:type="dxa"/>
            <w:bottom w:w="0" w:type="dxa"/>
          </w:tblCellMar>
        </w:tblPrEx>
        <w:tc>
          <w:tcPr>
            <w:tcW w:w="3000" w:type="dxa"/>
            <w:tcMar>
              <w:top w:w="100" w:type="dxa"/>
              <w:left w:w="120" w:type="dxa"/>
              <w:bottom w:w="100" w:type="dxa"/>
              <w:right w:w="120" w:type="dxa"/>
            </w:tcMar>
          </w:tcPr>
          <w:p w14:paraId="00F03500" w14:textId="77777777" w:rsidR="00F06D94" w:rsidRDefault="00000000">
            <w:r>
              <w:t>Monthly portfolio holdings</w:t>
            </w:r>
          </w:p>
        </w:tc>
        <w:tc>
          <w:tcPr>
            <w:tcW w:w="3350" w:type="dxa"/>
            <w:tcMar>
              <w:top w:w="100" w:type="dxa"/>
              <w:left w:w="120" w:type="dxa"/>
              <w:bottom w:w="100" w:type="dxa"/>
              <w:right w:w="120" w:type="dxa"/>
            </w:tcMar>
          </w:tcPr>
          <w:p w14:paraId="00F03501" w14:textId="77777777" w:rsidR="00F06D94" w:rsidRDefault="00000000">
            <w:r>
              <w:t>SEC Form N-PORT (EDGAR, free)</w:t>
            </w:r>
          </w:p>
        </w:tc>
        <w:tc>
          <w:tcPr>
            <w:tcW w:w="3000" w:type="dxa"/>
            <w:tcMar>
              <w:top w:w="100" w:type="dxa"/>
              <w:left w:w="120" w:type="dxa"/>
              <w:bottom w:w="100" w:type="dxa"/>
              <w:right w:w="120" w:type="dxa"/>
            </w:tcMar>
          </w:tcPr>
          <w:p w14:paraId="00F03502" w14:textId="77777777" w:rsidR="00F06D94" w:rsidRDefault="00000000">
            <w:r>
              <w:t>Fund composition, weights, asset types</w:t>
            </w:r>
          </w:p>
        </w:tc>
      </w:tr>
      <w:tr w:rsidR="00F06D94" w14:paraId="00F03507" w14:textId="77777777">
        <w:tblPrEx>
          <w:tblCellMar>
            <w:top w:w="0" w:type="dxa"/>
            <w:bottom w:w="0" w:type="dxa"/>
          </w:tblCellMar>
        </w:tblPrEx>
        <w:tc>
          <w:tcPr>
            <w:tcW w:w="3000" w:type="dxa"/>
            <w:tcMar>
              <w:top w:w="100" w:type="dxa"/>
              <w:left w:w="120" w:type="dxa"/>
              <w:bottom w:w="100" w:type="dxa"/>
              <w:right w:w="120" w:type="dxa"/>
            </w:tcMar>
          </w:tcPr>
          <w:p w14:paraId="00F03504" w14:textId="77777777" w:rsidR="00F06D94" w:rsidRDefault="00000000">
            <w:r>
              <w:t>Historical &amp; live price/volume</w:t>
            </w:r>
          </w:p>
        </w:tc>
        <w:tc>
          <w:tcPr>
            <w:tcW w:w="3350" w:type="dxa"/>
            <w:tcMar>
              <w:top w:w="100" w:type="dxa"/>
              <w:left w:w="120" w:type="dxa"/>
              <w:bottom w:w="100" w:type="dxa"/>
              <w:right w:w="120" w:type="dxa"/>
            </w:tcMar>
          </w:tcPr>
          <w:p w14:paraId="00F03505" w14:textId="77777777" w:rsidR="00F06D94" w:rsidRDefault="00000000">
            <w:r>
              <w:t>Twelve Data API</w:t>
            </w:r>
          </w:p>
        </w:tc>
        <w:tc>
          <w:tcPr>
            <w:tcW w:w="3000" w:type="dxa"/>
            <w:tcMar>
              <w:top w:w="100" w:type="dxa"/>
              <w:left w:w="120" w:type="dxa"/>
              <w:bottom w:w="100" w:type="dxa"/>
              <w:right w:w="120" w:type="dxa"/>
            </w:tcMar>
          </w:tcPr>
          <w:p w14:paraId="00F03506" w14:textId="77777777" w:rsidR="00F06D94" w:rsidRDefault="00000000">
            <w:r>
              <w:t xml:space="preserve">Feature computation, </w:t>
            </w:r>
            <w:proofErr w:type="gramStart"/>
            <w:r>
              <w:t>on-demand</w:t>
            </w:r>
            <w:proofErr w:type="gramEnd"/>
            <w:r>
              <w:t xml:space="preserve"> </w:t>
            </w:r>
            <w:proofErr w:type="spellStart"/>
            <w:r>
              <w:t>recomputation</w:t>
            </w:r>
            <w:proofErr w:type="spellEnd"/>
            <w:r>
              <w:t>, historical stock view</w:t>
            </w:r>
          </w:p>
        </w:tc>
      </w:tr>
      <w:tr w:rsidR="00F06D94" w14:paraId="00F0350B" w14:textId="77777777">
        <w:tblPrEx>
          <w:tblCellMar>
            <w:top w:w="0" w:type="dxa"/>
            <w:bottom w:w="0" w:type="dxa"/>
          </w:tblCellMar>
        </w:tblPrEx>
        <w:tc>
          <w:tcPr>
            <w:tcW w:w="3000" w:type="dxa"/>
            <w:tcMar>
              <w:top w:w="100" w:type="dxa"/>
              <w:left w:w="120" w:type="dxa"/>
              <w:bottom w:w="100" w:type="dxa"/>
              <w:right w:w="120" w:type="dxa"/>
            </w:tcMar>
          </w:tcPr>
          <w:p w14:paraId="00F03508" w14:textId="77777777" w:rsidR="00F06D94" w:rsidRDefault="00000000">
            <w:r>
              <w:t>Fund disclosures</w:t>
            </w:r>
          </w:p>
        </w:tc>
        <w:tc>
          <w:tcPr>
            <w:tcW w:w="3350" w:type="dxa"/>
            <w:tcMar>
              <w:top w:w="100" w:type="dxa"/>
              <w:left w:w="120" w:type="dxa"/>
              <w:bottom w:w="100" w:type="dxa"/>
              <w:right w:w="120" w:type="dxa"/>
            </w:tcMar>
          </w:tcPr>
          <w:p w14:paraId="00F03509" w14:textId="77777777" w:rsidR="00F06D94" w:rsidRDefault="00000000">
            <w:r>
              <w:t>Prospectus, N-PORT narrative sections</w:t>
            </w:r>
          </w:p>
        </w:tc>
        <w:tc>
          <w:tcPr>
            <w:tcW w:w="3000" w:type="dxa"/>
            <w:tcMar>
              <w:top w:w="100" w:type="dxa"/>
              <w:left w:w="120" w:type="dxa"/>
              <w:bottom w:w="100" w:type="dxa"/>
              <w:right w:w="120" w:type="dxa"/>
            </w:tcMar>
          </w:tcPr>
          <w:p w14:paraId="00F0350A" w14:textId="77777777" w:rsidR="00F06D94" w:rsidRDefault="00000000">
            <w:r>
              <w:t>RAG retrieval corpus; text-derived NLP features</w:t>
            </w:r>
          </w:p>
        </w:tc>
      </w:tr>
      <w:tr w:rsidR="00F06D94" w14:paraId="00F0350F" w14:textId="77777777">
        <w:tblPrEx>
          <w:tblCellMar>
            <w:top w:w="0" w:type="dxa"/>
            <w:bottom w:w="0" w:type="dxa"/>
          </w:tblCellMar>
        </w:tblPrEx>
        <w:tc>
          <w:tcPr>
            <w:tcW w:w="3000" w:type="dxa"/>
            <w:tcMar>
              <w:top w:w="100" w:type="dxa"/>
              <w:left w:w="120" w:type="dxa"/>
              <w:bottom w:w="100" w:type="dxa"/>
              <w:right w:w="120" w:type="dxa"/>
            </w:tcMar>
          </w:tcPr>
          <w:p w14:paraId="00F0350C" w14:textId="77777777" w:rsidR="00F06D94" w:rsidRDefault="00000000">
            <w:r>
              <w:t>Financial-stability research</w:t>
            </w:r>
          </w:p>
        </w:tc>
        <w:tc>
          <w:tcPr>
            <w:tcW w:w="3350" w:type="dxa"/>
            <w:tcMar>
              <w:top w:w="100" w:type="dxa"/>
              <w:left w:w="120" w:type="dxa"/>
              <w:bottom w:w="100" w:type="dxa"/>
              <w:right w:w="120" w:type="dxa"/>
            </w:tcMar>
          </w:tcPr>
          <w:p w14:paraId="00F0350D" w14:textId="77777777" w:rsidR="00F06D94" w:rsidRDefault="00000000">
            <w:r>
              <w:t>BIS / Federal Reserve reports (curated, 5–10 docs)</w:t>
            </w:r>
          </w:p>
        </w:tc>
        <w:tc>
          <w:tcPr>
            <w:tcW w:w="3000" w:type="dxa"/>
            <w:tcMar>
              <w:top w:w="100" w:type="dxa"/>
              <w:left w:w="120" w:type="dxa"/>
              <w:bottom w:w="100" w:type="dxa"/>
              <w:right w:w="120" w:type="dxa"/>
            </w:tcMar>
          </w:tcPr>
          <w:p w14:paraId="00F0350E" w14:textId="77777777" w:rsidR="00F06D94" w:rsidRDefault="00000000">
            <w:r>
              <w:t>RAG retrieval corpus (market-level evidence)</w:t>
            </w:r>
          </w:p>
        </w:tc>
      </w:tr>
    </w:tbl>
    <w:p w14:paraId="00F03510" w14:textId="77777777" w:rsidR="00F06D94" w:rsidRDefault="00000000">
      <w:pPr>
        <w:pStyle w:val="Heading2"/>
        <w:spacing w:before="240" w:after="120"/>
      </w:pPr>
      <w:r>
        <w:t>4.2 Fund Selection</w:t>
      </w:r>
    </w:p>
    <w:p w14:paraId="00F03511" w14:textId="77777777" w:rsidR="00F06D94" w:rsidRDefault="00000000">
      <w:pPr>
        <w:spacing w:after="160" w:line="276" w:lineRule="auto"/>
      </w:pPr>
      <w:r>
        <w:t>A sample of approximately 15–30 mutual funds/ETFs will be selected across a spread of liquidity-risk categories (low, medium, high) so the model has meaningful variation to learn from, using 2–3 years of monthly holdings history per fund.</w:t>
      </w:r>
    </w:p>
    <w:p w14:paraId="00F03512" w14:textId="77777777" w:rsidR="00F06D94" w:rsidRDefault="00000000">
      <w:pPr>
        <w:pStyle w:val="Heading2"/>
        <w:spacing w:before="240" w:after="120"/>
      </w:pPr>
      <w:r>
        <w:t>4.3 Liquidity Index Construction (Objective 1)</w:t>
      </w:r>
    </w:p>
    <w:p w14:paraId="00F03513" w14:textId="77777777" w:rsidR="00F06D94" w:rsidRDefault="00000000">
      <w:pPr>
        <w:spacing w:after="160" w:line="276" w:lineRule="auto"/>
      </w:pPr>
      <w:r>
        <w:t>Fund-level liquidity risk is derived, not directly reported, using a weighted combination of holding-level liquidity proxies:</w:t>
      </w:r>
    </w:p>
    <w:p w14:paraId="00F03514" w14:textId="77777777" w:rsidR="00F06D94" w:rsidRDefault="00000000">
      <w:pPr>
        <w:spacing w:before="120" w:after="120"/>
        <w:jc w:val="center"/>
      </w:pPr>
      <w:proofErr w:type="spellStart"/>
      <w:r>
        <w:rPr>
          <w:i/>
          <w:iCs/>
          <w:sz w:val="22"/>
          <w:szCs w:val="22"/>
        </w:rPr>
        <w:t>FundLiquidityRisk</w:t>
      </w:r>
      <w:proofErr w:type="spellEnd"/>
      <w:r>
        <w:rPr>
          <w:i/>
          <w:iCs/>
          <w:sz w:val="22"/>
          <w:szCs w:val="22"/>
        </w:rPr>
        <w:t xml:space="preserve"> = Σ (Weightᵢ × </w:t>
      </w:r>
      <w:proofErr w:type="spellStart"/>
      <w:r>
        <w:rPr>
          <w:i/>
          <w:iCs/>
          <w:sz w:val="22"/>
          <w:szCs w:val="22"/>
        </w:rPr>
        <w:t>AssetLiquidityRisk</w:t>
      </w:r>
      <w:proofErr w:type="spellEnd"/>
      <w:r>
        <w:rPr>
          <w:i/>
          <w:iCs/>
          <w:sz w:val="22"/>
          <w:szCs w:val="22"/>
        </w:rPr>
        <w:t>ᵢ)</w:t>
      </w:r>
    </w:p>
    <w:p w14:paraId="00F03515" w14:textId="77777777" w:rsidR="00F06D94" w:rsidRDefault="00000000">
      <w:pPr>
        <w:spacing w:after="160" w:line="276" w:lineRule="auto"/>
      </w:pPr>
      <w:r>
        <w:t>This base formula is extended with the full feature set in Section 6, combining composition, asset liquidity, fund/market, time-series, network, macro, and text-derived signals.</w:t>
      </w:r>
    </w:p>
    <w:p w14:paraId="00F03516" w14:textId="77777777" w:rsidR="00F06D94" w:rsidRDefault="00000000">
      <w:pPr>
        <w:pStyle w:val="Heading2"/>
        <w:spacing w:before="240" w:after="120"/>
      </w:pPr>
      <w:r>
        <w:t xml:space="preserve">4.4 Predictive </w:t>
      </w:r>
      <w:proofErr w:type="spellStart"/>
      <w:r>
        <w:t>Modeling</w:t>
      </w:r>
      <w:proofErr w:type="spellEnd"/>
      <w:r>
        <w:t xml:space="preserve"> (Objective 2)</w:t>
      </w:r>
    </w:p>
    <w:p w14:paraId="00F03517" w14:textId="77777777" w:rsidR="00F06D94" w:rsidRDefault="00000000">
      <w:pPr>
        <w:spacing w:after="160" w:line="276" w:lineRule="auto"/>
      </w:pPr>
      <w:r>
        <w:t>Three model tiers are built and compared:</w:t>
      </w:r>
    </w:p>
    <w:p w14:paraId="00F03518" w14:textId="77777777" w:rsidR="00F06D94" w:rsidRDefault="00000000">
      <w:pPr>
        <w:spacing w:after="160" w:line="276" w:lineRule="auto"/>
      </w:pPr>
      <w:r>
        <w:rPr>
          <w:b/>
          <w:bCs/>
        </w:rPr>
        <w:t xml:space="preserve">Model A (fund-only): </w:t>
      </w:r>
      <w:r>
        <w:t>Predicts a fund's future liquidity stress using only that fund's own historical features.</w:t>
      </w:r>
    </w:p>
    <w:p w14:paraId="00F03519" w14:textId="77777777" w:rsidR="00F06D94" w:rsidRDefault="00000000">
      <w:pPr>
        <w:spacing w:after="160" w:line="276" w:lineRule="auto"/>
      </w:pPr>
      <w:r>
        <w:rPr>
          <w:b/>
          <w:bCs/>
        </w:rPr>
        <w:t xml:space="preserve">Model B (overlap-weighted cross-fund): </w:t>
      </w:r>
      <w:r>
        <w:t>Adds hand-engineered, portfolio-overlap-weighted peer features (peer-group stress, centrality, cluster membership).</w:t>
      </w:r>
    </w:p>
    <w:p w14:paraId="00F0351A" w14:textId="77777777" w:rsidR="00F06D94" w:rsidRDefault="00000000">
      <w:pPr>
        <w:spacing w:after="160" w:line="276" w:lineRule="auto"/>
      </w:pPr>
      <w:r>
        <w:rPr>
          <w:b/>
          <w:bCs/>
        </w:rPr>
        <w:t xml:space="preserve">Model C (Graph Neural Network): </w:t>
      </w:r>
      <w:r>
        <w:t xml:space="preserve">A </w:t>
      </w:r>
      <w:proofErr w:type="spellStart"/>
      <w:r>
        <w:t>GraphSAGE</w:t>
      </w:r>
      <w:proofErr w:type="spellEnd"/>
      <w:r>
        <w:t xml:space="preserve"> or Graph Attention Network ingests the fund network directly (nodes = funds, edges = overlap) and learns the propagation function end-to-end, rather than relying on hand-engineered overlap features.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50"/>
      </w:tblGrid>
      <w:tr w:rsidR="00F06D94" w14:paraId="00F0351D" w14:textId="77777777">
        <w:tblPrEx>
          <w:tblCellMar>
            <w:top w:w="0" w:type="dxa"/>
            <w:bottom w:w="0" w:type="dxa"/>
          </w:tblCellMar>
        </w:tblPrEx>
        <w:trPr>
          <w:tblHeader/>
        </w:trPr>
        <w:tc>
          <w:tcPr>
            <w:tcW w:w="4300" w:type="dxa"/>
            <w:shd w:val="clear" w:color="auto" w:fill="1F4E79"/>
            <w:tcMar>
              <w:top w:w="100" w:type="dxa"/>
              <w:left w:w="120" w:type="dxa"/>
              <w:bottom w:w="100" w:type="dxa"/>
              <w:right w:w="120" w:type="dxa"/>
            </w:tcMar>
          </w:tcPr>
          <w:p w14:paraId="00F0351B" w14:textId="77777777" w:rsidR="00F06D94" w:rsidRDefault="00000000">
            <w:r>
              <w:rPr>
                <w:b/>
                <w:bCs/>
                <w:color w:val="FFFFFF"/>
              </w:rPr>
              <w:lastRenderedPageBreak/>
              <w:t>Model</w:t>
            </w:r>
          </w:p>
        </w:tc>
        <w:tc>
          <w:tcPr>
            <w:tcW w:w="5050" w:type="dxa"/>
            <w:shd w:val="clear" w:color="auto" w:fill="1F4E79"/>
            <w:tcMar>
              <w:top w:w="100" w:type="dxa"/>
              <w:left w:w="120" w:type="dxa"/>
              <w:bottom w:w="100" w:type="dxa"/>
              <w:right w:w="120" w:type="dxa"/>
            </w:tcMar>
          </w:tcPr>
          <w:p w14:paraId="00F0351C" w14:textId="77777777" w:rsidR="00F06D94" w:rsidRDefault="00000000">
            <w:r>
              <w:rPr>
                <w:b/>
                <w:bCs/>
                <w:color w:val="FFFFFF"/>
              </w:rPr>
              <w:t>Role</w:t>
            </w:r>
          </w:p>
        </w:tc>
      </w:tr>
      <w:tr w:rsidR="00F06D94" w14:paraId="00F03520" w14:textId="77777777">
        <w:tblPrEx>
          <w:tblCellMar>
            <w:top w:w="0" w:type="dxa"/>
            <w:bottom w:w="0" w:type="dxa"/>
          </w:tblCellMar>
        </w:tblPrEx>
        <w:tc>
          <w:tcPr>
            <w:tcW w:w="4300" w:type="dxa"/>
            <w:tcMar>
              <w:top w:w="100" w:type="dxa"/>
              <w:left w:w="120" w:type="dxa"/>
              <w:bottom w:w="100" w:type="dxa"/>
              <w:right w:w="120" w:type="dxa"/>
            </w:tcMar>
          </w:tcPr>
          <w:p w14:paraId="00F0351E" w14:textId="77777777" w:rsidR="00F06D94" w:rsidRDefault="00000000">
            <w:r>
              <w:t>Logistic Regression</w:t>
            </w:r>
          </w:p>
        </w:tc>
        <w:tc>
          <w:tcPr>
            <w:tcW w:w="5050" w:type="dxa"/>
            <w:tcMar>
              <w:top w:w="100" w:type="dxa"/>
              <w:left w:w="120" w:type="dxa"/>
              <w:bottom w:w="100" w:type="dxa"/>
              <w:right w:w="120" w:type="dxa"/>
            </w:tcMar>
          </w:tcPr>
          <w:p w14:paraId="00F0351F" w14:textId="77777777" w:rsidR="00F06D94" w:rsidRDefault="00000000">
            <w:r>
              <w:t>Baseline classifier</w:t>
            </w:r>
          </w:p>
        </w:tc>
      </w:tr>
      <w:tr w:rsidR="00F06D94" w14:paraId="00F03523" w14:textId="77777777">
        <w:tblPrEx>
          <w:tblCellMar>
            <w:top w:w="0" w:type="dxa"/>
            <w:bottom w:w="0" w:type="dxa"/>
          </w:tblCellMar>
        </w:tblPrEx>
        <w:tc>
          <w:tcPr>
            <w:tcW w:w="4300" w:type="dxa"/>
            <w:tcMar>
              <w:top w:w="100" w:type="dxa"/>
              <w:left w:w="120" w:type="dxa"/>
              <w:bottom w:w="100" w:type="dxa"/>
              <w:right w:w="120" w:type="dxa"/>
            </w:tcMar>
          </w:tcPr>
          <w:p w14:paraId="00F03521" w14:textId="77777777" w:rsidR="00F06D94" w:rsidRDefault="00000000">
            <w:r>
              <w:t>Random Forest</w:t>
            </w:r>
          </w:p>
        </w:tc>
        <w:tc>
          <w:tcPr>
            <w:tcW w:w="5050" w:type="dxa"/>
            <w:tcMar>
              <w:top w:w="100" w:type="dxa"/>
              <w:left w:w="120" w:type="dxa"/>
              <w:bottom w:w="100" w:type="dxa"/>
              <w:right w:w="120" w:type="dxa"/>
            </w:tcMar>
          </w:tcPr>
          <w:p w14:paraId="00F03522" w14:textId="77777777" w:rsidR="00F06D94" w:rsidRDefault="00000000">
            <w:r>
              <w:t>Non-linear ML baseline</w:t>
            </w:r>
          </w:p>
        </w:tc>
      </w:tr>
      <w:tr w:rsidR="00F06D94" w14:paraId="00F03526" w14:textId="77777777">
        <w:tblPrEx>
          <w:tblCellMar>
            <w:top w:w="0" w:type="dxa"/>
            <w:bottom w:w="0" w:type="dxa"/>
          </w:tblCellMar>
        </w:tblPrEx>
        <w:tc>
          <w:tcPr>
            <w:tcW w:w="4300" w:type="dxa"/>
            <w:tcMar>
              <w:top w:w="100" w:type="dxa"/>
              <w:left w:w="120" w:type="dxa"/>
              <w:bottom w:w="100" w:type="dxa"/>
              <w:right w:w="120" w:type="dxa"/>
            </w:tcMar>
          </w:tcPr>
          <w:p w14:paraId="00F03524" w14:textId="77777777" w:rsidR="00F06D94" w:rsidRDefault="00000000">
            <w:proofErr w:type="spellStart"/>
            <w:r>
              <w:t>XGBoost</w:t>
            </w:r>
            <w:proofErr w:type="spellEnd"/>
            <w:r>
              <w:t xml:space="preserve"> / </w:t>
            </w:r>
            <w:proofErr w:type="spellStart"/>
            <w:r>
              <w:t>LightGBM</w:t>
            </w:r>
            <w:proofErr w:type="spellEnd"/>
          </w:p>
        </w:tc>
        <w:tc>
          <w:tcPr>
            <w:tcW w:w="5050" w:type="dxa"/>
            <w:tcMar>
              <w:top w:w="100" w:type="dxa"/>
              <w:left w:w="120" w:type="dxa"/>
              <w:bottom w:w="100" w:type="dxa"/>
              <w:right w:w="120" w:type="dxa"/>
            </w:tcMar>
          </w:tcPr>
          <w:p w14:paraId="00F03525" w14:textId="77777777" w:rsidR="00F06D94" w:rsidRDefault="00000000">
            <w:r>
              <w:t>Strong tabular model, primary comparison model</w:t>
            </w:r>
          </w:p>
        </w:tc>
      </w:tr>
      <w:tr w:rsidR="00F06D94" w14:paraId="00F03529" w14:textId="77777777">
        <w:tblPrEx>
          <w:tblCellMar>
            <w:top w:w="0" w:type="dxa"/>
            <w:bottom w:w="0" w:type="dxa"/>
          </w:tblCellMar>
        </w:tblPrEx>
        <w:tc>
          <w:tcPr>
            <w:tcW w:w="4300" w:type="dxa"/>
            <w:tcMar>
              <w:top w:w="100" w:type="dxa"/>
              <w:left w:w="120" w:type="dxa"/>
              <w:bottom w:w="100" w:type="dxa"/>
              <w:right w:w="120" w:type="dxa"/>
            </w:tcMar>
          </w:tcPr>
          <w:p w14:paraId="00F03527" w14:textId="77777777" w:rsidR="00F06D94" w:rsidRDefault="00000000">
            <w:r>
              <w:t>LSTM</w:t>
            </w:r>
          </w:p>
        </w:tc>
        <w:tc>
          <w:tcPr>
            <w:tcW w:w="5050" w:type="dxa"/>
            <w:tcMar>
              <w:top w:w="100" w:type="dxa"/>
              <w:left w:w="120" w:type="dxa"/>
              <w:bottom w:w="100" w:type="dxa"/>
              <w:right w:w="120" w:type="dxa"/>
            </w:tcMar>
          </w:tcPr>
          <w:p w14:paraId="00F03528" w14:textId="77777777" w:rsidR="00F06D94" w:rsidRDefault="00000000">
            <w:r>
              <w:t>Captures temporal/sequential liquidity trends</w:t>
            </w:r>
          </w:p>
        </w:tc>
      </w:tr>
      <w:tr w:rsidR="00F06D94" w14:paraId="00F0352C" w14:textId="77777777">
        <w:tblPrEx>
          <w:tblCellMar>
            <w:top w:w="0" w:type="dxa"/>
            <w:bottom w:w="0" w:type="dxa"/>
          </w:tblCellMar>
        </w:tblPrEx>
        <w:tc>
          <w:tcPr>
            <w:tcW w:w="4300" w:type="dxa"/>
            <w:tcMar>
              <w:top w:w="100" w:type="dxa"/>
              <w:left w:w="120" w:type="dxa"/>
              <w:bottom w:w="100" w:type="dxa"/>
              <w:right w:w="120" w:type="dxa"/>
            </w:tcMar>
          </w:tcPr>
          <w:p w14:paraId="00F0352A" w14:textId="77777777" w:rsidR="00F06D94" w:rsidRDefault="00000000">
            <w:proofErr w:type="spellStart"/>
            <w:r>
              <w:t>GraphSAGE</w:t>
            </w:r>
            <w:proofErr w:type="spellEnd"/>
            <w:r>
              <w:t xml:space="preserve"> / Graph Attention Network (GNN)</w:t>
            </w:r>
          </w:p>
        </w:tc>
        <w:tc>
          <w:tcPr>
            <w:tcW w:w="5050" w:type="dxa"/>
            <w:tcMar>
              <w:top w:w="100" w:type="dxa"/>
              <w:left w:w="120" w:type="dxa"/>
              <w:bottom w:w="100" w:type="dxa"/>
              <w:right w:w="120" w:type="dxa"/>
            </w:tcMar>
          </w:tcPr>
          <w:p w14:paraId="00F0352B" w14:textId="77777777" w:rsidR="00F06D94" w:rsidRDefault="00000000">
            <w:r>
              <w:t>Learns cross-fund propagation directly from the fund network</w:t>
            </w:r>
          </w:p>
        </w:tc>
      </w:tr>
    </w:tbl>
    <w:p w14:paraId="00F0352D" w14:textId="77777777" w:rsidR="00F06D94" w:rsidRDefault="00000000">
      <w:pPr>
        <w:spacing w:after="160" w:line="276" w:lineRule="auto"/>
      </w:pPr>
      <w:r>
        <w:t>All models are evaluated on held-out (out-of-sample) months using AUC, precision, and recall. A statistically meaningful improvement from Model B/C over Model A is treated as evidence that cross-fund information carries predictive value — an associational finding, not a causal claim.</w:t>
      </w:r>
    </w:p>
    <w:p w14:paraId="00F0352E" w14:textId="77777777" w:rsidR="00F06D94" w:rsidRDefault="00000000">
      <w:pPr>
        <w:pStyle w:val="Heading2"/>
        <w:spacing w:before="240" w:after="120"/>
      </w:pPr>
      <w:r>
        <w:t>4.5 Cross-Fund Network Analysis (Objective 2, extended)</w:t>
      </w:r>
    </w:p>
    <w:p w14:paraId="00F0352F" w14:textId="77777777" w:rsidR="00F06D94" w:rsidRDefault="00000000">
      <w:pPr>
        <w:pStyle w:val="ListParagraph"/>
        <w:numPr>
          <w:ilvl w:val="0"/>
          <w:numId w:val="2"/>
        </w:numPr>
        <w:spacing w:after="100" w:line="276" w:lineRule="auto"/>
      </w:pPr>
      <w:r>
        <w:t>Network centrality: degree, eigenvector, and betweenness centrality computed per fund per period to identify systemically important (“hub”) funds.</w:t>
      </w:r>
    </w:p>
    <w:p w14:paraId="00F03530" w14:textId="77777777" w:rsidR="00F06D94" w:rsidRDefault="00000000">
      <w:pPr>
        <w:pStyle w:val="ListParagraph"/>
        <w:numPr>
          <w:ilvl w:val="0"/>
          <w:numId w:val="2"/>
        </w:numPr>
        <w:spacing w:after="100" w:line="276" w:lineRule="auto"/>
      </w:pPr>
      <w:r>
        <w:t>Community/cluster detection: Louvain algorithm applied to the overlap network to detect groups of funds with tightly shared exposure, even across different stated fund categories.</w:t>
      </w:r>
    </w:p>
    <w:p w14:paraId="00F03531" w14:textId="77777777" w:rsidR="00F06D94" w:rsidRDefault="00000000">
      <w:pPr>
        <w:pStyle w:val="ListParagraph"/>
        <w:numPr>
          <w:ilvl w:val="0"/>
          <w:numId w:val="2"/>
        </w:numPr>
        <w:spacing w:after="100" w:line="276" w:lineRule="auto"/>
      </w:pPr>
      <w:r>
        <w:t>Temporal network evolution: network density and clustering coefficient tracked month-by-month; rising values are tested as an early-warning signal ahead of known stress periods, independent of any single fund's own score.</w:t>
      </w:r>
    </w:p>
    <w:p w14:paraId="00F03532" w14:textId="77777777" w:rsidR="00F06D94" w:rsidRDefault="00000000">
      <w:pPr>
        <w:pStyle w:val="Heading2"/>
        <w:spacing w:before="240" w:after="120"/>
      </w:pPr>
      <w:r>
        <w:t>4.6 Contagion Simulation (Objective 4)</w:t>
      </w:r>
    </w:p>
    <w:p w14:paraId="00F03533" w14:textId="77777777" w:rsidR="00F06D94" w:rsidRDefault="00000000">
      <w:pPr>
        <w:spacing w:after="160" w:line="276" w:lineRule="auto"/>
      </w:pPr>
      <w:r>
        <w:t xml:space="preserve">A fire-sale simulation </w:t>
      </w:r>
      <w:proofErr w:type="gramStart"/>
      <w:r>
        <w:t>models</w:t>
      </w:r>
      <w:proofErr w:type="gramEnd"/>
      <w:r>
        <w:t xml:space="preserve"> explicit liquidity </w:t>
      </w:r>
      <w:proofErr w:type="gramStart"/>
      <w:r>
        <w:t>contagion:</w:t>
      </w:r>
      <w:proofErr w:type="gramEnd"/>
      <w:r>
        <w:t xml:space="preserve"> given a forced liquidation of X% of a holding by one fund, a price-impact model (</w:t>
      </w:r>
      <w:proofErr w:type="spellStart"/>
      <w:r>
        <w:t>Amihud</w:t>
      </w:r>
      <w:proofErr w:type="spellEnd"/>
      <w:r>
        <w:t>-style) estimates the resulting price drop in that security; this shock is then propagated to every other fund holding the same security, weighted by their exposure, and their liquidity stress scores are recomputed. This operationalizes the shared-exposure mechanism as a testable simulation rather than an inferred correlation.</w:t>
      </w:r>
    </w:p>
    <w:p w14:paraId="00F03534" w14:textId="77777777" w:rsidR="00F06D94" w:rsidRDefault="00000000">
      <w:pPr>
        <w:pStyle w:val="Heading2"/>
        <w:spacing w:before="240" w:after="120"/>
      </w:pPr>
      <w:r>
        <w:t>4.7 Systemic Output (Objective 4)</w:t>
      </w:r>
    </w:p>
    <w:p w14:paraId="00F03535" w14:textId="77777777" w:rsidR="00F06D94" w:rsidRDefault="00000000">
      <w:pPr>
        <w:spacing w:after="160" w:line="276" w:lineRule="auto"/>
      </w:pPr>
      <w:r>
        <w:t>Fund-level scores and network centrality are aggregated into a single Systemic Liquidity Risk Index — a sector-wide, time-series measure of fund-industry fragility, conceptually parallel to systemic risk indices used in banking research.</w:t>
      </w:r>
    </w:p>
    <w:p w14:paraId="00F03536" w14:textId="77777777" w:rsidR="00F06D94" w:rsidRDefault="00000000">
      <w:pPr>
        <w:pStyle w:val="Heading2"/>
        <w:spacing w:before="240" w:after="120"/>
      </w:pPr>
      <w:r>
        <w:t>4.8 Explainability Layer (Objective 3)</w:t>
      </w:r>
    </w:p>
    <w:p w14:paraId="00F03537" w14:textId="77777777" w:rsidR="00F06D94" w:rsidRDefault="00000000">
      <w:pPr>
        <w:pStyle w:val="ListParagraph"/>
        <w:numPr>
          <w:ilvl w:val="0"/>
          <w:numId w:val="2"/>
        </w:numPr>
        <w:spacing w:after="100" w:line="276" w:lineRule="auto"/>
      </w:pPr>
      <w:r>
        <w:t>SHAP (</w:t>
      </w:r>
      <w:proofErr w:type="spellStart"/>
      <w:r>
        <w:t>SHapley</w:t>
      </w:r>
      <w:proofErr w:type="spellEnd"/>
      <w:r>
        <w:t xml:space="preserve"> Additive </w:t>
      </w:r>
      <w:proofErr w:type="spellStart"/>
      <w:r>
        <w:t>exPlanations</w:t>
      </w:r>
      <w:proofErr w:type="spellEnd"/>
      <w:r>
        <w:t>) attributes each prediction to specific input features.</w:t>
      </w:r>
    </w:p>
    <w:p w14:paraId="00F03538" w14:textId="77777777" w:rsidR="00F06D94" w:rsidRDefault="00000000">
      <w:pPr>
        <w:pStyle w:val="ListParagraph"/>
        <w:numPr>
          <w:ilvl w:val="0"/>
          <w:numId w:val="2"/>
        </w:numPr>
        <w:spacing w:after="100" w:line="276" w:lineRule="auto"/>
      </w:pPr>
      <w:r>
        <w:t>Graph-level explanation surfaces which edges, peer funds, or centrality measures contributed most to a given fund's score.</w:t>
      </w:r>
    </w:p>
    <w:p w14:paraId="00F03539" w14:textId="77777777" w:rsidR="00F06D94" w:rsidRDefault="00000000">
      <w:pPr>
        <w:pStyle w:val="ListParagraph"/>
        <w:numPr>
          <w:ilvl w:val="0"/>
          <w:numId w:val="2"/>
        </w:numPr>
        <w:spacing w:after="100" w:line="276" w:lineRule="auto"/>
      </w:pPr>
      <w:r>
        <w:t>A curated retrieval corpus (fund disclosures + a fixed set of BIS/Fed financial-stability documents) feeds a multi-provider RAG pipeline (Section 7) that generates citation-backed natural language explanations, combined with the SHAP and graph-level outputs.</w:t>
      </w:r>
    </w:p>
    <w:p w14:paraId="00F0353A" w14:textId="77777777" w:rsidR="00F06D94" w:rsidRDefault="00000000">
      <w:pPr>
        <w:pStyle w:val="Heading2"/>
        <w:spacing w:before="240" w:after="120"/>
      </w:pPr>
      <w:r>
        <w:t>4.9 Output / Dashboard</w:t>
      </w:r>
    </w:p>
    <w:p w14:paraId="00F0353B" w14:textId="77777777" w:rsidR="00F06D94" w:rsidRDefault="00000000">
      <w:pPr>
        <w:pStyle w:val="ListParagraph"/>
        <w:numPr>
          <w:ilvl w:val="0"/>
          <w:numId w:val="2"/>
        </w:numPr>
        <w:spacing w:after="100" w:line="276" w:lineRule="auto"/>
      </w:pPr>
      <w:r>
        <w:t>Panel 1: Fund liquidity stress timeline (per-fund score over time, including historical price/volume view).</w:t>
      </w:r>
    </w:p>
    <w:p w14:paraId="00F0353C" w14:textId="77777777" w:rsidR="00F06D94" w:rsidRDefault="00000000">
      <w:pPr>
        <w:pStyle w:val="ListParagraph"/>
        <w:numPr>
          <w:ilvl w:val="0"/>
          <w:numId w:val="2"/>
        </w:numPr>
        <w:spacing w:after="100" w:line="276" w:lineRule="auto"/>
      </w:pPr>
      <w:r>
        <w:t xml:space="preserve">Panel 2: Cross-fund relationship network (nodes = funds, edges = overlap; </w:t>
      </w:r>
      <w:proofErr w:type="spellStart"/>
      <w:r>
        <w:t>colored</w:t>
      </w:r>
      <w:proofErr w:type="spellEnd"/>
      <w:r>
        <w:t xml:space="preserve"> by cluster/centrality).</w:t>
      </w:r>
    </w:p>
    <w:p w14:paraId="00F0353D" w14:textId="77777777" w:rsidR="00F06D94" w:rsidRDefault="00000000">
      <w:pPr>
        <w:pStyle w:val="ListParagraph"/>
        <w:numPr>
          <w:ilvl w:val="0"/>
          <w:numId w:val="2"/>
        </w:numPr>
        <w:spacing w:after="100" w:line="276" w:lineRule="auto"/>
      </w:pPr>
      <w:r>
        <w:t>Panel 3: Click-through explanation panel — SHAP driver table, graph-level explanation, and RAG-generated citation-backed explanation.</w:t>
      </w:r>
    </w:p>
    <w:p w14:paraId="00F0353E" w14:textId="77777777" w:rsidR="00F06D94" w:rsidRDefault="00000000">
      <w:pPr>
        <w:pStyle w:val="ListParagraph"/>
        <w:numPr>
          <w:ilvl w:val="0"/>
          <w:numId w:val="2"/>
        </w:numPr>
        <w:spacing w:after="100" w:line="276" w:lineRule="auto"/>
      </w:pPr>
      <w:r>
        <w:lastRenderedPageBreak/>
        <w:t xml:space="preserve">Panel 4: Systemic Liquidity Risk Index view (sector-wide trend, top </w:t>
      </w:r>
      <w:proofErr w:type="gramStart"/>
      <w:r>
        <w:t>systemically-important</w:t>
      </w:r>
      <w:proofErr w:type="gramEnd"/>
      <w:r>
        <w:t xml:space="preserve"> funds by centrality).</w:t>
      </w:r>
    </w:p>
    <w:p w14:paraId="00F0353F" w14:textId="77777777" w:rsidR="00F06D94" w:rsidRDefault="00000000">
      <w:pPr>
        <w:pStyle w:val="Heading1"/>
        <w:spacing w:before="320" w:after="160"/>
      </w:pPr>
      <w:r>
        <w:t>5. Expanded Feature Set (Original Scope → High-End Additions)</w:t>
      </w:r>
    </w:p>
    <w:p w14:paraId="00F03540" w14:textId="77777777" w:rsidR="00F06D94" w:rsidRDefault="00000000">
      <w:pPr>
        <w:spacing w:after="160" w:line="276" w:lineRule="auto"/>
      </w:pPr>
      <w:r>
        <w:t xml:space="preserve">The table below summarizes how each </w:t>
      </w:r>
      <w:proofErr w:type="spellStart"/>
      <w:r>
        <w:t>modeling</w:t>
      </w:r>
      <w:proofErr w:type="spellEnd"/>
      <w:r>
        <w:t xml:space="preserve"> layer and feature category was expanded from the original project scope to the high-end version.</w:t>
      </w:r>
    </w:p>
    <w:p w14:paraId="00F03541" w14:textId="77777777" w:rsidR="00F06D94" w:rsidRDefault="00000000">
      <w:pPr>
        <w:pStyle w:val="Heading2"/>
        <w:spacing w:before="240" w:after="120"/>
      </w:pPr>
      <w:r>
        <w:t>5.1 Upgrade Layers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50"/>
        <w:gridCol w:w="3700"/>
      </w:tblGrid>
      <w:tr w:rsidR="00F06D94" w14:paraId="00F03545" w14:textId="77777777">
        <w:tblPrEx>
          <w:tblCellMar>
            <w:top w:w="0" w:type="dxa"/>
            <w:bottom w:w="0" w:type="dxa"/>
          </w:tblCellMar>
        </w:tblPrEx>
        <w:trPr>
          <w:tblHeader/>
        </w:trPr>
        <w:tc>
          <w:tcPr>
            <w:tcW w:w="2200" w:type="dxa"/>
            <w:shd w:val="clear" w:color="auto" w:fill="1F4E79"/>
            <w:tcMar>
              <w:top w:w="100" w:type="dxa"/>
              <w:left w:w="120" w:type="dxa"/>
              <w:bottom w:w="100" w:type="dxa"/>
              <w:right w:w="120" w:type="dxa"/>
            </w:tcMar>
          </w:tcPr>
          <w:p w14:paraId="00F03542" w14:textId="77777777" w:rsidR="00F06D94" w:rsidRDefault="00000000">
            <w:r>
              <w:rPr>
                <w:b/>
                <w:bCs/>
                <w:color w:val="FFFFFF"/>
              </w:rPr>
              <w:t>Layer</w:t>
            </w:r>
          </w:p>
        </w:tc>
        <w:tc>
          <w:tcPr>
            <w:tcW w:w="3450" w:type="dxa"/>
            <w:shd w:val="clear" w:color="auto" w:fill="1F4E79"/>
            <w:tcMar>
              <w:top w:w="100" w:type="dxa"/>
              <w:left w:w="120" w:type="dxa"/>
              <w:bottom w:w="100" w:type="dxa"/>
              <w:right w:w="120" w:type="dxa"/>
            </w:tcMar>
          </w:tcPr>
          <w:p w14:paraId="00F03543" w14:textId="77777777" w:rsidR="00F06D94" w:rsidRDefault="00000000">
            <w:r>
              <w:rPr>
                <w:b/>
                <w:bCs/>
                <w:color w:val="FFFFFF"/>
              </w:rPr>
              <w:t>Before (Original Scope)</w:t>
            </w:r>
          </w:p>
        </w:tc>
        <w:tc>
          <w:tcPr>
            <w:tcW w:w="3700" w:type="dxa"/>
            <w:shd w:val="clear" w:color="auto" w:fill="1F4E79"/>
            <w:tcMar>
              <w:top w:w="100" w:type="dxa"/>
              <w:left w:w="120" w:type="dxa"/>
              <w:bottom w:w="100" w:type="dxa"/>
              <w:right w:w="120" w:type="dxa"/>
            </w:tcMar>
          </w:tcPr>
          <w:p w14:paraId="00F03544" w14:textId="77777777" w:rsidR="00F06D94" w:rsidRDefault="00000000">
            <w:r>
              <w:rPr>
                <w:b/>
                <w:bCs/>
                <w:color w:val="FFFFFF"/>
              </w:rPr>
              <w:t>High-End Additions</w:t>
            </w:r>
          </w:p>
        </w:tc>
      </w:tr>
      <w:tr w:rsidR="00F06D94" w14:paraId="00F03549" w14:textId="77777777">
        <w:tblPrEx>
          <w:tblCellMar>
            <w:top w:w="0" w:type="dxa"/>
            <w:bottom w:w="0" w:type="dxa"/>
          </w:tblCellMar>
        </w:tblPrEx>
        <w:tc>
          <w:tcPr>
            <w:tcW w:w="2200" w:type="dxa"/>
            <w:tcMar>
              <w:top w:w="100" w:type="dxa"/>
              <w:left w:w="120" w:type="dxa"/>
              <w:bottom w:w="100" w:type="dxa"/>
              <w:right w:w="120" w:type="dxa"/>
            </w:tcMar>
          </w:tcPr>
          <w:p w14:paraId="00F03546" w14:textId="77777777" w:rsidR="00F06D94" w:rsidRDefault="00000000">
            <w:r>
              <w:rPr>
                <w:sz w:val="18"/>
                <w:szCs w:val="18"/>
              </w:rPr>
              <w:t>Cross-fund signal</w:t>
            </w:r>
          </w:p>
        </w:tc>
        <w:tc>
          <w:tcPr>
            <w:tcW w:w="3450" w:type="dxa"/>
            <w:tcMar>
              <w:top w:w="100" w:type="dxa"/>
              <w:left w:w="120" w:type="dxa"/>
              <w:bottom w:w="100" w:type="dxa"/>
              <w:right w:w="120" w:type="dxa"/>
            </w:tcMar>
          </w:tcPr>
          <w:p w14:paraId="00F03547" w14:textId="77777777" w:rsidR="00F06D94" w:rsidRDefault="00000000">
            <w:r>
              <w:rPr>
                <w:sz w:val="18"/>
                <w:szCs w:val="18"/>
              </w:rPr>
              <w:t>Overlap-weighted peer feature</w:t>
            </w:r>
          </w:p>
        </w:tc>
        <w:tc>
          <w:tcPr>
            <w:tcW w:w="3700" w:type="dxa"/>
            <w:tcMar>
              <w:top w:w="100" w:type="dxa"/>
              <w:left w:w="120" w:type="dxa"/>
              <w:bottom w:w="100" w:type="dxa"/>
              <w:right w:w="120" w:type="dxa"/>
            </w:tcMar>
          </w:tcPr>
          <w:p w14:paraId="00F03548" w14:textId="77777777" w:rsidR="00F06D94" w:rsidRDefault="00000000">
            <w:r>
              <w:rPr>
                <w:sz w:val="18"/>
                <w:szCs w:val="18"/>
              </w:rPr>
              <w:t>+ Network centrality (degree, eigenvector, betweenness) + Community/cluster detection (Louvain) + Temporal network evolution (density, clustering coefficient over time)</w:t>
            </w:r>
          </w:p>
        </w:tc>
      </w:tr>
      <w:tr w:rsidR="00F06D94" w14:paraId="00F0354D" w14:textId="77777777">
        <w:tblPrEx>
          <w:tblCellMar>
            <w:top w:w="0" w:type="dxa"/>
            <w:bottom w:w="0" w:type="dxa"/>
          </w:tblCellMar>
        </w:tblPrEx>
        <w:tc>
          <w:tcPr>
            <w:tcW w:w="2200" w:type="dxa"/>
            <w:tcMar>
              <w:top w:w="100" w:type="dxa"/>
              <w:left w:w="120" w:type="dxa"/>
              <w:bottom w:w="100" w:type="dxa"/>
              <w:right w:w="120" w:type="dxa"/>
            </w:tcMar>
          </w:tcPr>
          <w:p w14:paraId="00F0354A" w14:textId="77777777" w:rsidR="00F06D94" w:rsidRDefault="00000000">
            <w:r>
              <w:rPr>
                <w:sz w:val="18"/>
                <w:szCs w:val="18"/>
              </w:rPr>
              <w:t>Prediction models</w:t>
            </w:r>
          </w:p>
        </w:tc>
        <w:tc>
          <w:tcPr>
            <w:tcW w:w="3450" w:type="dxa"/>
            <w:tcMar>
              <w:top w:w="100" w:type="dxa"/>
              <w:left w:w="120" w:type="dxa"/>
              <w:bottom w:w="100" w:type="dxa"/>
              <w:right w:w="120" w:type="dxa"/>
            </w:tcMar>
          </w:tcPr>
          <w:p w14:paraId="00F0354B" w14:textId="77777777" w:rsidR="00F06D94" w:rsidRDefault="00000000">
            <w:proofErr w:type="spellStart"/>
            <w:r>
              <w:rPr>
                <w:sz w:val="18"/>
                <w:szCs w:val="18"/>
              </w:rPr>
              <w:t>XGBoost</w:t>
            </w:r>
            <w:proofErr w:type="spellEnd"/>
            <w:r>
              <w:rPr>
                <w:sz w:val="18"/>
                <w:szCs w:val="18"/>
              </w:rPr>
              <w:t xml:space="preserve"> / LSTM / basic overlap feature</w:t>
            </w:r>
          </w:p>
        </w:tc>
        <w:tc>
          <w:tcPr>
            <w:tcW w:w="3700" w:type="dxa"/>
            <w:tcMar>
              <w:top w:w="100" w:type="dxa"/>
              <w:left w:w="120" w:type="dxa"/>
              <w:bottom w:w="100" w:type="dxa"/>
              <w:right w:w="120" w:type="dxa"/>
            </w:tcMar>
          </w:tcPr>
          <w:p w14:paraId="00F0354C" w14:textId="77777777" w:rsidR="00F06D94" w:rsidRDefault="00000000">
            <w:r>
              <w:rPr>
                <w:sz w:val="18"/>
                <w:szCs w:val="18"/>
              </w:rPr>
              <w:t>+ Graph Neural Network (</w:t>
            </w:r>
            <w:proofErr w:type="spellStart"/>
            <w:r>
              <w:rPr>
                <w:sz w:val="18"/>
                <w:szCs w:val="18"/>
              </w:rPr>
              <w:t>GraphSAGE</w:t>
            </w:r>
            <w:proofErr w:type="spellEnd"/>
            <w:r>
              <w:rPr>
                <w:sz w:val="18"/>
                <w:szCs w:val="18"/>
              </w:rPr>
              <w:t xml:space="preserve"> / Graph Attention Network) learning propagation directly from the fund network</w:t>
            </w:r>
          </w:p>
        </w:tc>
      </w:tr>
      <w:tr w:rsidR="00F06D94" w14:paraId="00F03551" w14:textId="77777777">
        <w:tblPrEx>
          <w:tblCellMar>
            <w:top w:w="0" w:type="dxa"/>
            <w:bottom w:w="0" w:type="dxa"/>
          </w:tblCellMar>
        </w:tblPrEx>
        <w:tc>
          <w:tcPr>
            <w:tcW w:w="2200" w:type="dxa"/>
            <w:tcMar>
              <w:top w:w="100" w:type="dxa"/>
              <w:left w:w="120" w:type="dxa"/>
              <w:bottom w:w="100" w:type="dxa"/>
              <w:right w:w="120" w:type="dxa"/>
            </w:tcMar>
          </w:tcPr>
          <w:p w14:paraId="00F0354E" w14:textId="77777777" w:rsidR="00F06D94" w:rsidRDefault="00000000">
            <w:r>
              <w:rPr>
                <w:sz w:val="18"/>
                <w:szCs w:val="18"/>
              </w:rPr>
              <w:t>Contagion mechanism</w:t>
            </w:r>
          </w:p>
        </w:tc>
        <w:tc>
          <w:tcPr>
            <w:tcW w:w="3450" w:type="dxa"/>
            <w:tcMar>
              <w:top w:w="100" w:type="dxa"/>
              <w:left w:w="120" w:type="dxa"/>
              <w:bottom w:w="100" w:type="dxa"/>
              <w:right w:w="120" w:type="dxa"/>
            </w:tcMar>
          </w:tcPr>
          <w:p w14:paraId="00F0354F" w14:textId="77777777" w:rsidR="00F06D94" w:rsidRDefault="00000000">
            <w:r>
              <w:rPr>
                <w:sz w:val="18"/>
                <w:szCs w:val="18"/>
              </w:rPr>
              <w:t>Implied by feature improvement (correlation-based)</w:t>
            </w:r>
          </w:p>
        </w:tc>
        <w:tc>
          <w:tcPr>
            <w:tcW w:w="3700" w:type="dxa"/>
            <w:tcMar>
              <w:top w:w="100" w:type="dxa"/>
              <w:left w:w="120" w:type="dxa"/>
              <w:bottom w:w="100" w:type="dxa"/>
              <w:right w:w="120" w:type="dxa"/>
            </w:tcMar>
          </w:tcPr>
          <w:p w14:paraId="00F03550" w14:textId="77777777" w:rsidR="00F06D94" w:rsidRDefault="00000000">
            <w:r>
              <w:rPr>
                <w:sz w:val="18"/>
                <w:szCs w:val="18"/>
              </w:rPr>
              <w:t>+ Explicit fire-sale simulation: forced liquidation → price impact → propagated stress to overlapping funds</w:t>
            </w:r>
          </w:p>
        </w:tc>
      </w:tr>
      <w:tr w:rsidR="00F06D94" w14:paraId="00F03555" w14:textId="77777777">
        <w:tblPrEx>
          <w:tblCellMar>
            <w:top w:w="0" w:type="dxa"/>
            <w:bottom w:w="0" w:type="dxa"/>
          </w:tblCellMar>
        </w:tblPrEx>
        <w:tc>
          <w:tcPr>
            <w:tcW w:w="2200" w:type="dxa"/>
            <w:tcMar>
              <w:top w:w="100" w:type="dxa"/>
              <w:left w:w="120" w:type="dxa"/>
              <w:bottom w:w="100" w:type="dxa"/>
              <w:right w:w="120" w:type="dxa"/>
            </w:tcMar>
          </w:tcPr>
          <w:p w14:paraId="00F03552" w14:textId="77777777" w:rsidR="00F06D94" w:rsidRDefault="00000000">
            <w:r>
              <w:rPr>
                <w:sz w:val="18"/>
                <w:szCs w:val="18"/>
              </w:rPr>
              <w:t>Output</w:t>
            </w:r>
          </w:p>
        </w:tc>
        <w:tc>
          <w:tcPr>
            <w:tcW w:w="3450" w:type="dxa"/>
            <w:tcMar>
              <w:top w:w="100" w:type="dxa"/>
              <w:left w:w="120" w:type="dxa"/>
              <w:bottom w:w="100" w:type="dxa"/>
              <w:right w:w="120" w:type="dxa"/>
            </w:tcMar>
          </w:tcPr>
          <w:p w14:paraId="00F03553" w14:textId="77777777" w:rsidR="00F06D94" w:rsidRDefault="00000000">
            <w:r>
              <w:rPr>
                <w:sz w:val="18"/>
                <w:szCs w:val="18"/>
              </w:rPr>
              <w:t>Fund-level liquidity stress score</w:t>
            </w:r>
          </w:p>
        </w:tc>
        <w:tc>
          <w:tcPr>
            <w:tcW w:w="3700" w:type="dxa"/>
            <w:tcMar>
              <w:top w:w="100" w:type="dxa"/>
              <w:left w:w="120" w:type="dxa"/>
              <w:bottom w:w="100" w:type="dxa"/>
              <w:right w:w="120" w:type="dxa"/>
            </w:tcMar>
          </w:tcPr>
          <w:p w14:paraId="00F03554" w14:textId="77777777" w:rsidR="00F06D94" w:rsidRDefault="00000000">
            <w:r>
              <w:rPr>
                <w:sz w:val="18"/>
                <w:szCs w:val="18"/>
              </w:rPr>
              <w:t>+ Systemic liquidity risk index (sector-wide, aggregated across funds + centrality)</w:t>
            </w:r>
          </w:p>
        </w:tc>
      </w:tr>
      <w:tr w:rsidR="00F06D94" w14:paraId="00F03559" w14:textId="77777777">
        <w:tblPrEx>
          <w:tblCellMar>
            <w:top w:w="0" w:type="dxa"/>
            <w:bottom w:w="0" w:type="dxa"/>
          </w:tblCellMar>
        </w:tblPrEx>
        <w:tc>
          <w:tcPr>
            <w:tcW w:w="2200" w:type="dxa"/>
            <w:tcMar>
              <w:top w:w="100" w:type="dxa"/>
              <w:left w:w="120" w:type="dxa"/>
              <w:bottom w:w="100" w:type="dxa"/>
              <w:right w:w="120" w:type="dxa"/>
            </w:tcMar>
          </w:tcPr>
          <w:p w14:paraId="00F03556" w14:textId="77777777" w:rsidR="00F06D94" w:rsidRDefault="00000000">
            <w:r>
              <w:rPr>
                <w:sz w:val="18"/>
                <w:szCs w:val="18"/>
              </w:rPr>
              <w:t>Explainability</w:t>
            </w:r>
          </w:p>
        </w:tc>
        <w:tc>
          <w:tcPr>
            <w:tcW w:w="3450" w:type="dxa"/>
            <w:tcMar>
              <w:top w:w="100" w:type="dxa"/>
              <w:left w:w="120" w:type="dxa"/>
              <w:bottom w:w="100" w:type="dxa"/>
              <w:right w:w="120" w:type="dxa"/>
            </w:tcMar>
          </w:tcPr>
          <w:p w14:paraId="00F03557" w14:textId="77777777" w:rsidR="00F06D94" w:rsidRDefault="00000000">
            <w:r>
              <w:rPr>
                <w:sz w:val="18"/>
                <w:szCs w:val="18"/>
              </w:rPr>
              <w:t>SHAP + RAG</w:t>
            </w:r>
          </w:p>
        </w:tc>
        <w:tc>
          <w:tcPr>
            <w:tcW w:w="3700" w:type="dxa"/>
            <w:tcMar>
              <w:top w:w="100" w:type="dxa"/>
              <w:left w:w="120" w:type="dxa"/>
              <w:bottom w:w="100" w:type="dxa"/>
              <w:right w:w="120" w:type="dxa"/>
            </w:tcMar>
          </w:tcPr>
          <w:p w14:paraId="00F03558" w14:textId="77777777" w:rsidR="00F06D94" w:rsidRDefault="00000000">
            <w:r>
              <w:rPr>
                <w:sz w:val="18"/>
                <w:szCs w:val="18"/>
              </w:rPr>
              <w:t>+ Graph-level explanation (which edges/centrality/peer funds drove a given fund's risk, alongside SHAP + RAG)</w:t>
            </w:r>
          </w:p>
        </w:tc>
      </w:tr>
    </w:tbl>
    <w:p w14:paraId="00F0355A" w14:textId="77777777" w:rsidR="00F06D94" w:rsidRDefault="00000000">
      <w:pPr>
        <w:pStyle w:val="Heading2"/>
        <w:spacing w:before="240" w:after="120"/>
      </w:pPr>
      <w:r>
        <w:t>5.2 Feature Categories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50"/>
        <w:gridCol w:w="4000"/>
      </w:tblGrid>
      <w:tr w:rsidR="00F06D94" w14:paraId="00F0355E" w14:textId="77777777">
        <w:tblPrEx>
          <w:tblCellMar>
            <w:top w:w="0" w:type="dxa"/>
            <w:bottom w:w="0" w:type="dxa"/>
          </w:tblCellMar>
        </w:tblPrEx>
        <w:trPr>
          <w:tblHeader/>
        </w:trPr>
        <w:tc>
          <w:tcPr>
            <w:tcW w:w="2000" w:type="dxa"/>
            <w:shd w:val="clear" w:color="auto" w:fill="1F4E79"/>
            <w:tcMar>
              <w:top w:w="100" w:type="dxa"/>
              <w:left w:w="120" w:type="dxa"/>
              <w:bottom w:w="100" w:type="dxa"/>
              <w:right w:w="120" w:type="dxa"/>
            </w:tcMar>
          </w:tcPr>
          <w:p w14:paraId="00F0355B" w14:textId="77777777" w:rsidR="00F06D94" w:rsidRDefault="00000000">
            <w:r>
              <w:rPr>
                <w:b/>
                <w:bCs/>
                <w:color w:val="FFFFFF"/>
              </w:rPr>
              <w:t>Feature Set</w:t>
            </w:r>
          </w:p>
        </w:tc>
        <w:tc>
          <w:tcPr>
            <w:tcW w:w="3350" w:type="dxa"/>
            <w:shd w:val="clear" w:color="auto" w:fill="1F4E79"/>
            <w:tcMar>
              <w:top w:w="100" w:type="dxa"/>
              <w:left w:w="120" w:type="dxa"/>
              <w:bottom w:w="100" w:type="dxa"/>
              <w:right w:w="120" w:type="dxa"/>
            </w:tcMar>
          </w:tcPr>
          <w:p w14:paraId="00F0355C" w14:textId="77777777" w:rsidR="00F06D94" w:rsidRDefault="00000000">
            <w:r>
              <w:rPr>
                <w:b/>
                <w:bCs/>
                <w:color w:val="FFFFFF"/>
              </w:rPr>
              <w:t>Before (Original Scope)</w:t>
            </w:r>
          </w:p>
        </w:tc>
        <w:tc>
          <w:tcPr>
            <w:tcW w:w="4000" w:type="dxa"/>
            <w:shd w:val="clear" w:color="auto" w:fill="1F4E79"/>
            <w:tcMar>
              <w:top w:w="100" w:type="dxa"/>
              <w:left w:w="120" w:type="dxa"/>
              <w:bottom w:w="100" w:type="dxa"/>
              <w:right w:w="120" w:type="dxa"/>
            </w:tcMar>
          </w:tcPr>
          <w:p w14:paraId="00F0355D" w14:textId="77777777" w:rsidR="00F06D94" w:rsidRDefault="00000000">
            <w:r>
              <w:rPr>
                <w:b/>
                <w:bCs/>
                <w:color w:val="FFFFFF"/>
              </w:rPr>
              <w:t>High-End Additions</w:t>
            </w:r>
          </w:p>
        </w:tc>
      </w:tr>
      <w:tr w:rsidR="00F06D94" w14:paraId="00F03562" w14:textId="77777777">
        <w:tblPrEx>
          <w:tblCellMar>
            <w:top w:w="0" w:type="dxa"/>
            <w:bottom w:w="0" w:type="dxa"/>
          </w:tblCellMar>
        </w:tblPrEx>
        <w:tc>
          <w:tcPr>
            <w:tcW w:w="2000" w:type="dxa"/>
            <w:tcMar>
              <w:top w:w="100" w:type="dxa"/>
              <w:left w:w="120" w:type="dxa"/>
              <w:bottom w:w="100" w:type="dxa"/>
              <w:right w:w="120" w:type="dxa"/>
            </w:tcMar>
          </w:tcPr>
          <w:p w14:paraId="00F0355F" w14:textId="77777777" w:rsidR="00F06D94" w:rsidRDefault="00000000">
            <w:r>
              <w:rPr>
                <w:sz w:val="18"/>
                <w:szCs w:val="18"/>
              </w:rPr>
              <w:t>Portfolio composition</w:t>
            </w:r>
          </w:p>
        </w:tc>
        <w:tc>
          <w:tcPr>
            <w:tcW w:w="3350" w:type="dxa"/>
            <w:tcMar>
              <w:top w:w="100" w:type="dxa"/>
              <w:left w:w="120" w:type="dxa"/>
              <w:bottom w:w="100" w:type="dxa"/>
              <w:right w:w="120" w:type="dxa"/>
            </w:tcMar>
          </w:tcPr>
          <w:p w14:paraId="00F03560" w14:textId="77777777" w:rsidR="00F06D94" w:rsidRDefault="00000000">
            <w:r>
              <w:rPr>
                <w:sz w:val="18"/>
                <w:szCs w:val="18"/>
              </w:rPr>
              <w:t xml:space="preserve">Weight, basic asset type, </w:t>
            </w:r>
            <w:proofErr w:type="gramStart"/>
            <w:r>
              <w:rPr>
                <w:sz w:val="18"/>
                <w:szCs w:val="18"/>
              </w:rPr>
              <w:t>top-N</w:t>
            </w:r>
            <w:proofErr w:type="gramEnd"/>
            <w:r>
              <w:rPr>
                <w:sz w:val="18"/>
                <w:szCs w:val="18"/>
              </w:rPr>
              <w:t xml:space="preserve"> concentration</w:t>
            </w:r>
          </w:p>
        </w:tc>
        <w:tc>
          <w:tcPr>
            <w:tcW w:w="4000" w:type="dxa"/>
            <w:tcMar>
              <w:top w:w="100" w:type="dxa"/>
              <w:left w:w="120" w:type="dxa"/>
              <w:bottom w:w="100" w:type="dxa"/>
              <w:right w:w="120" w:type="dxa"/>
            </w:tcMar>
          </w:tcPr>
          <w:p w14:paraId="00F03561" w14:textId="77777777" w:rsidR="00F06D94" w:rsidRDefault="00000000">
            <w:r>
              <w:rPr>
                <w:sz w:val="18"/>
                <w:szCs w:val="18"/>
              </w:rPr>
              <w:t>+ HHI concentration index, credit-rating buckets, maturity buckets, illiquid-asset %, derivatives/repo exposure, sector concentration, holdings turnover</w:t>
            </w:r>
          </w:p>
        </w:tc>
      </w:tr>
      <w:tr w:rsidR="00F06D94" w14:paraId="00F03566" w14:textId="77777777">
        <w:tblPrEx>
          <w:tblCellMar>
            <w:top w:w="0" w:type="dxa"/>
            <w:bottom w:w="0" w:type="dxa"/>
          </w:tblCellMar>
        </w:tblPrEx>
        <w:tc>
          <w:tcPr>
            <w:tcW w:w="2000" w:type="dxa"/>
            <w:tcMar>
              <w:top w:w="100" w:type="dxa"/>
              <w:left w:w="120" w:type="dxa"/>
              <w:bottom w:w="100" w:type="dxa"/>
              <w:right w:w="120" w:type="dxa"/>
            </w:tcMar>
          </w:tcPr>
          <w:p w14:paraId="00F03563" w14:textId="77777777" w:rsidR="00F06D94" w:rsidRDefault="00000000">
            <w:r>
              <w:rPr>
                <w:sz w:val="18"/>
                <w:szCs w:val="18"/>
              </w:rPr>
              <w:t>Asset-level liquidity</w:t>
            </w:r>
          </w:p>
        </w:tc>
        <w:tc>
          <w:tcPr>
            <w:tcW w:w="3350" w:type="dxa"/>
            <w:tcMar>
              <w:top w:w="100" w:type="dxa"/>
              <w:left w:w="120" w:type="dxa"/>
              <w:bottom w:w="100" w:type="dxa"/>
              <w:right w:w="120" w:type="dxa"/>
            </w:tcMar>
          </w:tcPr>
          <w:p w14:paraId="00F03564" w14:textId="77777777" w:rsidR="00F06D94" w:rsidRDefault="00000000">
            <w:proofErr w:type="spellStart"/>
            <w:r>
              <w:rPr>
                <w:sz w:val="18"/>
                <w:szCs w:val="18"/>
              </w:rPr>
              <w:t>Amihud</w:t>
            </w:r>
            <w:proofErr w:type="spellEnd"/>
            <w:r>
              <w:rPr>
                <w:sz w:val="18"/>
                <w:szCs w:val="18"/>
              </w:rPr>
              <w:t xml:space="preserve"> ratio, bid-ask spread (basic)</w:t>
            </w:r>
          </w:p>
        </w:tc>
        <w:tc>
          <w:tcPr>
            <w:tcW w:w="4000" w:type="dxa"/>
            <w:tcMar>
              <w:top w:w="100" w:type="dxa"/>
              <w:left w:w="120" w:type="dxa"/>
              <w:bottom w:w="100" w:type="dxa"/>
              <w:right w:w="120" w:type="dxa"/>
            </w:tcMar>
          </w:tcPr>
          <w:p w14:paraId="00F03565" w14:textId="77777777" w:rsidR="00F06D94" w:rsidRDefault="00000000">
            <w:r>
              <w:rPr>
                <w:sz w:val="18"/>
                <w:szCs w:val="18"/>
              </w:rPr>
              <w:t>+ Days-to-liquidate proxy, Level 3 (hard-to-price) asset %, SEC liquidity-bucket classification distribution</w:t>
            </w:r>
          </w:p>
        </w:tc>
      </w:tr>
      <w:tr w:rsidR="00F06D94" w14:paraId="00F0356A" w14:textId="77777777">
        <w:tblPrEx>
          <w:tblCellMar>
            <w:top w:w="0" w:type="dxa"/>
            <w:bottom w:w="0" w:type="dxa"/>
          </w:tblCellMar>
        </w:tblPrEx>
        <w:tc>
          <w:tcPr>
            <w:tcW w:w="2000" w:type="dxa"/>
            <w:tcMar>
              <w:top w:w="100" w:type="dxa"/>
              <w:left w:w="120" w:type="dxa"/>
              <w:bottom w:w="100" w:type="dxa"/>
              <w:right w:w="120" w:type="dxa"/>
            </w:tcMar>
          </w:tcPr>
          <w:p w14:paraId="00F03567" w14:textId="77777777" w:rsidR="00F06D94" w:rsidRDefault="00000000">
            <w:r>
              <w:rPr>
                <w:sz w:val="18"/>
                <w:szCs w:val="18"/>
              </w:rPr>
              <w:t>Fund/market-level</w:t>
            </w:r>
          </w:p>
        </w:tc>
        <w:tc>
          <w:tcPr>
            <w:tcW w:w="3350" w:type="dxa"/>
            <w:tcMar>
              <w:top w:w="100" w:type="dxa"/>
              <w:left w:w="120" w:type="dxa"/>
              <w:bottom w:w="100" w:type="dxa"/>
              <w:right w:w="120" w:type="dxa"/>
            </w:tcMar>
          </w:tcPr>
          <w:p w14:paraId="00F03568" w14:textId="77777777" w:rsidR="00F06D94" w:rsidRDefault="00000000">
            <w:r>
              <w:rPr>
                <w:sz w:val="18"/>
                <w:szCs w:val="18"/>
              </w:rPr>
              <w:t>NAV, returns</w:t>
            </w:r>
          </w:p>
        </w:tc>
        <w:tc>
          <w:tcPr>
            <w:tcW w:w="4000" w:type="dxa"/>
            <w:tcMar>
              <w:top w:w="100" w:type="dxa"/>
              <w:left w:w="120" w:type="dxa"/>
              <w:bottom w:w="100" w:type="dxa"/>
              <w:right w:w="120" w:type="dxa"/>
            </w:tcMar>
          </w:tcPr>
          <w:p w14:paraId="00F03569" w14:textId="77777777" w:rsidR="00F06D94" w:rsidRDefault="00000000">
            <w:r>
              <w:rPr>
                <w:sz w:val="18"/>
                <w:szCs w:val="18"/>
              </w:rPr>
              <w:t>+ ETF premium/discount to NAV, fund trading volume trend, AUM trend, estimated net flows, flow volatility</w:t>
            </w:r>
          </w:p>
        </w:tc>
      </w:tr>
      <w:tr w:rsidR="00F06D94" w14:paraId="00F0356E" w14:textId="77777777">
        <w:tblPrEx>
          <w:tblCellMar>
            <w:top w:w="0" w:type="dxa"/>
            <w:bottom w:w="0" w:type="dxa"/>
          </w:tblCellMar>
        </w:tblPrEx>
        <w:tc>
          <w:tcPr>
            <w:tcW w:w="2000" w:type="dxa"/>
            <w:tcMar>
              <w:top w:w="100" w:type="dxa"/>
              <w:left w:w="120" w:type="dxa"/>
              <w:bottom w:w="100" w:type="dxa"/>
              <w:right w:w="120" w:type="dxa"/>
            </w:tcMar>
          </w:tcPr>
          <w:p w14:paraId="00F0356B" w14:textId="77777777" w:rsidR="00F06D94" w:rsidRDefault="00000000">
            <w:r>
              <w:rPr>
                <w:sz w:val="18"/>
                <w:szCs w:val="18"/>
              </w:rPr>
              <w:t>Time-series/momentum</w:t>
            </w:r>
          </w:p>
        </w:tc>
        <w:tc>
          <w:tcPr>
            <w:tcW w:w="3350" w:type="dxa"/>
            <w:tcMar>
              <w:top w:w="100" w:type="dxa"/>
              <w:left w:w="120" w:type="dxa"/>
              <w:bottom w:w="100" w:type="dxa"/>
              <w:right w:w="120" w:type="dxa"/>
            </w:tcMar>
          </w:tcPr>
          <w:p w14:paraId="00F0356C" w14:textId="77777777" w:rsidR="00F06D94" w:rsidRDefault="00000000">
            <w:r>
              <w:rPr>
                <w:sz w:val="18"/>
                <w:szCs w:val="18"/>
              </w:rPr>
              <w:t>Basic month-over-month score</w:t>
            </w:r>
          </w:p>
        </w:tc>
        <w:tc>
          <w:tcPr>
            <w:tcW w:w="4000" w:type="dxa"/>
            <w:tcMar>
              <w:top w:w="100" w:type="dxa"/>
              <w:left w:w="120" w:type="dxa"/>
              <w:bottom w:w="100" w:type="dxa"/>
              <w:right w:w="120" w:type="dxa"/>
            </w:tcMar>
          </w:tcPr>
          <w:p w14:paraId="00F0356D" w14:textId="77777777" w:rsidR="00F06D94" w:rsidRDefault="00000000">
            <w:r>
              <w:rPr>
                <w:sz w:val="18"/>
                <w:szCs w:val="18"/>
              </w:rPr>
              <w:t>+ Rate of change (1/3/6-month), rolling volatility of score, lagged scores (t-1, t-2, t-3), NAV drawdown, rolling correlation with stress benchmark</w:t>
            </w:r>
          </w:p>
        </w:tc>
      </w:tr>
      <w:tr w:rsidR="00F06D94" w14:paraId="00F03572" w14:textId="77777777">
        <w:tblPrEx>
          <w:tblCellMar>
            <w:top w:w="0" w:type="dxa"/>
            <w:bottom w:w="0" w:type="dxa"/>
          </w:tblCellMar>
        </w:tblPrEx>
        <w:tc>
          <w:tcPr>
            <w:tcW w:w="2000" w:type="dxa"/>
            <w:tcMar>
              <w:top w:w="100" w:type="dxa"/>
              <w:left w:w="120" w:type="dxa"/>
              <w:bottom w:w="100" w:type="dxa"/>
              <w:right w:w="120" w:type="dxa"/>
            </w:tcMar>
          </w:tcPr>
          <w:p w14:paraId="00F0356F" w14:textId="77777777" w:rsidR="00F06D94" w:rsidRDefault="00000000">
            <w:r>
              <w:rPr>
                <w:sz w:val="18"/>
                <w:szCs w:val="18"/>
              </w:rPr>
              <w:t>Cross-fund/network</w:t>
            </w:r>
          </w:p>
        </w:tc>
        <w:tc>
          <w:tcPr>
            <w:tcW w:w="3350" w:type="dxa"/>
            <w:tcMar>
              <w:top w:w="100" w:type="dxa"/>
              <w:left w:w="120" w:type="dxa"/>
              <w:bottom w:w="100" w:type="dxa"/>
              <w:right w:w="120" w:type="dxa"/>
            </w:tcMar>
          </w:tcPr>
          <w:p w14:paraId="00F03570" w14:textId="77777777" w:rsidR="00F06D94" w:rsidRDefault="00000000">
            <w:r>
              <w:rPr>
                <w:sz w:val="18"/>
                <w:szCs w:val="18"/>
              </w:rPr>
              <w:t>Portfolio overlap (cosine similarity)</w:t>
            </w:r>
          </w:p>
        </w:tc>
        <w:tc>
          <w:tcPr>
            <w:tcW w:w="4000" w:type="dxa"/>
            <w:tcMar>
              <w:top w:w="100" w:type="dxa"/>
              <w:left w:w="120" w:type="dxa"/>
              <w:bottom w:w="100" w:type="dxa"/>
              <w:right w:w="120" w:type="dxa"/>
            </w:tcMar>
          </w:tcPr>
          <w:p w14:paraId="00F03571" w14:textId="77777777" w:rsidR="00F06D94" w:rsidRDefault="00000000">
            <w:r>
              <w:rPr>
                <w:sz w:val="18"/>
                <w:szCs w:val="18"/>
              </w:rPr>
              <w:t>+ Peer-group average stress, centrality scores, cluster membership, network density change, simulated fire-sale impact</w:t>
            </w:r>
          </w:p>
        </w:tc>
      </w:tr>
      <w:tr w:rsidR="00F06D94" w14:paraId="00F03576" w14:textId="77777777">
        <w:tblPrEx>
          <w:tblCellMar>
            <w:top w:w="0" w:type="dxa"/>
            <w:bottom w:w="0" w:type="dxa"/>
          </w:tblCellMar>
        </w:tblPrEx>
        <w:tc>
          <w:tcPr>
            <w:tcW w:w="2000" w:type="dxa"/>
            <w:tcMar>
              <w:top w:w="100" w:type="dxa"/>
              <w:left w:w="120" w:type="dxa"/>
              <w:bottom w:w="100" w:type="dxa"/>
              <w:right w:w="120" w:type="dxa"/>
            </w:tcMar>
          </w:tcPr>
          <w:p w14:paraId="00F03573" w14:textId="77777777" w:rsidR="00F06D94" w:rsidRDefault="00000000">
            <w:r>
              <w:rPr>
                <w:sz w:val="18"/>
                <w:szCs w:val="18"/>
              </w:rPr>
              <w:t>Macro/market context</w:t>
            </w:r>
          </w:p>
        </w:tc>
        <w:tc>
          <w:tcPr>
            <w:tcW w:w="3350" w:type="dxa"/>
            <w:tcMar>
              <w:top w:w="100" w:type="dxa"/>
              <w:left w:w="120" w:type="dxa"/>
              <w:bottom w:w="100" w:type="dxa"/>
              <w:right w:w="120" w:type="dxa"/>
            </w:tcMar>
          </w:tcPr>
          <w:p w14:paraId="00F03574" w14:textId="77777777" w:rsidR="00F06D94" w:rsidRDefault="00000000">
            <w:r>
              <w:rPr>
                <w:sz w:val="18"/>
                <w:szCs w:val="18"/>
              </w:rPr>
              <w:t>(not present)</w:t>
            </w:r>
          </w:p>
        </w:tc>
        <w:tc>
          <w:tcPr>
            <w:tcW w:w="4000" w:type="dxa"/>
            <w:tcMar>
              <w:top w:w="100" w:type="dxa"/>
              <w:left w:w="120" w:type="dxa"/>
              <w:bottom w:w="100" w:type="dxa"/>
              <w:right w:w="120" w:type="dxa"/>
            </w:tcMar>
          </w:tcPr>
          <w:p w14:paraId="00F03575" w14:textId="77777777" w:rsidR="00F06D94" w:rsidRDefault="00000000">
            <w:r>
              <w:rPr>
                <w:sz w:val="18"/>
                <w:szCs w:val="18"/>
              </w:rPr>
              <w:t>+ VIX/India VIX, credit spreads, interest rate level/change, market-wide volume trend, sector stress indicators</w:t>
            </w:r>
          </w:p>
        </w:tc>
      </w:tr>
      <w:tr w:rsidR="00F06D94" w14:paraId="00F0357A" w14:textId="77777777">
        <w:tblPrEx>
          <w:tblCellMar>
            <w:top w:w="0" w:type="dxa"/>
            <w:bottom w:w="0" w:type="dxa"/>
          </w:tblCellMar>
        </w:tblPrEx>
        <w:tc>
          <w:tcPr>
            <w:tcW w:w="2000" w:type="dxa"/>
            <w:tcMar>
              <w:top w:w="100" w:type="dxa"/>
              <w:left w:w="120" w:type="dxa"/>
              <w:bottom w:w="100" w:type="dxa"/>
              <w:right w:w="120" w:type="dxa"/>
            </w:tcMar>
          </w:tcPr>
          <w:p w14:paraId="00F03577" w14:textId="77777777" w:rsidR="00F06D94" w:rsidRDefault="00000000">
            <w:r>
              <w:rPr>
                <w:sz w:val="18"/>
                <w:szCs w:val="18"/>
              </w:rPr>
              <w:lastRenderedPageBreak/>
              <w:t>Text-derived (NLP)</w:t>
            </w:r>
          </w:p>
        </w:tc>
        <w:tc>
          <w:tcPr>
            <w:tcW w:w="3350" w:type="dxa"/>
            <w:tcMar>
              <w:top w:w="100" w:type="dxa"/>
              <w:left w:w="120" w:type="dxa"/>
              <w:bottom w:w="100" w:type="dxa"/>
              <w:right w:w="120" w:type="dxa"/>
            </w:tcMar>
          </w:tcPr>
          <w:p w14:paraId="00F03578" w14:textId="77777777" w:rsidR="00F06D94" w:rsidRDefault="00000000">
            <w:r>
              <w:rPr>
                <w:sz w:val="18"/>
                <w:szCs w:val="18"/>
              </w:rPr>
              <w:t>(not present)</w:t>
            </w:r>
          </w:p>
        </w:tc>
        <w:tc>
          <w:tcPr>
            <w:tcW w:w="4000" w:type="dxa"/>
            <w:tcMar>
              <w:top w:w="100" w:type="dxa"/>
              <w:left w:w="120" w:type="dxa"/>
              <w:bottom w:w="100" w:type="dxa"/>
              <w:right w:w="120" w:type="dxa"/>
            </w:tcMar>
          </w:tcPr>
          <w:p w14:paraId="00F03579" w14:textId="77777777" w:rsidR="00F06D94" w:rsidRDefault="00000000">
            <w:r>
              <w:rPr>
                <w:sz w:val="18"/>
                <w:szCs w:val="18"/>
              </w:rPr>
              <w:t>+ Prospectus/risk-disclosure sentiment score, liquidity-risk keyword frequency, risk-factor change detection between filings</w:t>
            </w:r>
          </w:p>
        </w:tc>
      </w:tr>
    </w:tbl>
    <w:p w14:paraId="00F0357B" w14:textId="77777777" w:rsidR="00F06D94" w:rsidRDefault="00000000">
      <w:pPr>
        <w:pStyle w:val="Heading2"/>
        <w:spacing w:before="240" w:after="120"/>
      </w:pPr>
      <w:r>
        <w:t>5.3 What Changed Structurally</w:t>
      </w:r>
    </w:p>
    <w:p w14:paraId="00F0357C" w14:textId="77777777" w:rsidR="00F06D94" w:rsidRDefault="00000000">
      <w:pPr>
        <w:pStyle w:val="ListParagraph"/>
        <w:numPr>
          <w:ilvl w:val="0"/>
          <w:numId w:val="2"/>
        </w:numPr>
        <w:spacing w:after="100" w:line="276" w:lineRule="auto"/>
      </w:pPr>
      <w:r>
        <w:t>5 upgrade layers (cross-fund, prediction, contagion, output, explainability), as detailed in Section 5.1.</w:t>
      </w:r>
    </w:p>
    <w:p w14:paraId="00F0357D" w14:textId="77777777" w:rsidR="00F06D94" w:rsidRDefault="00000000">
      <w:pPr>
        <w:pStyle w:val="ListParagraph"/>
        <w:numPr>
          <w:ilvl w:val="0"/>
          <w:numId w:val="2"/>
        </w:numPr>
        <w:spacing w:after="100" w:line="276" w:lineRule="auto"/>
      </w:pPr>
      <w:r>
        <w:t>7 feature categories, expanded from the 2–3 basic inputs (weight, Amihud, concentration) in the original scope to roughly 30 engineered features spanning composition, liquidity, market, time-series, network, macro, and text dimensions.</w:t>
      </w:r>
    </w:p>
    <w:p w14:paraId="00F0357E" w14:textId="77777777" w:rsidR="00F06D94" w:rsidRDefault="00000000">
      <w:pPr>
        <w:pStyle w:val="ListParagraph"/>
        <w:numPr>
          <w:ilvl w:val="0"/>
          <w:numId w:val="2"/>
        </w:numPr>
        <w:spacing w:after="100" w:line="276" w:lineRule="auto"/>
      </w:pPr>
      <w:r>
        <w:t>Two entirely new feature categories — Macro/market context and Text-derived (NLP) — did not exist in the original scope at all; these are net-new capabilities, not just deeper versions of existing ones.</w:t>
      </w:r>
    </w:p>
    <w:p w14:paraId="00F0357F" w14:textId="77777777" w:rsidR="00F06D94" w:rsidRDefault="00000000">
      <w:pPr>
        <w:spacing w:after="160" w:line="276" w:lineRule="auto"/>
      </w:pPr>
      <w:r>
        <w:t>With roughly 15–30 funds over 24–36 months (~400–1,000 fund-month observations), feature selection (e.g., L1-regularized logistic regression or importance-based pruning) should be applied before final model training to reduce the ~30 engineered features to the most informative ~10–15, avoiding overfitting at this sample size.</w:t>
      </w:r>
    </w:p>
    <w:p w14:paraId="00F03580" w14:textId="77777777" w:rsidR="00F06D94" w:rsidRDefault="00000000">
      <w:pPr>
        <w:pStyle w:val="Heading1"/>
        <w:spacing w:before="320" w:after="160"/>
      </w:pPr>
      <w:r>
        <w:t>6. Live Market Data &amp; On-Demand Computation</w:t>
      </w:r>
    </w:p>
    <w:p w14:paraId="00F03581" w14:textId="77777777" w:rsidR="00F06D94" w:rsidRDefault="00000000">
      <w:pPr>
        <w:spacing w:after="160" w:line="276" w:lineRule="auto"/>
      </w:pPr>
      <w:r>
        <w:t>Fund holdings data is inherently slow-moving (monthly, via N-PORT/AMFI-style disclosures), while market/price data can be live. The system is designed around this distinction rather than overstating real-time accuracy:</w:t>
      </w:r>
    </w:p>
    <w:p w14:paraId="00F03582" w14:textId="77777777" w:rsidR="00F06D94" w:rsidRDefault="00000000">
      <w:pPr>
        <w:pStyle w:val="ListParagraph"/>
        <w:numPr>
          <w:ilvl w:val="0"/>
          <w:numId w:val="2"/>
        </w:numPr>
        <w:spacing w:after="100" w:line="276" w:lineRule="auto"/>
      </w:pPr>
      <w:r>
        <w:t>Base liquidity score: recomputed from the latest disclosed holdings (monthly cadence).</w:t>
      </w:r>
    </w:p>
    <w:p w14:paraId="00F03583" w14:textId="77777777" w:rsidR="00F06D94" w:rsidRDefault="00000000">
      <w:pPr>
        <w:pStyle w:val="ListParagraph"/>
        <w:numPr>
          <w:ilvl w:val="0"/>
          <w:numId w:val="2"/>
        </w:numPr>
        <w:spacing w:after="100" w:line="276" w:lineRule="auto"/>
      </w:pPr>
      <w:r>
        <w:t>Live adjustment layer: daily/near-real-time market data (prices, volume, volatility, VIX/India VIX) is layered on top of the base score to reflect current market conditions, using the Twelve Data API as the market data source.</w:t>
      </w:r>
    </w:p>
    <w:p w14:paraId="00F03584" w14:textId="77777777" w:rsidR="00F06D94" w:rsidRDefault="00000000">
      <w:pPr>
        <w:pStyle w:val="ListParagraph"/>
        <w:numPr>
          <w:ilvl w:val="0"/>
          <w:numId w:val="2"/>
        </w:numPr>
        <w:spacing w:after="100" w:line="276" w:lineRule="auto"/>
      </w:pPr>
      <w:r>
        <w:t>On-demand computation: rather than continuously recalculating for every fund, the system computes/refreshes a fund's full result only when the user selects that fund, using its historical price/volume series plus the latest available data point.</w:t>
      </w:r>
    </w:p>
    <w:p w14:paraId="00F03585" w14:textId="77777777" w:rsidR="00F06D94" w:rsidRDefault="00000000">
      <w:pPr>
        <w:pStyle w:val="ListParagraph"/>
        <w:numPr>
          <w:ilvl w:val="0"/>
          <w:numId w:val="2"/>
        </w:numPr>
        <w:spacing w:after="100" w:line="276" w:lineRule="auto"/>
      </w:pPr>
      <w:r>
        <w:t xml:space="preserve">A visible “holdings as of [month]” and “market data as of [date]” label is </w:t>
      </w:r>
      <w:proofErr w:type="gramStart"/>
      <w:r>
        <w:t>shown in the UI at all times</w:t>
      </w:r>
      <w:proofErr w:type="gramEnd"/>
      <w:r>
        <w:t>, so the distinction between disclosed fundamentals and live market context remains transparent.</w:t>
      </w:r>
    </w:p>
    <w:p w14:paraId="00F03586" w14:textId="77777777" w:rsidR="00F06D94" w:rsidRDefault="00000000">
      <w:pPr>
        <w:spacing w:after="160" w:line="276" w:lineRule="auto"/>
      </w:pPr>
      <w:r>
        <w:t>This architecture avoids overclaiming full real-time fundamentals while still delivering a responsive, click-to-compute user experience backed by live market pricing.</w:t>
      </w:r>
    </w:p>
    <w:p w14:paraId="00F03587" w14:textId="77777777" w:rsidR="00F06D94" w:rsidRDefault="00000000">
      <w:pPr>
        <w:pStyle w:val="Heading1"/>
        <w:spacing w:before="320" w:after="160"/>
      </w:pPr>
      <w:r>
        <w:t>7. Multi-Provider RAG Explanation Layer</w:t>
      </w:r>
    </w:p>
    <w:p w14:paraId="00F03588" w14:textId="77777777" w:rsidR="00F06D94" w:rsidRDefault="00000000">
      <w:pPr>
        <w:spacing w:after="160" w:line="276" w:lineRule="auto"/>
      </w:pPr>
      <w:r>
        <w:t>To generate citation-backed, evidence-grounded explanations for each fund's predicted risk, the system queries multiple LLM providers in parallel and automatically selects the best-grounded output, rather than relying on a single provider:</w:t>
      </w:r>
    </w:p>
    <w:p w14:paraId="00F03589" w14:textId="77777777" w:rsidR="00F06D94" w:rsidRDefault="00000000">
      <w:pPr>
        <w:pStyle w:val="ListParagraph"/>
        <w:numPr>
          <w:ilvl w:val="0"/>
          <w:numId w:val="2"/>
        </w:numPr>
        <w:spacing w:after="100" w:line="276" w:lineRule="auto"/>
      </w:pPr>
      <w:r>
        <w:t>Retrieval: query embeddings are matched against a curated corpus (fund disclosures, prospectus text, BIS/Fed financial-stability reports) using a vector store (FAISS/Chroma).</w:t>
      </w:r>
    </w:p>
    <w:p w14:paraId="00F0358A" w14:textId="77777777" w:rsidR="00F06D94" w:rsidRDefault="00000000">
      <w:pPr>
        <w:pStyle w:val="ListParagraph"/>
        <w:numPr>
          <w:ilvl w:val="0"/>
          <w:numId w:val="2"/>
        </w:numPr>
        <w:spacing w:after="100" w:line="276" w:lineRule="auto"/>
      </w:pPr>
      <w:r>
        <w:t xml:space="preserve">Generation: the same retrieved context and prompt are sent in parallel to </w:t>
      </w:r>
      <w:proofErr w:type="spellStart"/>
      <w:r>
        <w:t>Groq</w:t>
      </w:r>
      <w:proofErr w:type="spellEnd"/>
      <w:r>
        <w:t xml:space="preserve">, </w:t>
      </w:r>
      <w:proofErr w:type="spellStart"/>
      <w:r>
        <w:t>OpenRouter</w:t>
      </w:r>
      <w:proofErr w:type="spellEnd"/>
      <w:r>
        <w:t>, and Gemini.</w:t>
      </w:r>
    </w:p>
    <w:p w14:paraId="00F0358B" w14:textId="77777777" w:rsidR="00F06D94" w:rsidRDefault="00000000">
      <w:pPr>
        <w:pStyle w:val="ListParagraph"/>
        <w:numPr>
          <w:ilvl w:val="0"/>
          <w:numId w:val="2"/>
        </w:numPr>
        <w:spacing w:after="100" w:line="276" w:lineRule="auto"/>
      </w:pPr>
      <w:r>
        <w:t xml:space="preserve">Selection: candidate responses are scored on </w:t>
      </w:r>
      <w:proofErr w:type="spellStart"/>
      <w:r>
        <w:t>groundedness</w:t>
      </w:r>
      <w:proofErr w:type="spellEnd"/>
      <w:r>
        <w:t xml:space="preserve"> (do claims match retrieved evidence), citation presence, consistency across providers, and latency; the best-scoring response is returned to the user.</w:t>
      </w:r>
    </w:p>
    <w:p w14:paraId="00F0358C" w14:textId="77777777" w:rsidR="00F06D94" w:rsidRDefault="00000000">
      <w:pPr>
        <w:pStyle w:val="ListParagraph"/>
        <w:numPr>
          <w:ilvl w:val="0"/>
          <w:numId w:val="2"/>
        </w:numPr>
        <w:spacing w:after="100" w:line="276" w:lineRule="auto"/>
      </w:pPr>
      <w:r>
        <w:t>Fallback: if one or more providers fail or time out, the system proceeds with whichever succeeded, rather than blocking the request.</w:t>
      </w:r>
    </w:p>
    <w:p w14:paraId="00F0358D" w14:textId="77777777" w:rsidR="00F06D94" w:rsidRDefault="00000000">
      <w:pPr>
        <w:pStyle w:val="ListParagraph"/>
        <w:numPr>
          <w:ilvl w:val="0"/>
          <w:numId w:val="2"/>
        </w:numPr>
        <w:spacing w:after="100" w:line="276" w:lineRule="auto"/>
      </w:pPr>
      <w:r>
        <w:t>Caching: the selected explanation is cached per fund (keyed by fund ID and data-as-of date) so repeat views are instant, with a manual refresh option to regenerate against the latest data.</w:t>
      </w:r>
    </w:p>
    <w:p w14:paraId="00F0358E" w14:textId="77777777" w:rsidR="00F06D94" w:rsidRDefault="00000000">
      <w:pPr>
        <w:pStyle w:val="Heading1"/>
        <w:spacing w:before="320" w:after="160"/>
      </w:pPr>
      <w:r>
        <w:lastRenderedPageBreak/>
        <w:t>8. Application Delivery (Objective 5)</w:t>
      </w:r>
    </w:p>
    <w:p w14:paraId="00F0358F" w14:textId="77777777" w:rsidR="00F06D94" w:rsidRDefault="00000000">
      <w:pPr>
        <w:spacing w:after="160" w:line="276" w:lineRule="auto"/>
      </w:pPr>
      <w:r>
        <w:t>The full pipeline is delivered as an interactive web application (responsive, Next.js/React) and a companion mobile application (React Native), sharing the same backend API, feature pipeline, and RAG explanation layer.</w:t>
      </w:r>
    </w:p>
    <w:p w14:paraId="00F03590" w14:textId="77777777" w:rsidR="00F06D94" w:rsidRDefault="00000000">
      <w:pPr>
        <w:pStyle w:val="Heading2"/>
        <w:spacing w:before="240" w:after="120"/>
      </w:pPr>
      <w:r>
        <w:t>8.1 Core User Flow</w:t>
      </w:r>
    </w:p>
    <w:p w14:paraId="00F03591" w14:textId="77777777" w:rsidR="00F06D94" w:rsidRDefault="00000000">
      <w:pPr>
        <w:pStyle w:val="ListParagraph"/>
        <w:numPr>
          <w:ilvl w:val="0"/>
          <w:numId w:val="3"/>
        </w:numPr>
        <w:spacing w:after="100" w:line="276" w:lineRule="auto"/>
      </w:pPr>
      <w:r>
        <w:t>User browses a dashboard/list/map of funds, color-coded by current (cached) liquidity stress level.</w:t>
      </w:r>
    </w:p>
    <w:p w14:paraId="00F03592" w14:textId="77777777" w:rsidR="00F06D94" w:rsidRDefault="00000000">
      <w:pPr>
        <w:pStyle w:val="ListParagraph"/>
        <w:numPr>
          <w:ilvl w:val="0"/>
          <w:numId w:val="3"/>
        </w:numPr>
        <w:spacing w:after="100" w:line="276" w:lineRule="auto"/>
      </w:pPr>
      <w:r>
        <w:t>On clicking a fund, the system pulls its historical price/volume series and holdings history, recomputes the full feature set, and runs the prediction models.</w:t>
      </w:r>
    </w:p>
    <w:p w14:paraId="00F03593" w14:textId="77777777" w:rsidR="00F06D94" w:rsidRDefault="00000000">
      <w:pPr>
        <w:pStyle w:val="ListParagraph"/>
        <w:numPr>
          <w:ilvl w:val="0"/>
          <w:numId w:val="3"/>
        </w:numPr>
        <w:spacing w:after="100" w:line="276" w:lineRule="auto"/>
      </w:pPr>
      <w:r>
        <w:t>The detail view displays: liquidity stress timeline, current score and next-period prediction, SHAP driver breakdown, the fund's position in the cross-fund network (centrality, cluster, top overlapping peers), and a RAG-generated, citation-backed explanation.</w:t>
      </w:r>
    </w:p>
    <w:p w14:paraId="00F03594" w14:textId="77777777" w:rsidR="00F06D94" w:rsidRDefault="00000000">
      <w:pPr>
        <w:pStyle w:val="ListParagraph"/>
        <w:numPr>
          <w:ilvl w:val="0"/>
          <w:numId w:val="3"/>
        </w:numPr>
        <w:spacing w:after="100" w:line="276" w:lineRule="auto"/>
      </w:pPr>
      <w:r>
        <w:t xml:space="preserve">A “refresh with latest data” control allows the user to force a live </w:t>
      </w:r>
      <w:proofErr w:type="spellStart"/>
      <w:r>
        <w:t>recomputation</w:t>
      </w:r>
      <w:proofErr w:type="spellEnd"/>
      <w:r>
        <w:t xml:space="preserve"> using the most recent Twelve Data market pull.</w:t>
      </w:r>
    </w:p>
    <w:p w14:paraId="00F03595" w14:textId="77777777" w:rsidR="00F06D94" w:rsidRDefault="00000000">
      <w:pPr>
        <w:pStyle w:val="Heading2"/>
        <w:spacing w:before="240" w:after="120"/>
      </w:pPr>
      <w:r>
        <w:t>8.2 Key Screens</w:t>
      </w:r>
    </w:p>
    <w:p w14:paraId="00F03596" w14:textId="77777777" w:rsidR="00F06D94" w:rsidRDefault="00000000">
      <w:pPr>
        <w:pStyle w:val="ListParagraph"/>
        <w:numPr>
          <w:ilvl w:val="0"/>
          <w:numId w:val="2"/>
        </w:numPr>
        <w:spacing w:after="100" w:line="276" w:lineRule="auto"/>
      </w:pPr>
      <w:r>
        <w:t>Home/Landing — introductory hero section and “how it works” explainer.</w:t>
      </w:r>
    </w:p>
    <w:p w14:paraId="00F03597" w14:textId="77777777" w:rsidR="00F06D94" w:rsidRDefault="00000000">
      <w:pPr>
        <w:pStyle w:val="ListParagraph"/>
        <w:numPr>
          <w:ilvl w:val="0"/>
          <w:numId w:val="2"/>
        </w:numPr>
        <w:spacing w:after="100" w:line="276" w:lineRule="auto"/>
      </w:pPr>
      <w:r>
        <w:t>Fund Explorer — searchable, filterable list/map of funds.</w:t>
      </w:r>
    </w:p>
    <w:p w14:paraId="00F03598" w14:textId="77777777" w:rsidR="00F06D94" w:rsidRDefault="00000000">
      <w:pPr>
        <w:pStyle w:val="ListParagraph"/>
        <w:numPr>
          <w:ilvl w:val="0"/>
          <w:numId w:val="2"/>
        </w:numPr>
        <w:spacing w:after="100" w:line="276" w:lineRule="auto"/>
      </w:pPr>
      <w:r>
        <w:t>Fund Detail — full click-through output described in Section 8.1.</w:t>
      </w:r>
    </w:p>
    <w:p w14:paraId="00F03599" w14:textId="77777777" w:rsidR="00F06D94" w:rsidRDefault="00000000">
      <w:pPr>
        <w:pStyle w:val="ListParagraph"/>
        <w:numPr>
          <w:ilvl w:val="0"/>
          <w:numId w:val="2"/>
        </w:numPr>
        <w:spacing w:after="100" w:line="276" w:lineRule="auto"/>
      </w:pPr>
      <w:r>
        <w:t>Network View — full interactive cross-fund graph.</w:t>
      </w:r>
    </w:p>
    <w:p w14:paraId="00F0359A" w14:textId="77777777" w:rsidR="00F06D94" w:rsidRDefault="00000000">
      <w:pPr>
        <w:pStyle w:val="ListParagraph"/>
        <w:numPr>
          <w:ilvl w:val="0"/>
          <w:numId w:val="2"/>
        </w:numPr>
        <w:spacing w:after="100" w:line="276" w:lineRule="auto"/>
      </w:pPr>
      <w:r>
        <w:t>Systemic Risk Dashboard — sector-wide index trend and top systemically-important funds.</w:t>
      </w:r>
    </w:p>
    <w:p w14:paraId="00F0359B" w14:textId="77777777" w:rsidR="00F06D94" w:rsidRDefault="00000000">
      <w:pPr>
        <w:pStyle w:val="Heading1"/>
        <w:spacing w:before="320" w:after="160"/>
      </w:pPr>
      <w:r>
        <w:t>9. Team Structure (4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00"/>
        <w:gridCol w:w="2750"/>
      </w:tblGrid>
      <w:tr w:rsidR="00F06D94" w14:paraId="00F0359F" w14:textId="77777777">
        <w:tblPrEx>
          <w:tblCellMar>
            <w:top w:w="0" w:type="dxa"/>
            <w:bottom w:w="0" w:type="dxa"/>
          </w:tblCellMar>
        </w:tblPrEx>
        <w:trPr>
          <w:tblHeader/>
        </w:trPr>
        <w:tc>
          <w:tcPr>
            <w:tcW w:w="1500" w:type="dxa"/>
            <w:shd w:val="clear" w:color="auto" w:fill="1F4E79"/>
            <w:tcMar>
              <w:top w:w="100" w:type="dxa"/>
              <w:left w:w="120" w:type="dxa"/>
              <w:bottom w:w="100" w:type="dxa"/>
              <w:right w:w="120" w:type="dxa"/>
            </w:tcMar>
          </w:tcPr>
          <w:p w14:paraId="00F0359C" w14:textId="77777777" w:rsidR="00F06D94" w:rsidRDefault="00000000">
            <w:r>
              <w:rPr>
                <w:b/>
                <w:bCs/>
                <w:color w:val="FFFFFF"/>
              </w:rPr>
              <w:t>Member</w:t>
            </w:r>
          </w:p>
        </w:tc>
        <w:tc>
          <w:tcPr>
            <w:tcW w:w="5100" w:type="dxa"/>
            <w:shd w:val="clear" w:color="auto" w:fill="1F4E79"/>
            <w:tcMar>
              <w:top w:w="100" w:type="dxa"/>
              <w:left w:w="120" w:type="dxa"/>
              <w:bottom w:w="100" w:type="dxa"/>
              <w:right w:w="120" w:type="dxa"/>
            </w:tcMar>
          </w:tcPr>
          <w:p w14:paraId="00F0359D" w14:textId="77777777" w:rsidR="00F06D94" w:rsidRDefault="00000000">
            <w:r>
              <w:rPr>
                <w:b/>
                <w:bCs/>
                <w:color w:val="FFFFFF"/>
              </w:rPr>
              <w:t>Responsibility</w:t>
            </w:r>
          </w:p>
        </w:tc>
        <w:tc>
          <w:tcPr>
            <w:tcW w:w="2750" w:type="dxa"/>
            <w:shd w:val="clear" w:color="auto" w:fill="1F4E79"/>
            <w:tcMar>
              <w:top w:w="100" w:type="dxa"/>
              <w:left w:w="120" w:type="dxa"/>
              <w:bottom w:w="100" w:type="dxa"/>
              <w:right w:w="120" w:type="dxa"/>
            </w:tcMar>
          </w:tcPr>
          <w:p w14:paraId="00F0359E" w14:textId="77777777" w:rsidR="00F06D94" w:rsidRDefault="00000000">
            <w:r>
              <w:rPr>
                <w:b/>
                <w:bCs/>
                <w:color w:val="FFFFFF"/>
              </w:rPr>
              <w:t>Deliverable</w:t>
            </w:r>
          </w:p>
        </w:tc>
      </w:tr>
      <w:tr w:rsidR="00F06D94" w14:paraId="00F035A3" w14:textId="77777777">
        <w:tblPrEx>
          <w:tblCellMar>
            <w:top w:w="0" w:type="dxa"/>
            <w:bottom w:w="0" w:type="dxa"/>
          </w:tblCellMar>
        </w:tblPrEx>
        <w:tc>
          <w:tcPr>
            <w:tcW w:w="1500" w:type="dxa"/>
            <w:tcMar>
              <w:top w:w="100" w:type="dxa"/>
              <w:left w:w="120" w:type="dxa"/>
              <w:bottom w:w="100" w:type="dxa"/>
              <w:right w:w="120" w:type="dxa"/>
            </w:tcMar>
          </w:tcPr>
          <w:p w14:paraId="00F035A0" w14:textId="77777777" w:rsidR="00F06D94" w:rsidRDefault="00000000">
            <w:r>
              <w:t>Member 1</w:t>
            </w:r>
          </w:p>
        </w:tc>
        <w:tc>
          <w:tcPr>
            <w:tcW w:w="5100" w:type="dxa"/>
            <w:tcMar>
              <w:top w:w="100" w:type="dxa"/>
              <w:left w:w="120" w:type="dxa"/>
              <w:bottom w:w="100" w:type="dxa"/>
              <w:right w:w="120" w:type="dxa"/>
            </w:tcMar>
          </w:tcPr>
          <w:p w14:paraId="00F035A1" w14:textId="77777777" w:rsidR="00F06D94" w:rsidRDefault="00000000">
            <w:r>
              <w:t>Data engineering: N-PORT parsing, Twelve Data integration, liquidity proxy and full feature computation (Section 5), unified dataset</w:t>
            </w:r>
          </w:p>
        </w:tc>
        <w:tc>
          <w:tcPr>
            <w:tcW w:w="2750" w:type="dxa"/>
            <w:tcMar>
              <w:top w:w="100" w:type="dxa"/>
              <w:left w:w="120" w:type="dxa"/>
              <w:bottom w:w="100" w:type="dxa"/>
              <w:right w:w="120" w:type="dxa"/>
            </w:tcMar>
          </w:tcPr>
          <w:p w14:paraId="00F035A2" w14:textId="77777777" w:rsidR="00F06D94" w:rsidRDefault="00000000">
            <w:r>
              <w:t>Clean structured fund-month dataset + live data pipeline</w:t>
            </w:r>
          </w:p>
        </w:tc>
      </w:tr>
      <w:tr w:rsidR="00F06D94" w14:paraId="00F035A7" w14:textId="77777777">
        <w:tblPrEx>
          <w:tblCellMar>
            <w:top w:w="0" w:type="dxa"/>
            <w:bottom w:w="0" w:type="dxa"/>
          </w:tblCellMar>
        </w:tblPrEx>
        <w:tc>
          <w:tcPr>
            <w:tcW w:w="1500" w:type="dxa"/>
            <w:tcMar>
              <w:top w:w="100" w:type="dxa"/>
              <w:left w:w="120" w:type="dxa"/>
              <w:bottom w:w="100" w:type="dxa"/>
              <w:right w:w="120" w:type="dxa"/>
            </w:tcMar>
          </w:tcPr>
          <w:p w14:paraId="00F035A4" w14:textId="77777777" w:rsidR="00F06D94" w:rsidRDefault="00000000">
            <w:r>
              <w:t>Member 2</w:t>
            </w:r>
          </w:p>
        </w:tc>
        <w:tc>
          <w:tcPr>
            <w:tcW w:w="5100" w:type="dxa"/>
            <w:tcMar>
              <w:top w:w="100" w:type="dxa"/>
              <w:left w:w="120" w:type="dxa"/>
              <w:bottom w:w="100" w:type="dxa"/>
              <w:right w:w="120" w:type="dxa"/>
            </w:tcMar>
          </w:tcPr>
          <w:p w14:paraId="00F035A5" w14:textId="77777777" w:rsidR="00F06D94" w:rsidRDefault="00000000">
            <w:r>
              <w:t xml:space="preserve">Liquidity index design + fund-only and overlap-weighted predictive models (Logistic Regression, </w:t>
            </w:r>
            <w:proofErr w:type="spellStart"/>
            <w:r>
              <w:t>XGBoost</w:t>
            </w:r>
            <w:proofErr w:type="spellEnd"/>
            <w:r>
              <w:t>, LSTM)</w:t>
            </w:r>
          </w:p>
        </w:tc>
        <w:tc>
          <w:tcPr>
            <w:tcW w:w="2750" w:type="dxa"/>
            <w:tcMar>
              <w:top w:w="100" w:type="dxa"/>
              <w:left w:w="120" w:type="dxa"/>
              <w:bottom w:w="100" w:type="dxa"/>
              <w:right w:w="120" w:type="dxa"/>
            </w:tcMar>
          </w:tcPr>
          <w:p w14:paraId="00F035A6" w14:textId="77777777" w:rsidR="00F06D94" w:rsidRDefault="00000000">
            <w:r>
              <w:t>Liquidity index + baseline/cross-fund models with metrics</w:t>
            </w:r>
          </w:p>
        </w:tc>
      </w:tr>
      <w:tr w:rsidR="00F06D94" w14:paraId="00F035AB" w14:textId="77777777">
        <w:tblPrEx>
          <w:tblCellMar>
            <w:top w:w="0" w:type="dxa"/>
            <w:bottom w:w="0" w:type="dxa"/>
          </w:tblCellMar>
        </w:tblPrEx>
        <w:tc>
          <w:tcPr>
            <w:tcW w:w="1500" w:type="dxa"/>
            <w:tcMar>
              <w:top w:w="100" w:type="dxa"/>
              <w:left w:w="120" w:type="dxa"/>
              <w:bottom w:w="100" w:type="dxa"/>
              <w:right w:w="120" w:type="dxa"/>
            </w:tcMar>
          </w:tcPr>
          <w:p w14:paraId="00F035A8" w14:textId="77777777" w:rsidR="00F06D94" w:rsidRDefault="00000000">
            <w:r>
              <w:t>Member 3</w:t>
            </w:r>
          </w:p>
        </w:tc>
        <w:tc>
          <w:tcPr>
            <w:tcW w:w="5100" w:type="dxa"/>
            <w:tcMar>
              <w:top w:w="100" w:type="dxa"/>
              <w:left w:w="120" w:type="dxa"/>
              <w:bottom w:w="100" w:type="dxa"/>
              <w:right w:w="120" w:type="dxa"/>
            </w:tcMar>
          </w:tcPr>
          <w:p w14:paraId="00F035A9" w14:textId="77777777" w:rsidR="00F06D94" w:rsidRDefault="00000000">
            <w:r>
              <w:t>Network analysis (centrality, Louvain clustering, temporal evolution), GNN model, fire-sale contagion simulation, systemic index, SHAP + graph-level explanation</w:t>
            </w:r>
          </w:p>
        </w:tc>
        <w:tc>
          <w:tcPr>
            <w:tcW w:w="2750" w:type="dxa"/>
            <w:tcMar>
              <w:top w:w="100" w:type="dxa"/>
              <w:left w:w="120" w:type="dxa"/>
              <w:bottom w:w="100" w:type="dxa"/>
              <w:right w:w="120" w:type="dxa"/>
            </w:tcMar>
          </w:tcPr>
          <w:p w14:paraId="00F035AA" w14:textId="77777777" w:rsidR="00F06D94" w:rsidRDefault="00000000">
            <w:r>
              <w:t>Cross-fund/GNN model + contagion simulation + systemic index + explainability outputs</w:t>
            </w:r>
          </w:p>
        </w:tc>
      </w:tr>
      <w:tr w:rsidR="00F06D94" w14:paraId="00F035AF" w14:textId="77777777">
        <w:tblPrEx>
          <w:tblCellMar>
            <w:top w:w="0" w:type="dxa"/>
            <w:bottom w:w="0" w:type="dxa"/>
          </w:tblCellMar>
        </w:tblPrEx>
        <w:tc>
          <w:tcPr>
            <w:tcW w:w="1500" w:type="dxa"/>
            <w:tcMar>
              <w:top w:w="100" w:type="dxa"/>
              <w:left w:w="120" w:type="dxa"/>
              <w:bottom w:w="100" w:type="dxa"/>
              <w:right w:w="120" w:type="dxa"/>
            </w:tcMar>
          </w:tcPr>
          <w:p w14:paraId="00F035AC" w14:textId="77777777" w:rsidR="00F06D94" w:rsidRDefault="00000000">
            <w:r>
              <w:t>Member 4</w:t>
            </w:r>
          </w:p>
        </w:tc>
        <w:tc>
          <w:tcPr>
            <w:tcW w:w="5100" w:type="dxa"/>
            <w:tcMar>
              <w:top w:w="100" w:type="dxa"/>
              <w:left w:w="120" w:type="dxa"/>
              <w:bottom w:w="100" w:type="dxa"/>
              <w:right w:w="120" w:type="dxa"/>
            </w:tcMar>
          </w:tcPr>
          <w:p w14:paraId="00F035AD" w14:textId="77777777" w:rsidR="00F06D94" w:rsidRDefault="00000000">
            <w:r>
              <w:t>Multi-provider RAG pipeline (</w:t>
            </w:r>
            <w:proofErr w:type="spellStart"/>
            <w:r>
              <w:t>Groq</w:t>
            </w:r>
            <w:proofErr w:type="spellEnd"/>
            <w:r>
              <w:t>/</w:t>
            </w:r>
            <w:proofErr w:type="spellStart"/>
            <w:r>
              <w:t>OpenRouter</w:t>
            </w:r>
            <w:proofErr w:type="spellEnd"/>
            <w:r>
              <w:t>/Gemini), web + mobile application build, dashboard integration</w:t>
            </w:r>
          </w:p>
        </w:tc>
        <w:tc>
          <w:tcPr>
            <w:tcW w:w="2750" w:type="dxa"/>
            <w:tcMar>
              <w:top w:w="100" w:type="dxa"/>
              <w:left w:w="120" w:type="dxa"/>
              <w:bottom w:w="100" w:type="dxa"/>
              <w:right w:w="120" w:type="dxa"/>
            </w:tcMar>
          </w:tcPr>
          <w:p w14:paraId="00F035AE" w14:textId="77777777" w:rsidR="00F06D94" w:rsidRDefault="00000000">
            <w:r>
              <w:t>RAG explanation system + working web/mobile application</w:t>
            </w:r>
          </w:p>
        </w:tc>
      </w:tr>
    </w:tbl>
    <w:p w14:paraId="00F035B0" w14:textId="77777777" w:rsidR="00F06D94" w:rsidRDefault="00000000">
      <w:pPr>
        <w:spacing w:after="160" w:line="276" w:lineRule="auto"/>
      </w:pPr>
      <w:r>
        <w:t>All members contribute to fund selection, literature review, results validation against known real-world cases, and final report writing.</w:t>
      </w:r>
    </w:p>
    <w:p w14:paraId="00F035B1" w14:textId="77777777" w:rsidR="00F06D94" w:rsidRDefault="00000000">
      <w:pPr>
        <w:pStyle w:val="Heading1"/>
        <w:spacing w:before="320" w:after="160"/>
      </w:pPr>
      <w:r>
        <w:t>10. Suggested Timeline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6450"/>
      </w:tblGrid>
      <w:tr w:rsidR="00F06D94" w14:paraId="00F035B5" w14:textId="77777777">
        <w:tblPrEx>
          <w:tblCellMar>
            <w:top w:w="0" w:type="dxa"/>
            <w:bottom w:w="0" w:type="dxa"/>
          </w:tblCellMar>
        </w:tblPrEx>
        <w:trPr>
          <w:tblHeader/>
        </w:trPr>
        <w:tc>
          <w:tcPr>
            <w:tcW w:w="1300" w:type="dxa"/>
            <w:shd w:val="clear" w:color="auto" w:fill="1F4E79"/>
            <w:tcMar>
              <w:top w:w="100" w:type="dxa"/>
              <w:left w:w="120" w:type="dxa"/>
              <w:bottom w:w="100" w:type="dxa"/>
              <w:right w:w="120" w:type="dxa"/>
            </w:tcMar>
          </w:tcPr>
          <w:p w14:paraId="00F035B2" w14:textId="77777777" w:rsidR="00F06D94" w:rsidRDefault="00000000">
            <w:r>
              <w:rPr>
                <w:b/>
                <w:bCs/>
                <w:color w:val="FFFFFF"/>
              </w:rPr>
              <w:lastRenderedPageBreak/>
              <w:t>Phase</w:t>
            </w:r>
          </w:p>
        </w:tc>
        <w:tc>
          <w:tcPr>
            <w:tcW w:w="1600" w:type="dxa"/>
            <w:shd w:val="clear" w:color="auto" w:fill="1F4E79"/>
            <w:tcMar>
              <w:top w:w="100" w:type="dxa"/>
              <w:left w:w="120" w:type="dxa"/>
              <w:bottom w:w="100" w:type="dxa"/>
              <w:right w:w="120" w:type="dxa"/>
            </w:tcMar>
          </w:tcPr>
          <w:p w14:paraId="00F035B3" w14:textId="77777777" w:rsidR="00F06D94" w:rsidRDefault="00000000">
            <w:r>
              <w:rPr>
                <w:b/>
                <w:bCs/>
                <w:color w:val="FFFFFF"/>
              </w:rPr>
              <w:t>Weeks</w:t>
            </w:r>
          </w:p>
        </w:tc>
        <w:tc>
          <w:tcPr>
            <w:tcW w:w="6450" w:type="dxa"/>
            <w:shd w:val="clear" w:color="auto" w:fill="1F4E79"/>
            <w:tcMar>
              <w:top w:w="100" w:type="dxa"/>
              <w:left w:w="120" w:type="dxa"/>
              <w:bottom w:w="100" w:type="dxa"/>
              <w:right w:w="120" w:type="dxa"/>
            </w:tcMar>
          </w:tcPr>
          <w:p w14:paraId="00F035B4" w14:textId="77777777" w:rsidR="00F06D94" w:rsidRDefault="00000000">
            <w:r>
              <w:rPr>
                <w:b/>
                <w:bCs/>
                <w:color w:val="FFFFFF"/>
              </w:rPr>
              <w:t>Activity</w:t>
            </w:r>
          </w:p>
        </w:tc>
      </w:tr>
      <w:tr w:rsidR="00F06D94" w14:paraId="00F035B9" w14:textId="77777777">
        <w:tblPrEx>
          <w:tblCellMar>
            <w:top w:w="0" w:type="dxa"/>
            <w:bottom w:w="0" w:type="dxa"/>
          </w:tblCellMar>
        </w:tblPrEx>
        <w:tc>
          <w:tcPr>
            <w:tcW w:w="1300" w:type="dxa"/>
            <w:tcMar>
              <w:top w:w="100" w:type="dxa"/>
              <w:left w:w="120" w:type="dxa"/>
              <w:bottom w:w="100" w:type="dxa"/>
              <w:right w:w="120" w:type="dxa"/>
            </w:tcMar>
          </w:tcPr>
          <w:p w14:paraId="00F035B6" w14:textId="77777777" w:rsidR="00F06D94" w:rsidRDefault="00000000">
            <w:r>
              <w:t>1</w:t>
            </w:r>
          </w:p>
        </w:tc>
        <w:tc>
          <w:tcPr>
            <w:tcW w:w="1600" w:type="dxa"/>
            <w:tcMar>
              <w:top w:w="100" w:type="dxa"/>
              <w:left w:w="120" w:type="dxa"/>
              <w:bottom w:w="100" w:type="dxa"/>
              <w:right w:w="120" w:type="dxa"/>
            </w:tcMar>
          </w:tcPr>
          <w:p w14:paraId="00F035B7" w14:textId="77777777" w:rsidR="00F06D94" w:rsidRDefault="00000000">
            <w:r>
              <w:t>1–2</w:t>
            </w:r>
          </w:p>
        </w:tc>
        <w:tc>
          <w:tcPr>
            <w:tcW w:w="6450" w:type="dxa"/>
            <w:tcMar>
              <w:top w:w="100" w:type="dxa"/>
              <w:left w:w="120" w:type="dxa"/>
              <w:bottom w:w="100" w:type="dxa"/>
              <w:right w:w="120" w:type="dxa"/>
            </w:tcMar>
          </w:tcPr>
          <w:p w14:paraId="00F035B8" w14:textId="77777777" w:rsidR="00F06D94" w:rsidRDefault="00000000">
            <w:r>
              <w:t>Member 1 builds data pipeline (N-PORT + Twelve Data); others complete literature review</w:t>
            </w:r>
          </w:p>
        </w:tc>
      </w:tr>
      <w:tr w:rsidR="00F06D94" w14:paraId="00F035BD" w14:textId="77777777">
        <w:tblPrEx>
          <w:tblCellMar>
            <w:top w:w="0" w:type="dxa"/>
            <w:bottom w:w="0" w:type="dxa"/>
          </w:tblCellMar>
        </w:tblPrEx>
        <w:tc>
          <w:tcPr>
            <w:tcW w:w="1300" w:type="dxa"/>
            <w:tcMar>
              <w:top w:w="100" w:type="dxa"/>
              <w:left w:w="120" w:type="dxa"/>
              <w:bottom w:w="100" w:type="dxa"/>
              <w:right w:w="120" w:type="dxa"/>
            </w:tcMar>
          </w:tcPr>
          <w:p w14:paraId="00F035BA" w14:textId="77777777" w:rsidR="00F06D94" w:rsidRDefault="00000000">
            <w:r>
              <w:t>2</w:t>
            </w:r>
          </w:p>
        </w:tc>
        <w:tc>
          <w:tcPr>
            <w:tcW w:w="1600" w:type="dxa"/>
            <w:tcMar>
              <w:top w:w="100" w:type="dxa"/>
              <w:left w:w="120" w:type="dxa"/>
              <w:bottom w:w="100" w:type="dxa"/>
              <w:right w:w="120" w:type="dxa"/>
            </w:tcMar>
          </w:tcPr>
          <w:p w14:paraId="00F035BB" w14:textId="77777777" w:rsidR="00F06D94" w:rsidRDefault="00000000">
            <w:r>
              <w:t>3–5</w:t>
            </w:r>
          </w:p>
        </w:tc>
        <w:tc>
          <w:tcPr>
            <w:tcW w:w="6450" w:type="dxa"/>
            <w:tcMar>
              <w:top w:w="100" w:type="dxa"/>
              <w:left w:w="120" w:type="dxa"/>
              <w:bottom w:w="100" w:type="dxa"/>
              <w:right w:w="120" w:type="dxa"/>
            </w:tcMar>
          </w:tcPr>
          <w:p w14:paraId="00F035BC" w14:textId="77777777" w:rsidR="00F06D94" w:rsidRDefault="00000000">
            <w:r>
              <w:t>Member 2 builds liquidity index + baseline/cross-fund models; Member 4 curates RAG corpus and scaffolds app shell</w:t>
            </w:r>
          </w:p>
        </w:tc>
      </w:tr>
      <w:tr w:rsidR="00F06D94" w14:paraId="00F035C1" w14:textId="77777777">
        <w:tblPrEx>
          <w:tblCellMar>
            <w:top w:w="0" w:type="dxa"/>
            <w:bottom w:w="0" w:type="dxa"/>
          </w:tblCellMar>
        </w:tblPrEx>
        <w:tc>
          <w:tcPr>
            <w:tcW w:w="1300" w:type="dxa"/>
            <w:tcMar>
              <w:top w:w="100" w:type="dxa"/>
              <w:left w:w="120" w:type="dxa"/>
              <w:bottom w:w="100" w:type="dxa"/>
              <w:right w:w="120" w:type="dxa"/>
            </w:tcMar>
          </w:tcPr>
          <w:p w14:paraId="00F035BE" w14:textId="77777777" w:rsidR="00F06D94" w:rsidRDefault="00000000">
            <w:r>
              <w:t>3</w:t>
            </w:r>
          </w:p>
        </w:tc>
        <w:tc>
          <w:tcPr>
            <w:tcW w:w="1600" w:type="dxa"/>
            <w:tcMar>
              <w:top w:w="100" w:type="dxa"/>
              <w:left w:w="120" w:type="dxa"/>
              <w:bottom w:w="100" w:type="dxa"/>
              <w:right w:w="120" w:type="dxa"/>
            </w:tcMar>
          </w:tcPr>
          <w:p w14:paraId="00F035BF" w14:textId="77777777" w:rsidR="00F06D94" w:rsidRDefault="00000000">
            <w:r>
              <w:t>5–8</w:t>
            </w:r>
          </w:p>
        </w:tc>
        <w:tc>
          <w:tcPr>
            <w:tcW w:w="6450" w:type="dxa"/>
            <w:tcMar>
              <w:top w:w="100" w:type="dxa"/>
              <w:left w:w="120" w:type="dxa"/>
              <w:bottom w:w="100" w:type="dxa"/>
              <w:right w:w="120" w:type="dxa"/>
            </w:tcMar>
          </w:tcPr>
          <w:p w14:paraId="00F035C0" w14:textId="77777777" w:rsidR="00F06D94" w:rsidRDefault="00000000">
            <w:r>
              <w:t>Member 3 builds network analysis, GNN model, and fire-sale contagion simulation; SHAP + graph-level explanation</w:t>
            </w:r>
          </w:p>
        </w:tc>
      </w:tr>
      <w:tr w:rsidR="00F06D94" w14:paraId="00F035C5" w14:textId="77777777">
        <w:tblPrEx>
          <w:tblCellMar>
            <w:top w:w="0" w:type="dxa"/>
            <w:bottom w:w="0" w:type="dxa"/>
          </w:tblCellMar>
        </w:tblPrEx>
        <w:tc>
          <w:tcPr>
            <w:tcW w:w="1300" w:type="dxa"/>
            <w:tcMar>
              <w:top w:w="100" w:type="dxa"/>
              <w:left w:w="120" w:type="dxa"/>
              <w:bottom w:w="100" w:type="dxa"/>
              <w:right w:w="120" w:type="dxa"/>
            </w:tcMar>
          </w:tcPr>
          <w:p w14:paraId="00F035C2" w14:textId="77777777" w:rsidR="00F06D94" w:rsidRDefault="00000000">
            <w:r>
              <w:t>4</w:t>
            </w:r>
          </w:p>
        </w:tc>
        <w:tc>
          <w:tcPr>
            <w:tcW w:w="1600" w:type="dxa"/>
            <w:tcMar>
              <w:top w:w="100" w:type="dxa"/>
              <w:left w:w="120" w:type="dxa"/>
              <w:bottom w:w="100" w:type="dxa"/>
              <w:right w:w="120" w:type="dxa"/>
            </w:tcMar>
          </w:tcPr>
          <w:p w14:paraId="00F035C3" w14:textId="77777777" w:rsidR="00F06D94" w:rsidRDefault="00000000">
            <w:r>
              <w:t>8–10</w:t>
            </w:r>
          </w:p>
        </w:tc>
        <w:tc>
          <w:tcPr>
            <w:tcW w:w="6450" w:type="dxa"/>
            <w:tcMar>
              <w:top w:w="100" w:type="dxa"/>
              <w:left w:w="120" w:type="dxa"/>
              <w:bottom w:w="100" w:type="dxa"/>
              <w:right w:w="120" w:type="dxa"/>
            </w:tcMar>
          </w:tcPr>
          <w:p w14:paraId="00F035C4" w14:textId="77777777" w:rsidR="00F06D94" w:rsidRDefault="00000000">
            <w:r>
              <w:t>Member 4 integrates multi-provider RAG, systemic index view, and completes web + mobile application</w:t>
            </w:r>
          </w:p>
        </w:tc>
      </w:tr>
      <w:tr w:rsidR="00F06D94" w14:paraId="00F035C9" w14:textId="77777777">
        <w:tblPrEx>
          <w:tblCellMar>
            <w:top w:w="0" w:type="dxa"/>
            <w:bottom w:w="0" w:type="dxa"/>
          </w:tblCellMar>
        </w:tblPrEx>
        <w:tc>
          <w:tcPr>
            <w:tcW w:w="1300" w:type="dxa"/>
            <w:tcMar>
              <w:top w:w="100" w:type="dxa"/>
              <w:left w:w="120" w:type="dxa"/>
              <w:bottom w:w="100" w:type="dxa"/>
              <w:right w:w="120" w:type="dxa"/>
            </w:tcMar>
          </w:tcPr>
          <w:p w14:paraId="00F035C6" w14:textId="77777777" w:rsidR="00F06D94" w:rsidRDefault="00000000">
            <w:r>
              <w:t>5</w:t>
            </w:r>
          </w:p>
        </w:tc>
        <w:tc>
          <w:tcPr>
            <w:tcW w:w="1600" w:type="dxa"/>
            <w:tcMar>
              <w:top w:w="100" w:type="dxa"/>
              <w:left w:w="120" w:type="dxa"/>
              <w:bottom w:w="100" w:type="dxa"/>
              <w:right w:w="120" w:type="dxa"/>
            </w:tcMar>
          </w:tcPr>
          <w:p w14:paraId="00F035C7" w14:textId="77777777" w:rsidR="00F06D94" w:rsidRDefault="00000000">
            <w:r>
              <w:t>10–11</w:t>
            </w:r>
          </w:p>
        </w:tc>
        <w:tc>
          <w:tcPr>
            <w:tcW w:w="6450" w:type="dxa"/>
            <w:tcMar>
              <w:top w:w="100" w:type="dxa"/>
              <w:left w:w="120" w:type="dxa"/>
              <w:bottom w:w="100" w:type="dxa"/>
              <w:right w:w="120" w:type="dxa"/>
            </w:tcMar>
          </w:tcPr>
          <w:p w14:paraId="00F035C8" w14:textId="77777777" w:rsidR="00F06D94" w:rsidRDefault="00000000">
            <w:r>
              <w:t xml:space="preserve">End-to-end testing, report writing, </w:t>
            </w:r>
            <w:proofErr w:type="spellStart"/>
            <w:r>
              <w:t>defense</w:t>
            </w:r>
            <w:proofErr w:type="spellEnd"/>
            <w:r>
              <w:t xml:space="preserve"> preparation</w:t>
            </w:r>
          </w:p>
        </w:tc>
      </w:tr>
    </w:tbl>
    <w:p w14:paraId="00F035CA" w14:textId="77777777" w:rsidR="00F06D94" w:rsidRDefault="00000000">
      <w:pPr>
        <w:pStyle w:val="Heading1"/>
        <w:spacing w:before="320" w:after="160"/>
      </w:pPr>
      <w:r>
        <w:t>11. Expected Outcome</w:t>
      </w:r>
    </w:p>
    <w:p w14:paraId="00F035CB" w14:textId="77777777" w:rsidR="00F06D94" w:rsidRDefault="00000000">
      <w:pPr>
        <w:pStyle w:val="ListParagraph"/>
        <w:numPr>
          <w:ilvl w:val="0"/>
          <w:numId w:val="2"/>
        </w:numPr>
        <w:spacing w:after="100" w:line="276" w:lineRule="auto"/>
      </w:pPr>
      <w:r>
        <w:t>A validated fund liquidity stress score for ~15–30 mutual funds/ETFs, benchmarked against known real-world liquidity events (e.g., Franklin Templeton India 2020, Third Avenue 2015).</w:t>
      </w:r>
    </w:p>
    <w:p w14:paraId="00F035CC" w14:textId="77777777" w:rsidR="00F06D94" w:rsidRDefault="00000000">
      <w:pPr>
        <w:pStyle w:val="ListParagraph"/>
        <w:numPr>
          <w:ilvl w:val="0"/>
          <w:numId w:val="2"/>
        </w:numPr>
        <w:spacing w:after="100" w:line="276" w:lineRule="auto"/>
      </w:pPr>
      <w:r>
        <w:t>Empirical evidence on whether cross-fund, network-aware signals (overlap-weighted features and/or a GNN) improve predictive accuracy over fund-only models — reported via AUC/precision-recall comparison.</w:t>
      </w:r>
    </w:p>
    <w:p w14:paraId="00F035CD" w14:textId="77777777" w:rsidR="00F06D94" w:rsidRDefault="00000000">
      <w:pPr>
        <w:pStyle w:val="ListParagraph"/>
        <w:numPr>
          <w:ilvl w:val="0"/>
          <w:numId w:val="2"/>
        </w:numPr>
        <w:spacing w:after="100" w:line="276" w:lineRule="auto"/>
      </w:pPr>
      <w:r>
        <w:t>A fire-sale contagion simulation demonstrating, mechanistically, how liquidation in one fund can propagate stress to overlapping funds, beyond correlation-based inference.</w:t>
      </w:r>
    </w:p>
    <w:p w14:paraId="00F035CE" w14:textId="77777777" w:rsidR="00F06D94" w:rsidRDefault="00000000">
      <w:pPr>
        <w:pStyle w:val="ListParagraph"/>
        <w:numPr>
          <w:ilvl w:val="0"/>
          <w:numId w:val="2"/>
        </w:numPr>
        <w:spacing w:after="100" w:line="276" w:lineRule="auto"/>
      </w:pPr>
      <w:r>
        <w:t>A sector-wide Systemic Liquidity Risk Index tracking fund-industry fragility over time, alongside identification of systemically important (high-centrality) funds.</w:t>
      </w:r>
    </w:p>
    <w:p w14:paraId="00F035CF" w14:textId="77777777" w:rsidR="00F06D94" w:rsidRDefault="00000000">
      <w:pPr>
        <w:pStyle w:val="ListParagraph"/>
        <w:numPr>
          <w:ilvl w:val="0"/>
          <w:numId w:val="2"/>
        </w:numPr>
        <w:spacing w:after="100" w:line="276" w:lineRule="auto"/>
      </w:pPr>
      <w:r>
        <w:t>A working explainable dashboard where each fund's predicted risk is accompanied by a SHAP-based driver breakdown, graph-level explanation, and a citation-backed natural language explanation selected from multiple LLM providers.</w:t>
      </w:r>
    </w:p>
    <w:p w14:paraId="00F035D0" w14:textId="77777777" w:rsidR="00F06D94" w:rsidRDefault="00000000">
      <w:pPr>
        <w:pStyle w:val="ListParagraph"/>
        <w:numPr>
          <w:ilvl w:val="0"/>
          <w:numId w:val="2"/>
        </w:numPr>
        <w:spacing w:after="100" w:line="276" w:lineRule="auto"/>
      </w:pPr>
      <w:r>
        <w:t>A functioning web and mobile application delivering the full pipeline with on-demand, click-triggered computation and live market data integration.</w:t>
      </w:r>
    </w:p>
    <w:p w14:paraId="00F035D1" w14:textId="77777777" w:rsidR="00F06D94" w:rsidRDefault="00000000">
      <w:pPr>
        <w:pStyle w:val="ListParagraph"/>
        <w:numPr>
          <w:ilvl w:val="0"/>
          <w:numId w:val="2"/>
        </w:numPr>
        <w:spacing w:after="100" w:line="276" w:lineRule="auto"/>
      </w:pPr>
      <w:r>
        <w:t>A documented, reproducible pipeline from raw public regulatory filings (Form N-PORT) to a live, explainable, evidence-grounded liquidity risk assessment application.</w:t>
      </w:r>
    </w:p>
    <w:p w14:paraId="00F035D2" w14:textId="77777777" w:rsidR="00F06D94" w:rsidRDefault="00000000">
      <w:pPr>
        <w:pStyle w:val="Heading1"/>
        <w:spacing w:before="320" w:after="160"/>
      </w:pPr>
      <w:r>
        <w:t>12. Limitations and Scope Notes</w:t>
      </w:r>
    </w:p>
    <w:p w14:paraId="00F035D3" w14:textId="77777777" w:rsidR="00F06D94" w:rsidRDefault="00000000">
      <w:pPr>
        <w:pStyle w:val="ListParagraph"/>
        <w:numPr>
          <w:ilvl w:val="0"/>
          <w:numId w:val="2"/>
        </w:numPr>
        <w:spacing w:after="100" w:line="276" w:lineRule="auto"/>
      </w:pPr>
      <w:r>
        <w:t>Asset-level liquidity is derived using proxies (</w:t>
      </w:r>
      <w:proofErr w:type="spellStart"/>
      <w:r>
        <w:t>Amihud</w:t>
      </w:r>
      <w:proofErr w:type="spellEnd"/>
      <w:r>
        <w:t xml:space="preserve"> ratio, bucket scoring), not a directly reported “liquidity” field — methodology and assumptions are documented explicitly for transparency.</w:t>
      </w:r>
    </w:p>
    <w:p w14:paraId="00F035D4" w14:textId="77777777" w:rsidR="00F06D94" w:rsidRDefault="00000000">
      <w:pPr>
        <w:pStyle w:val="ListParagraph"/>
        <w:numPr>
          <w:ilvl w:val="0"/>
          <w:numId w:val="2"/>
        </w:numPr>
        <w:spacing w:after="100" w:line="276" w:lineRule="auto"/>
      </w:pPr>
      <w:r>
        <w:t>Cross-fund and network findings are associational, not causal: improved prediction from peer-fund or network information indicates shared exposure/co-movement, not that one fund's stress directly causes another's; the fire-sale simulation models a plausible mechanism but remains a simplified approximation.</w:t>
      </w:r>
    </w:p>
    <w:p w14:paraId="00F035D5" w14:textId="77777777" w:rsidR="00F06D94" w:rsidRDefault="00000000">
      <w:pPr>
        <w:pStyle w:val="ListParagraph"/>
        <w:numPr>
          <w:ilvl w:val="0"/>
          <w:numId w:val="2"/>
        </w:numPr>
        <w:spacing w:after="100" w:line="276" w:lineRule="auto"/>
      </w:pPr>
      <w:r>
        <w:t>The RAG retrieval corpus is intentionally kept small and curated to keep retrieval quality verifiable within project scope; multi-provider selection adds latency/cost that should be monitored against API rate limits.</w:t>
      </w:r>
    </w:p>
    <w:p w14:paraId="00F035D6" w14:textId="77777777" w:rsidR="00F06D94" w:rsidRDefault="00000000">
      <w:pPr>
        <w:pStyle w:val="ListParagraph"/>
        <w:numPr>
          <w:ilvl w:val="0"/>
          <w:numId w:val="2"/>
        </w:numPr>
        <w:spacing w:after="100" w:line="276" w:lineRule="auto"/>
      </w:pPr>
      <w:r>
        <w:t>The fund sample (~15–30 funds, 2–3 years of monthly data) is a manageable subset chosen for feasibility, not a claim of full market coverage.</w:t>
      </w:r>
    </w:p>
    <w:p w14:paraId="00F035D7" w14:textId="77777777" w:rsidR="00F06D94" w:rsidRDefault="00000000">
      <w:pPr>
        <w:pStyle w:val="ListParagraph"/>
        <w:numPr>
          <w:ilvl w:val="0"/>
          <w:numId w:val="2"/>
        </w:numPr>
        <w:spacing w:after="100" w:line="276" w:lineRule="auto"/>
      </w:pPr>
      <w:r>
        <w:t>Holdings-based fundamentals update monthly even though market data updates live; the application is designed to make this distinction transparent rather than presenting a fully real-time risk score.</w:t>
      </w:r>
    </w:p>
    <w:sectPr w:rsidR="00F06D9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54139" w14:textId="77777777" w:rsidR="003F4A68" w:rsidRDefault="003F4A68">
      <w:r>
        <w:separator/>
      </w:r>
    </w:p>
  </w:endnote>
  <w:endnote w:type="continuationSeparator" w:id="0">
    <w:p w14:paraId="111A5F47" w14:textId="77777777" w:rsidR="003F4A68" w:rsidRDefault="003F4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35D9" w14:textId="4284FF9E" w:rsidR="00F06D94"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CE23C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AB8D9" w14:textId="77777777" w:rsidR="003F4A68" w:rsidRDefault="003F4A68">
      <w:r>
        <w:separator/>
      </w:r>
    </w:p>
  </w:footnote>
  <w:footnote w:type="continuationSeparator" w:id="0">
    <w:p w14:paraId="48749371" w14:textId="77777777" w:rsidR="003F4A68" w:rsidRDefault="003F4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35D8" w14:textId="77777777" w:rsidR="00F06D94" w:rsidRDefault="00000000">
    <w:pPr>
      <w:jc w:val="right"/>
    </w:pPr>
    <w:r>
      <w:rPr>
        <w:color w:val="808080"/>
        <w:sz w:val="16"/>
        <w:szCs w:val="16"/>
      </w:rPr>
      <w:t>Fund Liquidity Stress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0489"/>
    <w:multiLevelType w:val="hybridMultilevel"/>
    <w:tmpl w:val="F3CC59C6"/>
    <w:lvl w:ilvl="0" w:tplc="9A5ADCC2">
      <w:start w:val="1"/>
      <w:numFmt w:val="bullet"/>
      <w:lvlText w:val="●"/>
      <w:lvlJc w:val="left"/>
      <w:pPr>
        <w:ind w:left="720" w:hanging="360"/>
      </w:pPr>
    </w:lvl>
    <w:lvl w:ilvl="1" w:tplc="A99AFFA8">
      <w:start w:val="1"/>
      <w:numFmt w:val="bullet"/>
      <w:lvlText w:val="○"/>
      <w:lvlJc w:val="left"/>
      <w:pPr>
        <w:ind w:left="1440" w:hanging="360"/>
      </w:pPr>
    </w:lvl>
    <w:lvl w:ilvl="2" w:tplc="821855E2">
      <w:start w:val="1"/>
      <w:numFmt w:val="bullet"/>
      <w:lvlText w:val="■"/>
      <w:lvlJc w:val="left"/>
      <w:pPr>
        <w:ind w:left="2160" w:hanging="360"/>
      </w:pPr>
    </w:lvl>
    <w:lvl w:ilvl="3" w:tplc="4C70E254">
      <w:start w:val="1"/>
      <w:numFmt w:val="bullet"/>
      <w:lvlText w:val="●"/>
      <w:lvlJc w:val="left"/>
      <w:pPr>
        <w:ind w:left="2880" w:hanging="360"/>
      </w:pPr>
    </w:lvl>
    <w:lvl w:ilvl="4" w:tplc="66542B3A">
      <w:start w:val="1"/>
      <w:numFmt w:val="bullet"/>
      <w:lvlText w:val="○"/>
      <w:lvlJc w:val="left"/>
      <w:pPr>
        <w:ind w:left="3600" w:hanging="360"/>
      </w:pPr>
    </w:lvl>
    <w:lvl w:ilvl="5" w:tplc="C5C48ED4">
      <w:start w:val="1"/>
      <w:numFmt w:val="bullet"/>
      <w:lvlText w:val="■"/>
      <w:lvlJc w:val="left"/>
      <w:pPr>
        <w:ind w:left="4320" w:hanging="360"/>
      </w:pPr>
    </w:lvl>
    <w:lvl w:ilvl="6" w:tplc="F3AA47C4">
      <w:start w:val="1"/>
      <w:numFmt w:val="bullet"/>
      <w:lvlText w:val="●"/>
      <w:lvlJc w:val="left"/>
      <w:pPr>
        <w:ind w:left="5040" w:hanging="360"/>
      </w:pPr>
    </w:lvl>
    <w:lvl w:ilvl="7" w:tplc="83D03E3C">
      <w:start w:val="1"/>
      <w:numFmt w:val="bullet"/>
      <w:lvlText w:val="●"/>
      <w:lvlJc w:val="left"/>
      <w:pPr>
        <w:ind w:left="5760" w:hanging="360"/>
      </w:pPr>
    </w:lvl>
    <w:lvl w:ilvl="8" w:tplc="D882A112">
      <w:start w:val="1"/>
      <w:numFmt w:val="bullet"/>
      <w:lvlText w:val="●"/>
      <w:lvlJc w:val="left"/>
      <w:pPr>
        <w:ind w:left="6480" w:hanging="360"/>
      </w:pPr>
    </w:lvl>
  </w:abstractNum>
  <w:abstractNum w:abstractNumId="1" w15:restartNumberingAfterBreak="0">
    <w:nsid w:val="5FDC4517"/>
    <w:multiLevelType w:val="hybridMultilevel"/>
    <w:tmpl w:val="93A21064"/>
    <w:lvl w:ilvl="0" w:tplc="328C9034">
      <w:start w:val="1"/>
      <w:numFmt w:val="bullet"/>
      <w:lvlText w:val="•"/>
      <w:lvlJc w:val="left"/>
      <w:pPr>
        <w:ind w:left="470" w:hanging="260"/>
      </w:pPr>
    </w:lvl>
    <w:lvl w:ilvl="1" w:tplc="8B4A1A1A">
      <w:start w:val="1"/>
      <w:numFmt w:val="bullet"/>
      <w:lvlText w:val="◦"/>
      <w:lvlJc w:val="left"/>
      <w:pPr>
        <w:ind w:left="900" w:hanging="260"/>
      </w:pPr>
    </w:lvl>
    <w:lvl w:ilvl="2" w:tplc="D89A4DD6">
      <w:numFmt w:val="decimal"/>
      <w:lvlText w:val=""/>
      <w:lvlJc w:val="left"/>
    </w:lvl>
    <w:lvl w:ilvl="3" w:tplc="93C8003C">
      <w:numFmt w:val="decimal"/>
      <w:lvlText w:val=""/>
      <w:lvlJc w:val="left"/>
    </w:lvl>
    <w:lvl w:ilvl="4" w:tplc="37D66DBC">
      <w:numFmt w:val="decimal"/>
      <w:lvlText w:val=""/>
      <w:lvlJc w:val="left"/>
    </w:lvl>
    <w:lvl w:ilvl="5" w:tplc="217A9FB8">
      <w:numFmt w:val="decimal"/>
      <w:lvlText w:val=""/>
      <w:lvlJc w:val="left"/>
    </w:lvl>
    <w:lvl w:ilvl="6" w:tplc="C8F0400A">
      <w:numFmt w:val="decimal"/>
      <w:lvlText w:val=""/>
      <w:lvlJc w:val="left"/>
    </w:lvl>
    <w:lvl w:ilvl="7" w:tplc="24FE7AF4">
      <w:numFmt w:val="decimal"/>
      <w:lvlText w:val=""/>
      <w:lvlJc w:val="left"/>
    </w:lvl>
    <w:lvl w:ilvl="8" w:tplc="7F1A6792">
      <w:numFmt w:val="decimal"/>
      <w:lvlText w:val=""/>
      <w:lvlJc w:val="left"/>
    </w:lvl>
  </w:abstractNum>
  <w:abstractNum w:abstractNumId="2" w15:restartNumberingAfterBreak="0">
    <w:nsid w:val="634818C6"/>
    <w:multiLevelType w:val="hybridMultilevel"/>
    <w:tmpl w:val="17A2F306"/>
    <w:lvl w:ilvl="0" w:tplc="CD640D66">
      <w:start w:val="1"/>
      <w:numFmt w:val="decimal"/>
      <w:lvlText w:val="%1."/>
      <w:lvlJc w:val="left"/>
      <w:pPr>
        <w:ind w:left="470" w:hanging="260"/>
      </w:pPr>
    </w:lvl>
    <w:lvl w:ilvl="1" w:tplc="6D280284">
      <w:numFmt w:val="decimal"/>
      <w:lvlText w:val=""/>
      <w:lvlJc w:val="left"/>
    </w:lvl>
    <w:lvl w:ilvl="2" w:tplc="C340F8A2">
      <w:numFmt w:val="decimal"/>
      <w:lvlText w:val=""/>
      <w:lvlJc w:val="left"/>
    </w:lvl>
    <w:lvl w:ilvl="3" w:tplc="E0F00CB2">
      <w:numFmt w:val="decimal"/>
      <w:lvlText w:val=""/>
      <w:lvlJc w:val="left"/>
    </w:lvl>
    <w:lvl w:ilvl="4" w:tplc="88EA085E">
      <w:numFmt w:val="decimal"/>
      <w:lvlText w:val=""/>
      <w:lvlJc w:val="left"/>
    </w:lvl>
    <w:lvl w:ilvl="5" w:tplc="557E5846">
      <w:numFmt w:val="decimal"/>
      <w:lvlText w:val=""/>
      <w:lvlJc w:val="left"/>
    </w:lvl>
    <w:lvl w:ilvl="6" w:tplc="C6E4C180">
      <w:numFmt w:val="decimal"/>
      <w:lvlText w:val=""/>
      <w:lvlJc w:val="left"/>
    </w:lvl>
    <w:lvl w:ilvl="7" w:tplc="E9282184">
      <w:numFmt w:val="decimal"/>
      <w:lvlText w:val=""/>
      <w:lvlJc w:val="left"/>
    </w:lvl>
    <w:lvl w:ilvl="8" w:tplc="1BE2EC2C">
      <w:numFmt w:val="decimal"/>
      <w:lvlText w:val=""/>
      <w:lvlJc w:val="left"/>
    </w:lvl>
  </w:abstractNum>
  <w:num w:numId="1" w16cid:durableId="1895045720">
    <w:abstractNumId w:val="0"/>
    <w:lvlOverride w:ilvl="0">
      <w:startOverride w:val="1"/>
    </w:lvlOverride>
  </w:num>
  <w:num w:numId="2" w16cid:durableId="742138603">
    <w:abstractNumId w:val="1"/>
    <w:lvlOverride w:ilvl="0">
      <w:startOverride w:val="1"/>
    </w:lvlOverride>
  </w:num>
  <w:num w:numId="3" w16cid:durableId="11555627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D94"/>
    <w:rsid w:val="003F4A68"/>
    <w:rsid w:val="00C14B8E"/>
    <w:rsid w:val="00CE23CA"/>
    <w:rsid w:val="00F06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34D7"/>
  <w15:docId w15:val="{B70EA43D-D92B-4948-9B6A-662D2736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3535</Words>
  <Characters>20154</Characters>
  <Application>Microsoft Office Word</Application>
  <DocSecurity>0</DocSecurity>
  <Lines>167</Lines>
  <Paragraphs>47</Paragraphs>
  <ScaleCrop>false</ScaleCrop>
  <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Poojitha D</cp:lastModifiedBy>
  <cp:revision>2</cp:revision>
  <dcterms:created xsi:type="dcterms:W3CDTF">2026-10-02T06:59:00Z</dcterms:created>
  <dcterms:modified xsi:type="dcterms:W3CDTF">2026-10-02T09:07:00Z</dcterms:modified>
</cp:coreProperties>
</file>