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2"/>
          <w:szCs w:val="52"/>
        </w:rPr>
        <w:t xml:space="preserve">Designing the AI-Enabled Institution</w:t>
      </w:r>
    </w:p>
    <w:p>
      <w:pPr>
        <w:spacing w:after="120"/>
        <w:jc w:val="center"/>
      </w:pPr>
      <w:r>
        <w:rPr>
          <w:rFonts w:ascii="Arial" w:cs="Arial" w:eastAsia="Arial" w:hAnsi="Arial"/>
          <w:color w:val="2E86C1"/>
          <w:sz w:val="28"/>
          <w:szCs w:val="28"/>
        </w:rPr>
        <w:t xml:space="preserve">A Strategic Architecture Brief for WRK v2</w:t>
      </w:r>
    </w:p>
    <w:p>
      <w:pPr>
        <w:spacing w:after="600"/>
        <w:jc w:val="center"/>
      </w:pPr>
      <w:r>
        <w:rPr>
          <w:rFonts w:ascii="Arial" w:cs="Arial" w:eastAsia="Arial" w:hAnsi="Arial"/>
          <w:color w:val="666666"/>
          <w:sz w:val="24"/>
          <w:szCs w:val="24"/>
        </w:rPr>
        <w:t xml:space="preserve">and a Roadmap for Nonprofits and Legislative Offices</w:t>
      </w:r>
    </w:p>
    <w:p>
      <w:pPr>
        <w:pBdr>
          <w:bottom w:val="single" w:color="85C1E9" w:sz="6" w:space="1"/>
        </w:pBdr>
        <w:spacing w:after="400"/>
      </w:pPr>
    </w:p>
    <w:p>
      <w:pPr>
        <w:spacing w:after="80"/>
        <w:jc w:val="center"/>
      </w:pPr>
      <w:r>
        <w:rPr>
          <w:rFonts w:ascii="Arial" w:cs="Arial" w:eastAsia="Arial" w:hAnsi="Arial"/>
          <w:b/>
          <w:bCs/>
          <w:color w:val="1C1C1C"/>
          <w:sz w:val="24"/>
          <w:szCs w:val="24"/>
        </w:rPr>
        <w:t xml:space="preserve">POPVOX Foundation</w:t>
      </w:r>
    </w:p>
    <w:p>
      <w:pPr>
        <w:spacing w:after="80"/>
        <w:jc w:val="center"/>
      </w:pPr>
      <w:r>
        <w:rPr>
          <w:rFonts w:ascii="Arial" w:cs="Arial" w:eastAsia="Arial" w:hAnsi="Arial"/>
          <w:color w:val="666666"/>
          <w:sz w:val="22"/>
          <w:szCs w:val="22"/>
        </w:rPr>
        <w:t xml:space="preserve">February 2026</w:t>
      </w:r>
    </w:p>
    <w:p>
      <w:pPr>
        <w:spacing w:after="80"/>
        <w:jc w:val="center"/>
      </w:pPr>
      <w:r>
        <w:rPr>
          <w:rFonts w:ascii="Arial" w:cs="Arial" w:eastAsia="Arial" w:hAnsi="Arial"/>
          <w:i/>
          <w:iCs/>
          <w:color w:val="666666"/>
          <w:sz w:val="18"/>
          <w:szCs w:val="18"/>
        </w:rPr>
        <w:t xml:space="preserve">Prepared with Claude AI research assistance</w:t>
      </w:r>
    </w:p>
    <w:p>
      <w:r>
        <w:br w:type="page"/>
      </w:r>
    </w:p>
    <w:p>
      <w:pPr>
        <w:pStyle w:val="Heading1"/>
        <w:spacing w:before="360" w:after="200"/>
      </w:pPr>
      <w:r>
        <w:rPr>
          <w:rFonts w:ascii="Arial" w:cs="Arial" w:eastAsia="Arial" w:hAnsi="Arial"/>
          <w:b/>
          <w:bCs/>
          <w:color w:val="1B4F72"/>
          <w:sz w:val="32"/>
          <w:szCs w:val="32"/>
        </w:rPr>
        <w:t xml:space="preserve">Executive Summary</w:t>
      </w:r>
    </w:p>
    <w:p>
      <w:pPr>
        <w:spacing w:after="160" w:line="276"/>
      </w:pPr>
      <w:r>
        <w:rPr>
          <w:rFonts w:ascii="Arial" w:cs="Arial" w:eastAsia="Arial" w:hAnsi="Arial"/>
          <w:color w:val="1C1C1C"/>
          <w:sz w:val="21"/>
          <w:szCs w:val="21"/>
        </w:rPr>
        <w:t xml:space="preserve">The landscape of organizational AI has shifted decisively in the past six months. What was experimental in 2025 is becoming operational in 2026. The emergence of multi-agent orchestration frameworks, standardized protocols like Anthropic’s Model Context Protocol (MCP), and mature human-in-the-loop governance patterns means that small, mission-driven teams can now deploy AI capabilities that were recently exclusive to large enterprises.</w:t>
      </w:r>
    </w:p>
    <w:p>
      <w:pPr>
        <w:spacing w:after="160" w:line="276"/>
      </w:pPr>
      <w:r>
        <w:rPr>
          <w:rFonts w:ascii="Arial" w:cs="Arial" w:eastAsia="Arial" w:hAnsi="Arial"/>
          <w:color w:val="1C1C1C"/>
          <w:sz w:val="21"/>
          <w:szCs w:val="21"/>
        </w:rPr>
        <w:t xml:space="preserve">This memo synthesizes cutting-edge research, industry frameworks, and practitioner discourse to assess where WRK’s v2 architecture stands relative to the state of the art—and to chart a path for scaling these capabilities responsibly. It is written with two audiences in mind: the POPVOX team building WRK today, and the broader community of nonprofits and legislative offices that may follow this model tomorrow.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12"/>
              <w:bottom w:val="single" w:color="85C1E9" w:sz="1"/>
              <w:right w:val="single" w:color="85C1E9"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The Core Thesis</w:t>
            </w:r>
          </w:p>
          <w:p>
            <w:pPr>
              <w:spacing w:after="0"/>
            </w:pPr>
            <w:r>
              <w:rPr>
                <w:rFonts w:ascii="Arial" w:cs="Arial" w:eastAsia="Arial" w:hAnsi="Arial"/>
                <w:color w:val="2C3E50"/>
                <w:sz w:val="20"/>
                <w:szCs w:val="20"/>
              </w:rPr>
              <w:t xml:space="preserve">The organizations that thrive will be those that focus less on the technology itself and more on the human systems that surround it. WRK’s architecture should grow the autonomy of its AI agents gradually, in lockstep with the organization’s trust, governance maturity, and knowledge foundation.</w:t>
            </w:r>
          </w:p>
        </w:tc>
      </w:tr>
    </w:tbl>
    <w:p>
      <w:pPr>
        <w:spacing w:after="120"/>
      </w:pPr>
    </w:p>
    <w:p>
      <w:pPr>
        <w:pStyle w:val="Heading1"/>
        <w:spacing w:before="360" w:after="200"/>
      </w:pPr>
      <w:r>
        <w:rPr>
          <w:rFonts w:ascii="Arial" w:cs="Arial" w:eastAsia="Arial" w:hAnsi="Arial"/>
          <w:b/>
          <w:bCs/>
          <w:color w:val="1B4F72"/>
          <w:sz w:val="32"/>
          <w:szCs w:val="32"/>
        </w:rPr>
        <w:t xml:space="preserve">1. Where the Field Is Now</w:t>
      </w:r>
    </w:p>
    <w:p>
      <w:pPr>
        <w:pStyle w:val="Heading2"/>
        <w:spacing w:before="280" w:after="160"/>
      </w:pPr>
      <w:r>
        <w:rPr>
          <w:rFonts w:ascii="Arial" w:cs="Arial" w:eastAsia="Arial" w:hAnsi="Arial"/>
          <w:b/>
          <w:bCs/>
          <w:color w:val="1B4F72"/>
          <w:sz w:val="26"/>
          <w:szCs w:val="26"/>
        </w:rPr>
        <w:t xml:space="preserve">1.1 From Experimentation to Production</w:t>
      </w:r>
    </w:p>
    <w:p>
      <w:pPr>
        <w:spacing w:after="160" w:line="276"/>
      </w:pPr>
      <w:r>
        <w:rPr>
          <w:rFonts w:ascii="Arial" w:cs="Arial" w:eastAsia="Arial" w:hAnsi="Arial"/>
          <w:color w:val="1C1C1C"/>
          <w:sz w:val="21"/>
          <w:szCs w:val="21"/>
        </w:rPr>
        <w:t xml:space="preserve">Gartner projects that 40% of enterprise applications will embed AI agents by end of 2026, up from less than 5% in 2025. The agentic AI market is expected to grow from $7.8 billion to over $52 billion by 2030. But Deloitte’s 2025 survey found that while 30% of organizations are exploring agentic AI and 38% are piloting, only 11% are in production. The gap between experimentation and deployment is where the real design work happens.</w:t>
      </w:r>
    </w:p>
    <w:p>
      <w:pPr>
        <w:pStyle w:val="Heading2"/>
        <w:spacing w:before="280" w:after="160"/>
      </w:pPr>
      <w:r>
        <w:rPr>
          <w:rFonts w:ascii="Arial" w:cs="Arial" w:eastAsia="Arial" w:hAnsi="Arial"/>
          <w:b/>
          <w:bCs/>
          <w:color w:val="1B4F72"/>
          <w:sz w:val="26"/>
          <w:szCs w:val="26"/>
        </w:rPr>
        <w:t xml:space="preserve">1.2 The Multi-Agent Paradigm</w:t>
      </w:r>
    </w:p>
    <w:p>
      <w:pPr>
        <w:spacing w:after="160" w:line="276"/>
      </w:pPr>
      <w:r>
        <w:rPr>
          <w:rFonts w:ascii="Arial" w:cs="Arial" w:eastAsia="Arial" w:hAnsi="Arial"/>
          <w:color w:val="1C1C1C"/>
          <w:sz w:val="21"/>
          <w:szCs w:val="21"/>
        </w:rPr>
        <w:t xml:space="preserve">The field is undergoing what analysts call its “microservices revolution.” Single all-purpose agents are giving way to orchestrated teams of specialized agents—one diagnoses, another remediates, a third validates, a fourth documents. Gartner reported a 1,445% surge in multi-agent system inquiries from Q1 2024 to Q2 2025. The key insight from McKinsey’s “agentic organization” framework is that competitive advantage comes not from deploying individual AI tools but from redesigning the institution around humans and AI agents working together.</w:t>
      </w:r>
    </w:p>
    <w:p>
      <w:pPr>
        <w:pStyle w:val="Heading2"/>
        <w:spacing w:before="280" w:after="160"/>
      </w:pPr>
      <w:r>
        <w:rPr>
          <w:rFonts w:ascii="Arial" w:cs="Arial" w:eastAsia="Arial" w:hAnsi="Arial"/>
          <w:b/>
          <w:bCs/>
          <w:color w:val="1B4F72"/>
          <w:sz w:val="26"/>
          <w:szCs w:val="26"/>
        </w:rPr>
        <w:t xml:space="preserve">1.3 The Protocol Layer Is Maturing</w:t>
      </w:r>
    </w:p>
    <w:p>
      <w:pPr>
        <w:spacing w:after="160" w:line="276"/>
      </w:pPr>
      <w:r>
        <w:rPr>
          <w:rFonts w:ascii="Arial" w:cs="Arial" w:eastAsia="Arial" w:hAnsi="Arial"/>
          <w:color w:val="1C1C1C"/>
          <w:sz w:val="21"/>
          <w:szCs w:val="21"/>
        </w:rPr>
        <w:t xml:space="preserve">Anthropic’s MCP, IBM’s ACP, and Google’s A2A all launched in 2025. In December 2025, Anthropic donated MCP to the Linux Foundation’s newly formed Agentic AI Foundation. MCP has become the de facto standard for connecting AI systems to real-world data and tools, with adoption by OpenAI, Google DeepMind, and Microsoft. Complementing MCP, Anthropic’s “Agent Skills” concept provides the procedural knowledge layer—organized folders of instructions and resources that agents discover and load dynamically. As one analyst put it: MCP provides the plumbing for tool access; Agent Skills provide the brain.</w:t>
      </w:r>
    </w:p>
    <w:p>
      <w:pPr>
        <w:pStyle w:val="Heading2"/>
        <w:spacing w:before="280" w:after="160"/>
      </w:pPr>
      <w:r>
        <w:rPr>
          <w:rFonts w:ascii="Arial" w:cs="Arial" w:eastAsia="Arial" w:hAnsi="Arial"/>
          <w:b/>
          <w:bCs/>
          <w:color w:val="1B4F72"/>
          <w:sz w:val="26"/>
          <w:szCs w:val="26"/>
        </w:rPr>
        <w:t xml:space="preserve">1.4 Knowledge Graphs as the Foundation</w:t>
      </w:r>
    </w:p>
    <w:p>
      <w:pPr>
        <w:spacing w:after="160" w:line="276"/>
      </w:pPr>
      <w:r>
        <w:rPr>
          <w:rFonts w:ascii="Arial" w:cs="Arial" w:eastAsia="Arial" w:hAnsi="Arial"/>
          <w:color w:val="1C1C1C"/>
          <w:sz w:val="21"/>
          <w:szCs w:val="21"/>
        </w:rPr>
        <w:t xml:space="preserve">The emerging consensus is that the difference between a useful agent and a hallucinating one depends on the quality of its knowledge foundation. In 2026, the concept of GraphRAG—retrieval-augmented generation powered by a semantic knowledge backbone—is moving from research to practice. The knowledge graph serves as a shared memory and coordination hub: a digital nerve center connecting specialized agents across domains. Nearly half of organizations cite searchability (48%) and reusability (47%) of data as top challenges for AI automation.</w:t>
      </w:r>
    </w:p>
    <w:p>
      <w:r>
        <w:br w:type="page"/>
      </w:r>
    </w:p>
    <w:p>
      <w:pPr>
        <w:pStyle w:val="Heading1"/>
        <w:spacing w:before="360" w:after="200"/>
      </w:pPr>
      <w:r>
        <w:rPr>
          <w:rFonts w:ascii="Arial" w:cs="Arial" w:eastAsia="Arial" w:hAnsi="Arial"/>
          <w:b/>
          <w:bCs/>
          <w:color w:val="1B4F72"/>
          <w:sz w:val="32"/>
          <w:szCs w:val="32"/>
        </w:rPr>
        <w:t xml:space="preserve">2. Design Principles for the AI-Enabled Institution</w:t>
      </w:r>
    </w:p>
    <w:p>
      <w:pPr>
        <w:spacing w:after="160" w:line="276"/>
      </w:pPr>
      <w:r>
        <w:rPr>
          <w:rFonts w:ascii="Arial" w:cs="Arial" w:eastAsia="Arial" w:hAnsi="Arial"/>
          <w:color w:val="1C1C1C"/>
          <w:sz w:val="21"/>
          <w:szCs w:val="21"/>
        </w:rPr>
        <w:t xml:space="preserve">Drawing from McKinsey, the World Economic Forum, AWS, and practitioner reports, five principles emerge as essential for organizations building AI into their operational DNA:</w:t>
      </w:r>
    </w:p>
    <w:p>
      <w:pPr>
        <w:spacing w:after="120"/>
      </w:pPr>
    </w:p>
    <w:p>
      <w:pPr>
        <w:pStyle w:val="Heading2"/>
        <w:spacing w:before="280" w:after="160"/>
      </w:pPr>
      <w:r>
        <w:rPr>
          <w:rFonts w:ascii="Arial" w:cs="Arial" w:eastAsia="Arial" w:hAnsi="Arial"/>
          <w:b/>
          <w:bCs/>
          <w:color w:val="1B4F72"/>
          <w:sz w:val="26"/>
          <w:szCs w:val="26"/>
        </w:rPr>
        <w:t xml:space="preserve">2.1 Progressive Autonomy</w:t>
      </w:r>
    </w:p>
    <w:p>
      <w:pPr>
        <w:spacing w:after="160" w:line="276"/>
      </w:pPr>
      <w:r>
        <w:rPr>
          <w:rFonts w:ascii="Arial" w:cs="Arial" w:eastAsia="Arial" w:hAnsi="Arial"/>
          <w:color w:val="1C1C1C"/>
          <w:sz w:val="21"/>
          <w:szCs w:val="21"/>
        </w:rPr>
        <w:t xml:space="preserve">Every framework surveyed—AWS’s Security Scoping Matrix, the Knight First Amendment Institute’s five-level autonomy model, McKinsey’s “governed autonomy” concept—converges on the same idea: start with tightly constrained agents and expand autonomy as trust, governance, and security capabilities mature. The Knight model defines five levels by the human’s role: operator, collaborator, consultant, approver, and observer.</w:t>
      </w:r>
    </w:p>
    <w:p>
      <w:pPr>
        <w:spacing w:after="160" w:line="276"/>
      </w:pPr>
      <w:r>
        <w:rPr>
          <w:rFonts w:ascii="Arial" w:cs="Arial" w:eastAsia="Arial" w:hAnsi="Arial"/>
          <w:color w:val="1C1C1C"/>
          <w:sz w:val="21"/>
          <w:szCs w:val="21"/>
        </w:rPr>
        <w:t xml:space="preserve">For a small team, this means your first agents should be read-only assistants that surface information and draft recommendations. Only after establishing reliability and trust should they gain the ability to take actions—and even then, with explicit human approval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12"/>
              <w:bottom w:val="single" w:color="85C1E9" w:sz="1"/>
              <w:right w:val="single" w:color="85C1E9"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WRK Alignment</w:t>
            </w:r>
          </w:p>
          <w:p>
            <w:pPr>
              <w:spacing w:after="0"/>
            </w:pPr>
            <w:r>
              <w:rPr>
                <w:rFonts w:ascii="Arial" w:cs="Arial" w:eastAsia="Arial" w:hAnsi="Arial"/>
                <w:color w:val="2C3E50"/>
                <w:sz w:val="20"/>
                <w:szCs w:val="20"/>
              </w:rPr>
              <w:t xml:space="preserve">WRK’s v2 schema already includes agent_approvals as a planned table, and the data contract requires every automated write to include actor, source_system, and timestamp. This is exactly the right foundation for progressive autonomy.</w:t>
            </w:r>
          </w:p>
        </w:tc>
      </w:tr>
    </w:tbl>
    <w:p>
      <w:pPr>
        <w:spacing w:after="120"/>
      </w:pPr>
    </w:p>
    <w:p>
      <w:pPr>
        <w:pStyle w:val="Heading2"/>
        <w:spacing w:before="280" w:after="160"/>
      </w:pPr>
      <w:r>
        <w:rPr>
          <w:rFonts w:ascii="Arial" w:cs="Arial" w:eastAsia="Arial" w:hAnsi="Arial"/>
          <w:b/>
          <w:bCs/>
          <w:color w:val="1B4F72"/>
          <w:sz w:val="26"/>
          <w:szCs w:val="26"/>
        </w:rPr>
        <w:t xml:space="preserve">2.2 Provenance-First Knowledge</w:t>
      </w:r>
    </w:p>
    <w:p>
      <w:pPr>
        <w:spacing w:after="160" w:line="276"/>
      </w:pPr>
      <w:r>
        <w:rPr>
          <w:rFonts w:ascii="Arial" w:cs="Arial" w:eastAsia="Arial" w:hAnsi="Arial"/>
          <w:color w:val="1C1C1C"/>
          <w:sz w:val="21"/>
          <w:szCs w:val="21"/>
        </w:rPr>
        <w:t xml:space="preserve">Every piece of AI-generated content must carry its lineage: what sources informed it, what model produced it, what confidence level it carries, and whether a human has reviewed it. This isn’t just good practice—it’s becoming a regulatory requirement. The EU AI Act requires that high-risk AI applications include human oversight and explainability. Over 700 AI-related bills were introduced in US state legislatures in 2024 alone.</w:t>
      </w:r>
    </w:p>
    <w:p>
      <w:pPr>
        <w:spacing w:after="160" w:line="276"/>
      </w:pPr>
      <w:r>
        <w:rPr>
          <w:rFonts w:ascii="Arial" w:cs="Arial" w:eastAsia="Arial" w:hAnsi="Arial"/>
          <w:color w:val="1C1C1C"/>
          <w:sz w:val="21"/>
          <w:szCs w:val="21"/>
        </w:rPr>
        <w:t xml:space="preserve">More practically, provenance is what makes institutional knowledge trustworthy. When a meeting prep brief cites specific past meetings, documents, and contacts, staff can verify and build on it. When it doesn’t, it’s just another AI hallucination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12"/>
              <w:bottom w:val="single" w:color="85C1E9" w:sz="1"/>
              <w:right w:val="single" w:color="85C1E9"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WRK Alignment</w:t>
            </w:r>
          </w:p>
          <w:p>
            <w:pPr>
              <w:spacing w:after="0"/>
            </w:pPr>
            <w:r>
              <w:rPr>
                <w:rFonts w:ascii="Arial" w:cs="Arial" w:eastAsia="Arial" w:hAnsi="Arial"/>
                <w:color w:val="2C3E50"/>
                <w:sz w:val="20"/>
                <w:szCs w:val="20"/>
              </w:rPr>
              <w:t xml:space="preserve">The v2 data contract’s provenance requirements—prompt_version, model, source_refs[], confidence, review_state—are ahead of what most organizations have implemented. The knowledge_facts and knowledge_insights tables with mandatory source_refs are particularly well designed.</w:t>
            </w:r>
          </w:p>
        </w:tc>
      </w:tr>
    </w:tbl>
    <w:p>
      <w:pPr>
        <w:spacing w:after="120"/>
      </w:pPr>
    </w:p>
    <w:p>
      <w:pPr>
        <w:pStyle w:val="Heading2"/>
        <w:spacing w:before="280" w:after="160"/>
      </w:pPr>
      <w:r>
        <w:rPr>
          <w:rFonts w:ascii="Arial" w:cs="Arial" w:eastAsia="Arial" w:hAnsi="Arial"/>
          <w:b/>
          <w:bCs/>
          <w:color w:val="1B4F72"/>
          <w:sz w:val="26"/>
          <w:szCs w:val="26"/>
        </w:rPr>
        <w:t xml:space="preserve">2.3 Canonical Identity Everywhere</w:t>
      </w:r>
    </w:p>
    <w:p>
      <w:pPr>
        <w:spacing w:after="160" w:line="276"/>
      </w:pPr>
      <w:r>
        <w:rPr>
          <w:rFonts w:ascii="Arial" w:cs="Arial" w:eastAsia="Arial" w:hAnsi="Arial"/>
          <w:color w:val="1C1C1C"/>
          <w:sz w:val="21"/>
          <w:szCs w:val="21"/>
        </w:rPr>
        <w:t xml:space="preserve">Stable, prefixed entity IDs (usr_, org_, mtg_, prj_) that work across APIs, prompts, logs, and automation payloads are essential for multi-agent coordination. When Agent A surfaces a fact about an organization and Agent B needs to act on it, they must reference the same entity unambiguously. Free-text names break down fast in multi-agent systems.</w:t>
      </w:r>
    </w:p>
    <w:p>
      <w:pPr>
        <w:pStyle w:val="Heading2"/>
        <w:spacing w:before="280" w:after="160"/>
      </w:pPr>
      <w:r>
        <w:rPr>
          <w:rFonts w:ascii="Arial" w:cs="Arial" w:eastAsia="Arial" w:hAnsi="Arial"/>
          <w:b/>
          <w:bCs/>
          <w:color w:val="1B4F72"/>
          <w:sz w:val="26"/>
          <w:szCs w:val="26"/>
        </w:rPr>
        <w:t xml:space="preserve">2.4 ACL-Aware Retrieval</w:t>
      </w:r>
    </w:p>
    <w:p>
      <w:pPr>
        <w:spacing w:after="160" w:line="276"/>
      </w:pPr>
      <w:r>
        <w:rPr>
          <w:rFonts w:ascii="Arial" w:cs="Arial" w:eastAsia="Arial" w:hAnsi="Arial"/>
          <w:color w:val="1C1C1C"/>
          <w:sz w:val="21"/>
          <w:szCs w:val="21"/>
        </w:rPr>
        <w:t xml:space="preserve">One of the most underappreciated design requirements is that AI retrieval must enforce the same access controls as human access. When an agent answers a question, it must respect both the WRK visibility policy and the projected Box ACL. Without this, AI becomes an accidental information leak—especially dangerous in grant-funded work with varying confidentiality requirements.</w:t>
      </w:r>
    </w:p>
    <w:p>
      <w:pPr>
        <w:pStyle w:val="Heading2"/>
        <w:spacing w:before="280" w:after="160"/>
      </w:pPr>
      <w:r>
        <w:rPr>
          <w:rFonts w:ascii="Arial" w:cs="Arial" w:eastAsia="Arial" w:hAnsi="Arial"/>
          <w:b/>
          <w:bCs/>
          <w:color w:val="1B4F72"/>
          <w:sz w:val="26"/>
          <w:szCs w:val="26"/>
        </w:rPr>
        <w:t xml:space="preserve">2.5 Event-Driven, Idempotent Architecture</w:t>
      </w:r>
    </w:p>
    <w:p>
      <w:pPr>
        <w:spacing w:after="160" w:line="276"/>
      </w:pPr>
      <w:r>
        <w:rPr>
          <w:rFonts w:ascii="Arial" w:cs="Arial" w:eastAsia="Arial" w:hAnsi="Arial"/>
          <w:color w:val="1C1C1C"/>
          <w:sz w:val="21"/>
          <w:szCs w:val="21"/>
        </w:rPr>
        <w:t xml:space="preserve">Every integration event should include an event_id, actor, timestamps, and entity references, and should be append-only and idempotent. This pattern—borrowed from modern distributed systems—makes the system auditable, recoverable, and safe for concurrent agent operations. It also creates the audit trail that governance frameworks increasingly require.</w:t>
      </w:r>
    </w:p>
    <w:p>
      <w:r>
        <w:br w:type="page"/>
      </w:r>
    </w:p>
    <w:p>
      <w:pPr>
        <w:pStyle w:val="Heading1"/>
        <w:spacing w:before="360" w:after="200"/>
      </w:pPr>
      <w:r>
        <w:rPr>
          <w:rFonts w:ascii="Arial" w:cs="Arial" w:eastAsia="Arial" w:hAnsi="Arial"/>
          <w:b/>
          <w:bCs/>
          <w:color w:val="1B4F72"/>
          <w:sz w:val="32"/>
          <w:szCs w:val="32"/>
        </w:rPr>
        <w:t xml:space="preserve">3. WRK v2 Architecture Assessment</w:t>
      </w:r>
    </w:p>
    <w:p>
      <w:pPr>
        <w:spacing w:after="160" w:line="276"/>
      </w:pPr>
      <w:r>
        <w:rPr>
          <w:rFonts w:ascii="Arial" w:cs="Arial" w:eastAsia="Arial" w:hAnsi="Arial"/>
          <w:color w:val="1C1C1C"/>
          <w:sz w:val="21"/>
          <w:szCs w:val="21"/>
        </w:rPr>
        <w:t xml:space="preserve">Evaluating WRK’s v2 design against the principles above and industry benchmarks:</w:t>
      </w:r>
    </w:p>
    <w:p>
      <w:pPr>
        <w:spacing w:after="120"/>
      </w:pPr>
    </w:p>
    <w:p>
      <w:pPr>
        <w:pStyle w:val="Heading2"/>
        <w:spacing w:before="280" w:after="160"/>
      </w:pPr>
      <w:r>
        <w:rPr>
          <w:rFonts w:ascii="Arial" w:cs="Arial" w:eastAsia="Arial" w:hAnsi="Arial"/>
          <w:b/>
          <w:bCs/>
          <w:color w:val="1B4F72"/>
          <w:sz w:val="26"/>
          <w:szCs w:val="26"/>
        </w:rPr>
        <w:t xml:space="preserve">3.1 Strengths: What WRK Gets Right</w:t>
      </w:r>
    </w:p>
    <w:p>
      <w:pPr>
        <w:pStyle w:val="Heading3"/>
        <w:spacing w:before="200" w:after="120"/>
      </w:pPr>
      <w:r>
        <w:rPr>
          <w:rFonts w:ascii="Arial" w:cs="Arial" w:eastAsia="Arial" w:hAnsi="Arial"/>
          <w:b/>
          <w:bCs/>
          <w:color w:val="2E86C1"/>
          <w:sz w:val="22"/>
          <w:szCs w:val="22"/>
        </w:rPr>
        <w:t xml:space="preserve">Unified Data Contract</w:t>
      </w:r>
    </w:p>
    <w:p>
      <w:pPr>
        <w:spacing w:after="160" w:line="276"/>
      </w:pPr>
      <w:r>
        <w:rPr>
          <w:rFonts w:ascii="Arial" w:cs="Arial" w:eastAsia="Arial" w:hAnsi="Arial"/>
          <w:color w:val="1C1C1C"/>
          <w:sz w:val="21"/>
          <w:szCs w:val="21"/>
        </w:rPr>
        <w:t xml:space="preserve">The WRK_V2_DATA_CONTRACT is remarkably mature for a small-team project. Canonical IDs with entity prefixes, explicit source-of-truth designations (Postgres for operations, Box for files), and a clear permission contract put WRK ahead of many enterprise implementations. The principle that “knowledge artifacts are derived and reproducible” is exactly the right framing.</w:t>
      </w:r>
    </w:p>
    <w:p>
      <w:pPr>
        <w:pStyle w:val="Heading3"/>
        <w:spacing w:before="200" w:after="120"/>
      </w:pPr>
      <w:r>
        <w:rPr>
          <w:rFonts w:ascii="Arial" w:cs="Arial" w:eastAsia="Arial" w:hAnsi="Arial"/>
          <w:b/>
          <w:bCs/>
          <w:color w:val="2E86C1"/>
          <w:sz w:val="22"/>
          <w:szCs w:val="22"/>
        </w:rPr>
        <w:t xml:space="preserve">Box Integration as Knowledge Backbone</w:t>
      </w:r>
    </w:p>
    <w:p>
      <w:pPr>
        <w:spacing w:after="160" w:line="276"/>
      </w:pPr>
      <w:r>
        <w:rPr>
          <w:rFonts w:ascii="Arial" w:cs="Arial" w:eastAsia="Arial" w:hAnsi="Arial"/>
          <w:color w:val="1C1C1C"/>
          <w:sz w:val="21"/>
          <w:szCs w:val="21"/>
        </w:rPr>
        <w:t xml:space="preserve">The Box taxonomy with numbered folder prefixes, webhook-driven metadata sync, and permission projection layer is a strong implementation of the “single source of truth for files” principle. The rule that WRK visibility is always the minimum of Box ACL projection and WRK policy is a security-first design that many larger organizations miss.</w:t>
      </w:r>
    </w:p>
    <w:p>
      <w:pPr>
        <w:pStyle w:val="Heading3"/>
        <w:spacing w:before="200" w:after="120"/>
      </w:pPr>
      <w:r>
        <w:rPr>
          <w:rFonts w:ascii="Arial" w:cs="Arial" w:eastAsia="Arial" w:hAnsi="Arial"/>
          <w:b/>
          <w:bCs/>
          <w:color w:val="2E86C1"/>
          <w:sz w:val="22"/>
          <w:szCs w:val="22"/>
        </w:rPr>
        <w:t xml:space="preserve">Agent Governance Scaffolding</w:t>
      </w:r>
    </w:p>
    <w:p>
      <w:pPr>
        <w:spacing w:after="160" w:line="276"/>
      </w:pPr>
      <w:r>
        <w:rPr>
          <w:rFonts w:ascii="Arial" w:cs="Arial" w:eastAsia="Arial" w:hAnsi="Arial"/>
          <w:color w:val="1C1C1C"/>
          <w:sz w:val="21"/>
          <w:szCs w:val="21"/>
        </w:rPr>
        <w:t xml:space="preserve">Planning for agent_runs, agent_steps, and agent_approvals from the start—rather than bolting them on later—is exactly what the research recommends. The World Economic Forum advocates for “agent cards” (essentially resumes for AI agents); WRK’s agent_runs table serves a similar function as an execution trace.</w:t>
      </w:r>
    </w:p>
    <w:p>
      <w:pPr>
        <w:pStyle w:val="Heading3"/>
        <w:spacing w:before="200" w:after="120"/>
      </w:pPr>
      <w:r>
        <w:rPr>
          <w:rFonts w:ascii="Arial" w:cs="Arial" w:eastAsia="Arial" w:hAnsi="Arial"/>
          <w:b/>
          <w:bCs/>
          <w:color w:val="2E86C1"/>
          <w:sz w:val="22"/>
          <w:szCs w:val="22"/>
        </w:rPr>
        <w:t xml:space="preserve">Existing AI Features as Trust-Builders</w:t>
      </w:r>
    </w:p>
    <w:p>
      <w:pPr>
        <w:spacing w:after="160" w:line="276"/>
      </w:pPr>
      <w:r>
        <w:rPr>
          <w:rFonts w:ascii="Arial" w:cs="Arial" w:eastAsia="Arial" w:hAnsi="Arial"/>
          <w:color w:val="1C1C1C"/>
          <w:sz w:val="21"/>
          <w:szCs w:val="21"/>
        </w:rPr>
        <w:t xml:space="preserve">Meeting prep, grant document analysis, and knowledge hub search are all Level 1–2 autonomy features—they surface information and draft recommendations without taking autonomous action. This is the right starting point for building organizational trust in AI capabilities.</w:t>
      </w:r>
    </w:p>
    <w:p>
      <w:pPr>
        <w:spacing w:after="120"/>
      </w:pPr>
    </w:p>
    <w:p>
      <w:pPr>
        <w:pStyle w:val="Heading2"/>
        <w:spacing w:before="280" w:after="160"/>
      </w:pPr>
      <w:r>
        <w:rPr>
          <w:rFonts w:ascii="Arial" w:cs="Arial" w:eastAsia="Arial" w:hAnsi="Arial"/>
          <w:b/>
          <w:bCs/>
          <w:color w:val="1B4F72"/>
          <w:sz w:val="26"/>
          <w:szCs w:val="26"/>
        </w:rPr>
        <w:t xml:space="preserve">3.2 Opportunities: Where to Invest Next</w:t>
      </w:r>
    </w:p>
    <w:p>
      <w:pPr>
        <w:pStyle w:val="Heading3"/>
        <w:spacing w:before="200" w:after="120"/>
      </w:pPr>
      <w:r>
        <w:rPr>
          <w:rFonts w:ascii="Arial" w:cs="Arial" w:eastAsia="Arial" w:hAnsi="Arial"/>
          <w:b/>
          <w:bCs/>
          <w:color w:val="2E86C1"/>
          <w:sz w:val="22"/>
          <w:szCs w:val="22"/>
        </w:rPr>
        <w:t xml:space="preserve">Knowledge Graph / Entity Linking</w:t>
      </w:r>
    </w:p>
    <w:p>
      <w:pPr>
        <w:spacing w:after="160" w:line="276"/>
      </w:pPr>
      <w:r>
        <w:rPr>
          <w:rFonts w:ascii="Arial" w:cs="Arial" w:eastAsia="Arial" w:hAnsi="Arial"/>
          <w:color w:val="1C1C1C"/>
          <w:sz w:val="21"/>
          <w:szCs w:val="21"/>
        </w:rPr>
        <w:t xml:space="preserve">The planned entity_links table is the right next step, but consider going further: a lightweight knowledge graph that captures relationships, extracted facts, and temporal context. The research strongly suggests that GraphRAG—structured retrieval over a knowledge graph—produces dramatically better results than flat vector search for institutional knowledge. This doesn’t require Neo4j; a well-indexed relational model with typed links can serve as an effective knowledge graph for a team of your size.</w:t>
      </w:r>
    </w:p>
    <w:p>
      <w:pPr>
        <w:pStyle w:val="Heading3"/>
        <w:spacing w:before="200" w:after="120"/>
      </w:pPr>
      <w:r>
        <w:rPr>
          <w:rFonts w:ascii="Arial" w:cs="Arial" w:eastAsia="Arial" w:hAnsi="Arial"/>
          <w:b/>
          <w:bCs/>
          <w:color w:val="2E86C1"/>
          <w:sz w:val="22"/>
          <w:szCs w:val="22"/>
        </w:rPr>
        <w:t xml:space="preserve">Agent Skill Definitions</w:t>
      </w:r>
    </w:p>
    <w:p>
      <w:pPr>
        <w:spacing w:after="160" w:line="276"/>
      </w:pPr>
      <w:r>
        <w:rPr>
          <w:rFonts w:ascii="Arial" w:cs="Arial" w:eastAsia="Arial" w:hAnsi="Arial"/>
          <w:color w:val="1C1C1C"/>
          <w:sz w:val="21"/>
          <w:szCs w:val="21"/>
        </w:rPr>
        <w:t xml:space="preserve">As you move toward deploying agents with more autonomy, define explicit “skills” for each agent role: what data it can access, what tools it can use, what actions require approval. Anthropic’s Agent Skills framework offers a useful model—organized folders of instructions that agents discover dynamically. For WRK, this might mean a meeting_prep_agent skill, a grant_analysis_agent skill, and eventually a relationship_management_agent skill, each with explicit permission boundaries.</w:t>
      </w:r>
    </w:p>
    <w:p>
      <w:pPr>
        <w:pStyle w:val="Heading3"/>
        <w:spacing w:before="200" w:after="120"/>
      </w:pPr>
      <w:r>
        <w:rPr>
          <w:rFonts w:ascii="Arial" w:cs="Arial" w:eastAsia="Arial" w:hAnsi="Arial"/>
          <w:b/>
          <w:bCs/>
          <w:color w:val="2E86C1"/>
          <w:sz w:val="22"/>
          <w:szCs w:val="22"/>
        </w:rPr>
        <w:t xml:space="preserve">Feedback Loops That Improve the System</w:t>
      </w:r>
    </w:p>
    <w:p>
      <w:pPr>
        <w:spacing w:after="160" w:line="276"/>
      </w:pPr>
      <w:r>
        <w:rPr>
          <w:rFonts w:ascii="Arial" w:cs="Arial" w:eastAsia="Arial" w:hAnsi="Arial"/>
          <w:color w:val="1C1C1C"/>
          <w:sz w:val="21"/>
          <w:szCs w:val="21"/>
        </w:rPr>
        <w:t xml:space="preserve">The current feedback widget captures user reports, but the next level is structured feedback that directly improves AI outputs: Did the meeting prep brief miss something important? Was the grant analysis confidence score accurate? Capture these signals systematically and use them to tune prompts and knowledge extraction. This is the “continuous improvement” loop that every HITL framework recommends.</w:t>
      </w:r>
    </w:p>
    <w:p>
      <w:pPr>
        <w:pStyle w:val="Heading3"/>
        <w:spacing w:before="200" w:after="120"/>
      </w:pPr>
      <w:r>
        <w:rPr>
          <w:rFonts w:ascii="Arial" w:cs="Arial" w:eastAsia="Arial" w:hAnsi="Arial"/>
          <w:b/>
          <w:bCs/>
          <w:color w:val="2E86C1"/>
          <w:sz w:val="22"/>
          <w:szCs w:val="22"/>
        </w:rPr>
        <w:t xml:space="preserve">Cross-System Event Bus</w:t>
      </w:r>
    </w:p>
    <w:p>
      <w:pPr>
        <w:spacing w:after="160" w:line="276"/>
      </w:pPr>
      <w:r>
        <w:rPr>
          <w:rFonts w:ascii="Arial" w:cs="Arial" w:eastAsia="Arial" w:hAnsi="Arial"/>
          <w:color w:val="1C1C1C"/>
          <w:sz w:val="21"/>
          <w:szCs w:val="21"/>
        </w:rPr>
        <w:t xml:space="preserve">The integration_events table in the schema is the right idea. As WRK connects to more external systems (Box, Google Calendar, eventually Slack and email), a lightweight event bus pattern will prevent the spaghetti of direct integrations. Each connector publishes events; each agent subscribes to relevant event types.</w:t>
      </w:r>
    </w:p>
    <w:p>
      <w:r>
        <w:br w:type="page"/>
      </w:r>
    </w:p>
    <w:p>
      <w:pPr>
        <w:pStyle w:val="Heading1"/>
        <w:spacing w:before="360" w:after="200"/>
      </w:pPr>
      <w:r>
        <w:rPr>
          <w:rFonts w:ascii="Arial" w:cs="Arial" w:eastAsia="Arial" w:hAnsi="Arial"/>
          <w:b/>
          <w:bCs/>
          <w:color w:val="1B4F72"/>
          <w:sz w:val="32"/>
          <w:szCs w:val="32"/>
        </w:rPr>
        <w:t xml:space="preserve">4. A Phased Roadmap for Scaling</w:t>
      </w:r>
    </w:p>
    <w:p>
      <w:pPr>
        <w:spacing w:after="160" w:line="276"/>
      </w:pPr>
      <w:r>
        <w:rPr>
          <w:rFonts w:ascii="Arial" w:cs="Arial" w:eastAsia="Arial" w:hAnsi="Arial"/>
          <w:color w:val="1C1C1C"/>
          <w:sz w:val="21"/>
          <w:szCs w:val="21"/>
        </w:rPr>
        <w:t xml:space="preserve">Based on the progressive autonomy frameworks and WRK’s current state, here is a recommended three-phase approach:</w:t>
      </w:r>
    </w:p>
    <w:p>
      <w:pPr>
        <w:spacing w:after="120"/>
      </w:pPr>
    </w:p>
    <w:p>
      <w:pPr>
        <w:pStyle w:val="Heading2"/>
        <w:spacing w:before="280" w:after="160"/>
      </w:pPr>
      <w:r>
        <w:rPr>
          <w:rFonts w:ascii="Arial" w:cs="Arial" w:eastAsia="Arial" w:hAnsi="Arial"/>
          <w:b/>
          <w:bCs/>
          <w:color w:val="1B4F72"/>
          <w:sz w:val="26"/>
          <w:szCs w:val="26"/>
        </w:rPr>
        <w:t xml:space="preserve">Phase 1: Knowledge Foundation (Current – Q2 2026)</w:t>
      </w:r>
    </w:p>
    <w:p>
      <w:pPr>
        <w:spacing w:after="160" w:line="276"/>
      </w:pPr>
      <w:r>
        <w:rPr>
          <w:rFonts w:ascii="Arial" w:cs="Arial" w:eastAsia="Arial" w:hAnsi="Arial"/>
          <w:color w:val="1C1C1C"/>
          <w:sz w:val="21"/>
          <w:szCs w:val="21"/>
        </w:rPr>
        <w:t xml:space="preserve">Focus: Make the AI deeply knowledgeable before making it autonomous.</w:t>
      </w:r>
    </w:p>
    <w:p>
      <w:pPr>
        <w:pStyle w:val="ListParagraph"/>
        <w:numPr>
          <w:ilvl w:val="0"/>
          <w:numId w:val="2"/>
        </w:numPr>
        <w:spacing w:after="80" w:line="276"/>
      </w:pPr>
      <w:r>
        <w:rPr>
          <w:rFonts w:ascii="Arial" w:cs="Arial" w:eastAsia="Arial" w:hAnsi="Arial"/>
          <w:b/>
          <w:bCs/>
          <w:color w:val="1C1C1C"/>
          <w:sz w:val="21"/>
          <w:szCs w:val="21"/>
        </w:rPr>
        <w:t xml:space="preserve">Complete Box sync pipeline </w:t>
      </w:r>
      <w:r>
        <w:rPr>
          <w:rFonts w:ascii="Arial" w:cs="Arial" w:eastAsia="Arial" w:hAnsi="Arial"/>
          <w:color w:val="1C1C1C"/>
          <w:sz w:val="21"/>
          <w:szCs w:val="21"/>
        </w:rPr>
        <w:t xml:space="preserve">— full metadata mirror with webhook-driven updates and permission projection.</w:t>
      </w:r>
    </w:p>
    <w:p>
      <w:pPr>
        <w:pStyle w:val="ListParagraph"/>
        <w:numPr>
          <w:ilvl w:val="0"/>
          <w:numId w:val="2"/>
        </w:numPr>
        <w:spacing w:after="80" w:line="276"/>
      </w:pPr>
      <w:r>
        <w:rPr>
          <w:rFonts w:ascii="Arial" w:cs="Arial" w:eastAsia="Arial" w:hAnsi="Arial"/>
          <w:b/>
          <w:bCs/>
          <w:color w:val="1C1C1C"/>
          <w:sz w:val="21"/>
          <w:szCs w:val="21"/>
        </w:rPr>
        <w:t xml:space="preserve">Deploy entity_links table </w:t>
      </w:r>
      <w:r>
        <w:rPr>
          <w:rFonts w:ascii="Arial" w:cs="Arial" w:eastAsia="Arial" w:hAnsi="Arial"/>
          <w:color w:val="1C1C1C"/>
          <w:sz w:val="21"/>
          <w:szCs w:val="21"/>
        </w:rPr>
        <w:t xml:space="preserve">— begin capturing cross-domain relationships that aren’t covered by existing pivots.</w:t>
      </w:r>
    </w:p>
    <w:p>
      <w:pPr>
        <w:pStyle w:val="ListParagraph"/>
        <w:numPr>
          <w:ilvl w:val="0"/>
          <w:numId w:val="2"/>
        </w:numPr>
        <w:spacing w:after="80" w:line="276"/>
      </w:pPr>
      <w:r>
        <w:rPr>
          <w:rFonts w:ascii="Arial" w:cs="Arial" w:eastAsia="Arial" w:hAnsi="Arial"/>
          <w:b/>
          <w:bCs/>
          <w:color w:val="1C1C1C"/>
          <w:sz w:val="21"/>
          <w:szCs w:val="21"/>
        </w:rPr>
        <w:t xml:space="preserve">Build knowledge_facts extraction </w:t>
      </w:r>
      <w:r>
        <w:rPr>
          <w:rFonts w:ascii="Arial" w:cs="Arial" w:eastAsia="Arial" w:hAnsi="Arial"/>
          <w:color w:val="1C1C1C"/>
          <w:sz w:val="21"/>
          <w:szCs w:val="21"/>
        </w:rPr>
        <w:t xml:space="preserve">— when meeting notes are saved, grant documents are analyzed, or contacts are updated, extract structured facts with source refs.</w:t>
      </w:r>
    </w:p>
    <w:p>
      <w:pPr>
        <w:pStyle w:val="ListParagraph"/>
        <w:numPr>
          <w:ilvl w:val="0"/>
          <w:numId w:val="2"/>
        </w:numPr>
        <w:spacing w:after="80" w:line="276"/>
      </w:pPr>
      <w:r>
        <w:rPr>
          <w:rFonts w:ascii="Arial" w:cs="Arial" w:eastAsia="Arial" w:hAnsi="Arial"/>
          <w:b/>
          <w:bCs/>
          <w:color w:val="1C1C1C"/>
          <w:sz w:val="21"/>
          <w:szCs w:val="21"/>
        </w:rPr>
        <w:t xml:space="preserve">Enrich meeting prep and Knowledge Hub </w:t>
      </w:r>
      <w:r>
        <w:rPr>
          <w:rFonts w:ascii="Arial" w:cs="Arial" w:eastAsia="Arial" w:hAnsi="Arial"/>
          <w:color w:val="1C1C1C"/>
          <w:sz w:val="21"/>
          <w:szCs w:val="21"/>
        </w:rPr>
        <w:t xml:space="preserve">— use the richer knowledge base to produce better, more contextual AI outputs.</w:t>
      </w:r>
    </w:p>
    <w:p>
      <w:pPr>
        <w:pStyle w:val="ListParagraph"/>
        <w:numPr>
          <w:ilvl w:val="0"/>
          <w:numId w:val="2"/>
        </w:numPr>
        <w:spacing w:after="80" w:line="276"/>
      </w:pPr>
      <w:r>
        <w:rPr>
          <w:rFonts w:ascii="Arial" w:cs="Arial" w:eastAsia="Arial" w:hAnsi="Arial"/>
          <w:b/>
          <w:bCs/>
          <w:color w:val="1C1C1C"/>
          <w:sz w:val="21"/>
          <w:szCs w:val="21"/>
        </w:rPr>
        <w:t xml:space="preserve">Instrument AI quality </w:t>
      </w:r>
      <w:r>
        <w:rPr>
          <w:rFonts w:ascii="Arial" w:cs="Arial" w:eastAsia="Arial" w:hAnsi="Arial"/>
          <w:color w:val="1C1C1C"/>
          <w:sz w:val="21"/>
          <w:szCs w:val="21"/>
        </w:rPr>
        <w:t xml:space="preserve">— track which AI outputs get used, edited, or ignored. This data drives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12"/>
              <w:bottom w:val="single" w:color="85C1E9" w:sz="1"/>
              <w:right w:val="single" w:color="85C1E9"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Autonomy Level: 1–2 (Operator/Collaborator)</w:t>
            </w:r>
          </w:p>
          <w:p>
            <w:pPr>
              <w:spacing w:after="0"/>
            </w:pPr>
            <w:r>
              <w:rPr>
                <w:rFonts w:ascii="Arial" w:cs="Arial" w:eastAsia="Arial" w:hAnsi="Arial"/>
                <w:color w:val="2C3E50"/>
                <w:sz w:val="20"/>
                <w:szCs w:val="20"/>
              </w:rPr>
              <w:t xml:space="preserve">AI surfaces information and drafts recommendations. Humans make all decisions and take all actions. AI never writes to external systems without explicit user initiation.</w:t>
            </w:r>
          </w:p>
        </w:tc>
      </w:tr>
    </w:tbl>
    <w:p>
      <w:pPr>
        <w:spacing w:after="120"/>
      </w:pPr>
    </w:p>
    <w:p>
      <w:pPr>
        <w:pStyle w:val="Heading2"/>
        <w:spacing w:before="280" w:after="160"/>
      </w:pPr>
      <w:r>
        <w:rPr>
          <w:rFonts w:ascii="Arial" w:cs="Arial" w:eastAsia="Arial" w:hAnsi="Arial"/>
          <w:b/>
          <w:bCs/>
          <w:color w:val="1B4F72"/>
          <w:sz w:val="26"/>
          <w:szCs w:val="26"/>
        </w:rPr>
        <w:t xml:space="preserve">Phase 2: Governed Agents (Q3–Q4 2026)</w:t>
      </w:r>
    </w:p>
    <w:p>
      <w:pPr>
        <w:spacing w:after="160" w:line="276"/>
      </w:pPr>
      <w:r>
        <w:rPr>
          <w:rFonts w:ascii="Arial" w:cs="Arial" w:eastAsia="Arial" w:hAnsi="Arial"/>
          <w:color w:val="1C1C1C"/>
          <w:sz w:val="21"/>
          <w:szCs w:val="21"/>
        </w:rPr>
        <w:t xml:space="preserve">Focus: Introduce agents that can take actions, with explicit approval workflows.</w:t>
      </w:r>
    </w:p>
    <w:p>
      <w:pPr>
        <w:pStyle w:val="ListParagraph"/>
        <w:numPr>
          <w:ilvl w:val="0"/>
          <w:numId w:val="2"/>
        </w:numPr>
        <w:spacing w:after="80" w:line="276"/>
      </w:pPr>
      <w:r>
        <w:rPr>
          <w:rFonts w:ascii="Arial" w:cs="Arial" w:eastAsia="Arial" w:hAnsi="Arial"/>
          <w:b/>
          <w:bCs/>
          <w:color w:val="1C1C1C"/>
          <w:sz w:val="21"/>
          <w:szCs w:val="21"/>
        </w:rPr>
        <w:t xml:space="preserve">Deploy agent_runs and agent_approvals tables </w:t>
      </w:r>
      <w:r>
        <w:rPr>
          <w:rFonts w:ascii="Arial" w:cs="Arial" w:eastAsia="Arial" w:hAnsi="Arial"/>
          <w:color w:val="1C1C1C"/>
          <w:sz w:val="21"/>
          <w:szCs w:val="21"/>
        </w:rPr>
        <w:t xml:space="preserve">— every agent action is logged, and sensitive actions require human approval before execution.</w:t>
      </w:r>
    </w:p>
    <w:p>
      <w:pPr>
        <w:pStyle w:val="ListParagraph"/>
        <w:numPr>
          <w:ilvl w:val="0"/>
          <w:numId w:val="2"/>
        </w:numPr>
        <w:spacing w:after="80" w:line="276"/>
      </w:pPr>
      <w:r>
        <w:rPr>
          <w:rFonts w:ascii="Arial" w:cs="Arial" w:eastAsia="Arial" w:hAnsi="Arial"/>
          <w:b/>
          <w:bCs/>
          <w:color w:val="1C1C1C"/>
          <w:sz w:val="21"/>
          <w:szCs w:val="21"/>
        </w:rPr>
        <w:t xml:space="preserve">Define agent skills with permission boundaries </w:t>
      </w:r>
      <w:r>
        <w:rPr>
          <w:rFonts w:ascii="Arial" w:cs="Arial" w:eastAsia="Arial" w:hAnsi="Arial"/>
          <w:color w:val="1C1C1C"/>
          <w:sz w:val="21"/>
          <w:szCs w:val="21"/>
        </w:rPr>
        <w:t xml:space="preserve">— each agent role has an explicit scope: what data it reads, what tools it calls, what actions it can take independently vs. with approval.</w:t>
      </w:r>
    </w:p>
    <w:p>
      <w:pPr>
        <w:pStyle w:val="ListParagraph"/>
        <w:numPr>
          <w:ilvl w:val="0"/>
          <w:numId w:val="2"/>
        </w:numPr>
        <w:spacing w:after="80" w:line="276"/>
      </w:pPr>
      <w:r>
        <w:rPr>
          <w:rFonts w:ascii="Arial" w:cs="Arial" w:eastAsia="Arial" w:hAnsi="Arial"/>
          <w:b/>
          <w:bCs/>
          <w:color w:val="1C1C1C"/>
          <w:sz w:val="21"/>
          <w:szCs w:val="21"/>
        </w:rPr>
        <w:t xml:space="preserve">Introduce draft-and-approve patterns </w:t>
      </w:r>
      <w:r>
        <w:rPr>
          <w:rFonts w:ascii="Arial" w:cs="Arial" w:eastAsia="Arial" w:hAnsi="Arial"/>
          <w:color w:val="1C1C1C"/>
          <w:sz w:val="21"/>
          <w:szCs w:val="21"/>
        </w:rPr>
        <w:t xml:space="preserve">— agents prepare meeting follow-up emails, draft commitment tracking entries, or suggest project updates. Humans review and approve before anything is sent or published.</w:t>
      </w:r>
    </w:p>
    <w:p>
      <w:pPr>
        <w:pStyle w:val="ListParagraph"/>
        <w:numPr>
          <w:ilvl w:val="0"/>
          <w:numId w:val="2"/>
        </w:numPr>
        <w:spacing w:after="80" w:line="276"/>
      </w:pPr>
      <w:r>
        <w:rPr>
          <w:rFonts w:ascii="Arial" w:cs="Arial" w:eastAsia="Arial" w:hAnsi="Arial"/>
          <w:b/>
          <w:bCs/>
          <w:color w:val="1C1C1C"/>
          <w:sz w:val="21"/>
          <w:szCs w:val="21"/>
        </w:rPr>
        <w:t xml:space="preserve">Build the feedback loop </w:t>
      </w:r>
      <w:r>
        <w:rPr>
          <w:rFonts w:ascii="Arial" w:cs="Arial" w:eastAsia="Arial" w:hAnsi="Arial"/>
          <w:color w:val="1C1C1C"/>
          <w:sz w:val="21"/>
          <w:szCs w:val="21"/>
        </w:rPr>
        <w:t xml:space="preserve">— when humans edit agent drafts, capture what changed and why. Use this to improve prompts and skill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12"/>
              <w:bottom w:val="single" w:color="85C1E9" w:sz="1"/>
              <w:right w:val="single" w:color="85C1E9"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Autonomy Level: 2–3 (Collaborator/Consultant)</w:t>
            </w:r>
          </w:p>
          <w:p>
            <w:pPr>
              <w:spacing w:after="0"/>
            </w:pPr>
            <w:r>
              <w:rPr>
                <w:rFonts w:ascii="Arial" w:cs="Arial" w:eastAsia="Arial" w:hAnsi="Arial"/>
                <w:color w:val="2C3E50"/>
                <w:sz w:val="20"/>
                <w:szCs w:val="20"/>
              </w:rPr>
              <w:t xml:space="preserve">AI drafts actions and recommends decisions. Humans approve, edit, or reject. AI begins to operate on a publish/approval cycle for well-defined workflows.</w:t>
            </w:r>
          </w:p>
        </w:tc>
      </w:tr>
    </w:tbl>
    <w:p>
      <w:pPr>
        <w:spacing w:after="120"/>
      </w:pPr>
    </w:p>
    <w:p>
      <w:pPr>
        <w:pStyle w:val="Heading2"/>
        <w:spacing w:before="280" w:after="160"/>
      </w:pPr>
      <w:r>
        <w:rPr>
          <w:rFonts w:ascii="Arial" w:cs="Arial" w:eastAsia="Arial" w:hAnsi="Arial"/>
          <w:b/>
          <w:bCs/>
          <w:color w:val="1B4F72"/>
          <w:sz w:val="26"/>
          <w:szCs w:val="26"/>
        </w:rPr>
        <w:t xml:space="preserve">Phase 3: Institutional Colleagues (2027+)</w:t>
      </w:r>
    </w:p>
    <w:p>
      <w:pPr>
        <w:spacing w:after="160" w:line="276"/>
      </w:pPr>
      <w:r>
        <w:rPr>
          <w:rFonts w:ascii="Arial" w:cs="Arial" w:eastAsia="Arial" w:hAnsi="Arial"/>
          <w:color w:val="1C1C1C"/>
          <w:sz w:val="21"/>
          <w:szCs w:val="21"/>
        </w:rPr>
        <w:t xml:space="preserve">Focus: Agents operate as trusted team members within defined boundaries.</w:t>
      </w:r>
    </w:p>
    <w:p>
      <w:pPr>
        <w:pStyle w:val="ListParagraph"/>
        <w:numPr>
          <w:ilvl w:val="0"/>
          <w:numId w:val="2"/>
        </w:numPr>
        <w:spacing w:after="80" w:line="276"/>
      </w:pPr>
      <w:r>
        <w:rPr>
          <w:rFonts w:ascii="Arial" w:cs="Arial" w:eastAsia="Arial" w:hAnsi="Arial"/>
          <w:b/>
          <w:bCs/>
          <w:color w:val="1C1C1C"/>
          <w:sz w:val="21"/>
          <w:szCs w:val="21"/>
        </w:rPr>
        <w:t xml:space="preserve">Multi-agent coordination </w:t>
      </w:r>
      <w:r>
        <w:rPr>
          <w:rFonts w:ascii="Arial" w:cs="Arial" w:eastAsia="Arial" w:hAnsi="Arial"/>
          <w:color w:val="1C1C1C"/>
          <w:sz w:val="21"/>
          <w:szCs w:val="21"/>
        </w:rPr>
        <w:t xml:space="preserve">— specialized agents (meeting prep, relationship management, grant compliance, media monitoring) coordinate through the event bus and shared knowledge graph.</w:t>
      </w:r>
    </w:p>
    <w:p>
      <w:pPr>
        <w:pStyle w:val="ListParagraph"/>
        <w:numPr>
          <w:ilvl w:val="0"/>
          <w:numId w:val="2"/>
        </w:numPr>
        <w:spacing w:after="80" w:line="276"/>
      </w:pPr>
      <w:r>
        <w:rPr>
          <w:rFonts w:ascii="Arial" w:cs="Arial" w:eastAsia="Arial" w:hAnsi="Arial"/>
          <w:b/>
          <w:bCs/>
          <w:color w:val="1C1C1C"/>
          <w:sz w:val="21"/>
          <w:szCs w:val="21"/>
        </w:rPr>
        <w:t xml:space="preserve">Progressive autonomy expansion </w:t>
      </w:r>
      <w:r>
        <w:rPr>
          <w:rFonts w:ascii="Arial" w:cs="Arial" w:eastAsia="Arial" w:hAnsi="Arial"/>
          <w:color w:val="1C1C1C"/>
          <w:sz w:val="21"/>
          <w:szCs w:val="21"/>
        </w:rPr>
        <w:t xml:space="preserve">— as confidence metrics improve and governance matures, expand the set of actions agents can take independently. Low-risk, high-confidence actions (like logging a meeting note or updating a contact record) may not need approval gates.</w:t>
      </w:r>
    </w:p>
    <w:p>
      <w:pPr>
        <w:pStyle w:val="ListParagraph"/>
        <w:numPr>
          <w:ilvl w:val="0"/>
          <w:numId w:val="2"/>
        </w:numPr>
        <w:spacing w:after="80" w:line="276"/>
      </w:pPr>
      <w:r>
        <w:rPr>
          <w:rFonts w:ascii="Arial" w:cs="Arial" w:eastAsia="Arial" w:hAnsi="Arial"/>
          <w:b/>
          <w:bCs/>
          <w:color w:val="1C1C1C"/>
          <w:sz w:val="21"/>
          <w:szCs w:val="21"/>
        </w:rPr>
        <w:t xml:space="preserve">Audit and compliance layer </w:t>
      </w:r>
      <w:r>
        <w:rPr>
          <w:rFonts w:ascii="Arial" w:cs="Arial" w:eastAsia="Arial" w:hAnsi="Arial"/>
          <w:color w:val="1C1C1C"/>
          <w:sz w:val="21"/>
          <w:szCs w:val="21"/>
        </w:rPr>
        <w:t xml:space="preserve">— full audit_logs table with cross-system change tracking. Every agent action is traceable to its trigger, its knowledge sources, and its approval chain.</w:t>
      </w:r>
    </w:p>
    <w:p>
      <w:pPr>
        <w:pStyle w:val="ListParagraph"/>
        <w:numPr>
          <w:ilvl w:val="0"/>
          <w:numId w:val="2"/>
        </w:numPr>
        <w:spacing w:after="80" w:line="276"/>
      </w:pPr>
      <w:r>
        <w:rPr>
          <w:rFonts w:ascii="Arial" w:cs="Arial" w:eastAsia="Arial" w:hAnsi="Arial"/>
          <w:b/>
          <w:bCs/>
          <w:color w:val="1C1C1C"/>
          <w:sz w:val="21"/>
          <w:szCs w:val="21"/>
        </w:rPr>
        <w:t xml:space="preserve">External integration </w:t>
      </w:r>
      <w:r>
        <w:rPr>
          <w:rFonts w:ascii="Arial" w:cs="Arial" w:eastAsia="Arial" w:hAnsi="Arial"/>
          <w:color w:val="1C1C1C"/>
          <w:sz w:val="21"/>
          <w:szCs w:val="21"/>
        </w:rPr>
        <w:t xml:space="preserve">— agents begin interacting with Slack, email, and calendar systems within well-defined, human-approved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12"/>
              <w:bottom w:val="single" w:color="85C1E9" w:sz="1"/>
              <w:right w:val="single" w:color="85C1E9"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Autonomy Level: 3–4 (Consultant/Approver)</w:t>
            </w:r>
          </w:p>
          <w:p>
            <w:pPr>
              <w:spacing w:after="0"/>
            </w:pPr>
            <w:r>
              <w:rPr>
                <w:rFonts w:ascii="Arial" w:cs="Arial" w:eastAsia="Arial" w:hAnsi="Arial"/>
                <w:color w:val="2C3E50"/>
                <w:sz w:val="20"/>
                <w:szCs w:val="20"/>
              </w:rPr>
              <w:t xml:space="preserve">AI operates semi-autonomously within defined boundaries. Humans set policy and review exceptions rather than approving every action. The organization has built enough trust and governance infrastructure to let agents handle routine work.</w:t>
            </w:r>
          </w:p>
        </w:tc>
      </w:tr>
    </w:tbl>
    <w:p>
      <w:pPr>
        <w:spacing w:after="120"/>
      </w:pPr>
    </w:p>
    <w:p>
      <w:r>
        <w:br w:type="page"/>
      </w:r>
    </w:p>
    <w:p>
      <w:pPr>
        <w:pStyle w:val="Heading1"/>
        <w:spacing w:before="360" w:after="200"/>
      </w:pPr>
      <w:r>
        <w:rPr>
          <w:rFonts w:ascii="Arial" w:cs="Arial" w:eastAsia="Arial" w:hAnsi="Arial"/>
          <w:b/>
          <w:bCs/>
          <w:color w:val="1B4F72"/>
          <w:sz w:val="32"/>
          <w:szCs w:val="32"/>
        </w:rPr>
        <w:t xml:space="preserve">5. Implications for Legislative Offices</w:t>
      </w:r>
    </w:p>
    <w:p>
      <w:pPr>
        <w:spacing w:after="160" w:line="276"/>
      </w:pPr>
      <w:r>
        <w:rPr>
          <w:rFonts w:ascii="Arial" w:cs="Arial" w:eastAsia="Arial" w:hAnsi="Arial"/>
          <w:color w:val="1C1C1C"/>
          <w:sz w:val="21"/>
          <w:szCs w:val="21"/>
        </w:rPr>
        <w:t xml:space="preserve">The WRK architecture has broader significance because the problems it solves—small teams managing complex stakeholder relationships, knowledge-intensive workflows, and strict accountability requirements—are exactly the problems that legislative offices face.</w:t>
      </w:r>
    </w:p>
    <w:p>
      <w:pPr>
        <w:pStyle w:val="Heading2"/>
        <w:spacing w:before="280" w:after="160"/>
      </w:pPr>
      <w:r>
        <w:rPr>
          <w:rFonts w:ascii="Arial" w:cs="Arial" w:eastAsia="Arial" w:hAnsi="Arial"/>
          <w:b/>
          <w:bCs/>
          <w:color w:val="1B4F72"/>
          <w:sz w:val="26"/>
          <w:szCs w:val="26"/>
        </w:rPr>
        <w:t xml:space="preserve">5.1 The Current State of Government AI</w:t>
      </w:r>
    </w:p>
    <w:p>
      <w:pPr>
        <w:spacing w:after="160" w:line="276"/>
      </w:pPr>
      <w:r>
        <w:rPr>
          <w:rFonts w:ascii="Arial" w:cs="Arial" w:eastAsia="Arial" w:hAnsi="Arial"/>
          <w:color w:val="1C1C1C"/>
          <w:sz w:val="21"/>
          <w:szCs w:val="21"/>
        </w:rPr>
        <w:t xml:space="preserve">Federal AI adoption is accelerating: the GAO found that AI use cases across agencies nearly doubled from 571 to 1,110 between 2023 and 2024, with generative AI use increasing ninefold. Multiple agencies adopted platforms from Google, Microsoft, and Anthropic in 2025. State legislatures passed significant public-sector AI legislation in 2025, with risk management emerging as the dominant focus area. Several states, including Virginia and Delaware, are experimenting with agentic AI regulatory sandboxes.</w:t>
      </w:r>
    </w:p>
    <w:p>
      <w:pPr>
        <w:pStyle w:val="Heading2"/>
        <w:spacing w:before="280" w:after="160"/>
      </w:pPr>
      <w:r>
        <w:rPr>
          <w:rFonts w:ascii="Arial" w:cs="Arial" w:eastAsia="Arial" w:hAnsi="Arial"/>
          <w:b/>
          <w:bCs/>
          <w:color w:val="1B4F72"/>
          <w:sz w:val="26"/>
          <w:szCs w:val="26"/>
        </w:rPr>
        <w:t xml:space="preserve">5.2 Why This Model Translates</w:t>
      </w:r>
    </w:p>
    <w:p>
      <w:pPr>
        <w:spacing w:after="160" w:line="276"/>
      </w:pPr>
      <w:r>
        <w:rPr>
          <w:rFonts w:ascii="Arial" w:cs="Arial" w:eastAsia="Arial" w:hAnsi="Arial"/>
          <w:color w:val="1C1C1C"/>
          <w:sz w:val="21"/>
          <w:szCs w:val="21"/>
        </w:rPr>
        <w:t xml:space="preserve">Legislative offices share key characteristics with POPVOX’s operating context: small teams with outsized responsibilities, dense networks of stakeholder relationships, strict requirements for accountability and transparency, knowledge-intensive work where institutional memory matters enormously, and constant time pressure that makes AI augmentation genuinely valuable.</w:t>
      </w:r>
    </w:p>
    <w:p>
      <w:pPr>
        <w:spacing w:after="160" w:line="276"/>
      </w:pPr>
      <w:r>
        <w:rPr>
          <w:rFonts w:ascii="Arial" w:cs="Arial" w:eastAsia="Arial" w:hAnsi="Arial"/>
          <w:color w:val="1C1C1C"/>
          <w:sz w:val="21"/>
          <w:szCs w:val="21"/>
        </w:rPr>
        <w:t xml:space="preserve">A legislative office running WRK-style infrastructure could use AI to prepare constituent meeting briefs with full relationship history, track commitments made across hundreds of meetings, surface relevant policy history and committee records, draft correspondence while maintaining provenance and accountability, and manage the complex web of relationships between members, staff, lobbyists, agencies, and constituents.</w:t>
      </w:r>
    </w:p>
    <w:p>
      <w:pPr>
        <w:pStyle w:val="Heading2"/>
        <w:spacing w:before="280" w:after="160"/>
      </w:pPr>
      <w:r>
        <w:rPr>
          <w:rFonts w:ascii="Arial" w:cs="Arial" w:eastAsia="Arial" w:hAnsi="Arial"/>
          <w:b/>
          <w:bCs/>
          <w:color w:val="1B4F72"/>
          <w:sz w:val="26"/>
          <w:szCs w:val="26"/>
        </w:rPr>
        <w:t xml:space="preserve">5.3 The Trust Imperative</w:t>
      </w:r>
    </w:p>
    <w:p>
      <w:pPr>
        <w:spacing w:after="160" w:line="276"/>
      </w:pPr>
      <w:r>
        <w:rPr>
          <w:rFonts w:ascii="Arial" w:cs="Arial" w:eastAsia="Arial" w:hAnsi="Arial"/>
          <w:color w:val="1C1C1C"/>
          <w:sz w:val="21"/>
          <w:szCs w:val="21"/>
        </w:rPr>
        <w:t xml:space="preserve">For legislative offices, the progressive autonomy model is not optional—it is a political necessity. An AI system that takes an unauthorized action on behalf of a legislator could be career-ending. The governance scaffolding in WRK’s v2 design—agent approvals, provenance tracking, ACL-aware retrieval, and audit logs—is precisely what makes this viable for high-accountability environments.</w:t>
      </w:r>
    </w:p>
    <w:p>
      <w:pPr>
        <w:spacing w:after="160" w:line="276"/>
      </w:pPr>
      <w:r>
        <w:rPr>
          <w:rFonts w:ascii="Arial" w:cs="Arial" w:eastAsia="Arial" w:hAnsi="Arial"/>
          <w:color w:val="1C1C1C"/>
          <w:sz w:val="21"/>
          <w:szCs w:val="21"/>
        </w:rPr>
        <w:t xml:space="preserve">The World Economic Forum’s recommendation of “agent cards”—standardized documentation of what an AI agent can and cannot do—would be especially valuable in legislative contexts, where multiple staffers and offices need to understand the capabilities and limitations of AI systems they interact with.</w:t>
      </w:r>
    </w:p>
    <w:p>
      <w:r>
        <w:br w:type="page"/>
      </w:r>
    </w:p>
    <w:p>
      <w:pPr>
        <w:pStyle w:val="Heading1"/>
        <w:spacing w:before="360" w:after="200"/>
      </w:pPr>
      <w:r>
        <w:rPr>
          <w:rFonts w:ascii="Arial" w:cs="Arial" w:eastAsia="Arial" w:hAnsi="Arial"/>
          <w:b/>
          <w:bCs/>
          <w:color w:val="1B4F72"/>
          <w:sz w:val="32"/>
          <w:szCs w:val="32"/>
        </w:rPr>
        <w:t xml:space="preserve">6. Practical Recommendations</w:t>
      </w:r>
    </w:p>
    <w:p>
      <w:pPr>
        <w:spacing w:after="160" w:line="276"/>
      </w:pPr>
      <w:r>
        <w:rPr>
          <w:rFonts w:ascii="Arial" w:cs="Arial" w:eastAsia="Arial" w:hAnsi="Arial"/>
          <w:color w:val="1C1C1C"/>
          <w:sz w:val="21"/>
          <w:szCs w:val="21"/>
        </w:rPr>
        <w:t xml:space="preserve">For the POPVOX team building WRK today:</w:t>
      </w:r>
    </w:p>
    <w:p>
      <w:pPr>
        <w:spacing w:after="120"/>
      </w:pPr>
    </w:p>
    <w:p>
      <w:pPr>
        <w:pStyle w:val="Heading3"/>
        <w:spacing w:before="200" w:after="120"/>
      </w:pPr>
      <w:r>
        <w:rPr>
          <w:rFonts w:ascii="Arial" w:cs="Arial" w:eastAsia="Arial" w:hAnsi="Arial"/>
          <w:b/>
          <w:bCs/>
          <w:color w:val="2E86C1"/>
          <w:sz w:val="22"/>
          <w:szCs w:val="22"/>
        </w:rPr>
        <w:t xml:space="preserve">Invest in the Knowledge Layer First</w:t>
      </w:r>
    </w:p>
    <w:p>
      <w:pPr>
        <w:spacing w:after="160" w:line="276"/>
      </w:pPr>
      <w:r>
        <w:rPr>
          <w:rFonts w:ascii="Arial" w:cs="Arial" w:eastAsia="Arial" w:hAnsi="Arial"/>
          <w:color w:val="1C1C1C"/>
          <w:sz w:val="21"/>
          <w:szCs w:val="21"/>
        </w:rPr>
        <w:t xml:space="preserve">The research is unambiguous: the quality of AI outputs depends on the quality of the knowledge foundation. Before expanding agent autonomy, ensure that entity_links, knowledge_facts, and the Box content pipeline are producing rich, well-sourced, cross-referenced institutional knowledge. This is the highest-leverage investment you can make right now.</w:t>
      </w:r>
    </w:p>
    <w:p>
      <w:pPr>
        <w:pStyle w:val="Heading3"/>
        <w:spacing w:before="200" w:after="120"/>
      </w:pPr>
      <w:r>
        <w:rPr>
          <w:rFonts w:ascii="Arial" w:cs="Arial" w:eastAsia="Arial" w:hAnsi="Arial"/>
          <w:b/>
          <w:bCs/>
          <w:color w:val="2E86C1"/>
          <w:sz w:val="22"/>
          <w:szCs w:val="22"/>
        </w:rPr>
        <w:t xml:space="preserve">Design for the Governance You’ll Need, Not Just What You Need Today</w:t>
      </w:r>
    </w:p>
    <w:p>
      <w:pPr>
        <w:spacing w:after="160" w:line="276"/>
      </w:pPr>
      <w:r>
        <w:rPr>
          <w:rFonts w:ascii="Arial" w:cs="Arial" w:eastAsia="Arial" w:hAnsi="Arial"/>
          <w:color w:val="1C1C1C"/>
          <w:sz w:val="21"/>
          <w:szCs w:val="21"/>
        </w:rPr>
        <w:t xml:space="preserve">WRK’s v2 schema already does this well with planned agent_approvals and audit_logs. Continue this forward-looking approach. When you implement agent_runs, include fields for the governance metadata even before you build the approval UI. It’s vastly easier to populate governance fields from the start than to backfill them later.</w:t>
      </w:r>
    </w:p>
    <w:p>
      <w:pPr>
        <w:pStyle w:val="Heading3"/>
        <w:spacing w:before="200" w:after="120"/>
      </w:pPr>
      <w:r>
        <w:rPr>
          <w:rFonts w:ascii="Arial" w:cs="Arial" w:eastAsia="Arial" w:hAnsi="Arial"/>
          <w:b/>
          <w:bCs/>
          <w:color w:val="2E86C1"/>
          <w:sz w:val="22"/>
          <w:szCs w:val="22"/>
        </w:rPr>
        <w:t xml:space="preserve">Make AI Quality Measurable</w:t>
      </w:r>
    </w:p>
    <w:p>
      <w:pPr>
        <w:spacing w:after="160" w:line="276"/>
      </w:pPr>
      <w:r>
        <w:rPr>
          <w:rFonts w:ascii="Arial" w:cs="Arial" w:eastAsia="Arial" w:hAnsi="Arial"/>
          <w:color w:val="1C1C1C"/>
          <w:sz w:val="21"/>
          <w:szCs w:val="21"/>
        </w:rPr>
        <w:t xml:space="preserve">Track explicit quality signals: Were meeting prep briefs used? Were AI-extracted facts corrected? Were draft actions approved as-is or heavily edited? These metrics are your compass for knowing when it’s safe to expand agent autonomy. Without them, you’re guessing.</w:t>
      </w:r>
    </w:p>
    <w:p>
      <w:pPr>
        <w:pStyle w:val="Heading3"/>
        <w:spacing w:before="200" w:after="120"/>
      </w:pPr>
      <w:r>
        <w:rPr>
          <w:rFonts w:ascii="Arial" w:cs="Arial" w:eastAsia="Arial" w:hAnsi="Arial"/>
          <w:b/>
          <w:bCs/>
          <w:color w:val="2E86C1"/>
          <w:sz w:val="22"/>
          <w:szCs w:val="22"/>
        </w:rPr>
        <w:t xml:space="preserve">Build for Portability</w:t>
      </w:r>
    </w:p>
    <w:p>
      <w:pPr>
        <w:spacing w:after="160" w:line="276"/>
      </w:pPr>
      <w:r>
        <w:rPr>
          <w:rFonts w:ascii="Arial" w:cs="Arial" w:eastAsia="Arial" w:hAnsi="Arial"/>
          <w:color w:val="1C1C1C"/>
          <w:sz w:val="21"/>
          <w:szCs w:val="21"/>
        </w:rPr>
        <w:t xml:space="preserve">If the goal is to create a model that legislative offices and other nonprofits can adopt, keep the architecture modular: the knowledge layer should work without Box (substitute Google Drive or SharePoint), the agent governance layer should work without any specific AI provider (swap Claude for another model), and the permission model should map to any organizational structure. The canonical ID system and data contract are great foundations for this.</w:t>
      </w:r>
    </w:p>
    <w:p>
      <w:pPr>
        <w:pStyle w:val="Heading3"/>
        <w:spacing w:before="200" w:after="120"/>
      </w:pPr>
      <w:r>
        <w:rPr>
          <w:rFonts w:ascii="Arial" w:cs="Arial" w:eastAsia="Arial" w:hAnsi="Arial"/>
          <w:b/>
          <w:bCs/>
          <w:color w:val="2E86C1"/>
          <w:sz w:val="22"/>
          <w:szCs w:val="22"/>
        </w:rPr>
        <w:t xml:space="preserve">Document the Journey</w:t>
      </w:r>
    </w:p>
    <w:p>
      <w:pPr>
        <w:spacing w:after="160" w:line="276"/>
      </w:pPr>
      <w:r>
        <w:rPr>
          <w:rFonts w:ascii="Arial" w:cs="Arial" w:eastAsia="Arial" w:hAnsi="Arial"/>
          <w:color w:val="1C1C1C"/>
          <w:sz w:val="21"/>
          <w:szCs w:val="21"/>
        </w:rPr>
        <w:t xml:space="preserve">You are one of a very small number of mission-driven organizations building this kind of infrastructure from scratch. The design decisions you document today—why you chose progressive autonomy, how you designed the provenance system, what worked and what didn’t—will be enormously valuable to the broader community. Consider publishing the data contract and schema proposal (appropriately abstracted) as open resources.</w:t>
      </w:r>
    </w:p>
    <w:p>
      <w:r>
        <w:br w:type="page"/>
      </w:r>
    </w:p>
    <w:p>
      <w:pPr>
        <w:pStyle w:val="Heading1"/>
        <w:spacing w:before="360" w:after="200"/>
      </w:pPr>
      <w:r>
        <w:rPr>
          <w:rFonts w:ascii="Arial" w:cs="Arial" w:eastAsia="Arial" w:hAnsi="Arial"/>
          <w:b/>
          <w:bCs/>
          <w:color w:val="1B4F72"/>
          <w:sz w:val="32"/>
          <w:szCs w:val="32"/>
        </w:rPr>
        <w:t xml:space="preserve">Sources and Further Reading</w:t>
      </w:r>
    </w:p>
    <w:p>
      <w:pPr>
        <w:spacing w:after="160" w:line="276"/>
      </w:pPr>
      <w:r>
        <w:rPr>
          <w:rFonts w:ascii="Arial" w:cs="Arial" w:eastAsia="Arial" w:hAnsi="Arial"/>
          <w:b/>
          <w:bCs/>
          <w:color w:val="1C1C1C"/>
          <w:sz w:val="21"/>
          <w:szCs w:val="21"/>
        </w:rPr>
        <w:t xml:space="preserve">Industry Frameworks and Analysis:</w:t>
      </w:r>
    </w:p>
    <w:p>
      <w:pPr>
        <w:spacing w:after="120"/>
      </w:pPr>
    </w:p>
    <w:p>
      <w:pPr>
        <w:pStyle w:val="ListParagraph"/>
        <w:numPr>
          <w:ilvl w:val="0"/>
          <w:numId w:val="2"/>
        </w:numPr>
        <w:spacing w:after="80" w:line="276"/>
      </w:pPr>
      <w:r>
        <w:rPr>
          <w:rFonts w:ascii="Arial" w:cs="Arial" w:eastAsia="Arial" w:hAnsi="Arial"/>
          <w:color w:val="1C1C1C"/>
          <w:sz w:val="21"/>
          <w:szCs w:val="21"/>
        </w:rPr>
        <w:t xml:space="preserve">McKinsey, “The Agentic Organization: Contours of the Next Paradigm for the AI Era” (2025)</w:t>
      </w:r>
    </w:p>
    <w:p>
      <w:pPr>
        <w:pStyle w:val="ListParagraph"/>
        <w:numPr>
          <w:ilvl w:val="0"/>
          <w:numId w:val="2"/>
        </w:numPr>
        <w:spacing w:after="80" w:line="276"/>
      </w:pPr>
      <w:r>
        <w:rPr>
          <w:rFonts w:ascii="Arial" w:cs="Arial" w:eastAsia="Arial" w:hAnsi="Arial"/>
          <w:color w:val="1C1C1C"/>
          <w:sz w:val="21"/>
          <w:szCs w:val="21"/>
        </w:rPr>
        <w:t xml:space="preserve">McKinsey, “Seizing the Agentic AI Advantage” (2025)</w:t>
      </w:r>
    </w:p>
    <w:p>
      <w:pPr>
        <w:pStyle w:val="ListParagraph"/>
        <w:numPr>
          <w:ilvl w:val="0"/>
          <w:numId w:val="2"/>
        </w:numPr>
        <w:spacing w:after="80" w:line="276"/>
      </w:pPr>
      <w:r>
        <w:rPr>
          <w:rFonts w:ascii="Arial" w:cs="Arial" w:eastAsia="Arial" w:hAnsi="Arial"/>
          <w:color w:val="1C1C1C"/>
          <w:sz w:val="21"/>
          <w:szCs w:val="21"/>
        </w:rPr>
        <w:t xml:space="preserve">Deloitte Insights, “Agenic AI Strategy” — Tech Trends 2026</w:t>
      </w:r>
    </w:p>
    <w:p>
      <w:pPr>
        <w:pStyle w:val="ListParagraph"/>
        <w:numPr>
          <w:ilvl w:val="0"/>
          <w:numId w:val="2"/>
        </w:numPr>
        <w:spacing w:after="80" w:line="276"/>
      </w:pPr>
      <w:r>
        <w:rPr>
          <w:rFonts w:ascii="Arial" w:cs="Arial" w:eastAsia="Arial" w:hAnsi="Arial"/>
          <w:color w:val="1C1C1C"/>
          <w:sz w:val="21"/>
          <w:szCs w:val="21"/>
        </w:rPr>
        <w:t xml:space="preserve">MIT Sloan Management Review, “The Emerging Agentic Enterprise” (2025)</w:t>
      </w:r>
    </w:p>
    <w:p>
      <w:pPr>
        <w:pStyle w:val="ListParagraph"/>
        <w:numPr>
          <w:ilvl w:val="0"/>
          <w:numId w:val="2"/>
        </w:numPr>
        <w:spacing w:after="80" w:line="276"/>
      </w:pPr>
      <w:r>
        <w:rPr>
          <w:rFonts w:ascii="Arial" w:cs="Arial" w:eastAsia="Arial" w:hAnsi="Arial"/>
          <w:color w:val="1C1C1C"/>
          <w:sz w:val="21"/>
          <w:szCs w:val="21"/>
        </w:rPr>
        <w:t xml:space="preserve">World Economic Forum, “Using AI Agents in Organizations Today and in the Future” (December 2025)</w:t>
      </w:r>
    </w:p>
    <w:p>
      <w:pPr>
        <w:pStyle w:val="ListParagraph"/>
        <w:numPr>
          <w:ilvl w:val="0"/>
          <w:numId w:val="2"/>
        </w:numPr>
        <w:spacing w:after="80" w:line="276"/>
      </w:pPr>
      <w:r>
        <w:rPr>
          <w:rFonts w:ascii="Arial" w:cs="Arial" w:eastAsia="Arial" w:hAnsi="Arial"/>
          <w:color w:val="1C1C1C"/>
          <w:sz w:val="21"/>
          <w:szCs w:val="21"/>
        </w:rPr>
        <w:t xml:space="preserve">IBM, “The Trends That Will Shape AI and Tech in 2026”</w:t>
      </w:r>
    </w:p>
    <w:p>
      <w:pPr>
        <w:pStyle w:val="ListParagraph"/>
        <w:numPr>
          <w:ilvl w:val="0"/>
          <w:numId w:val="2"/>
        </w:numPr>
        <w:spacing w:after="80" w:line="276"/>
      </w:pPr>
      <w:r>
        <w:rPr>
          <w:rFonts w:ascii="Arial" w:cs="Arial" w:eastAsia="Arial" w:hAnsi="Arial"/>
          <w:color w:val="1C1C1C"/>
          <w:sz w:val="21"/>
          <w:szCs w:val="21"/>
        </w:rPr>
        <w:t xml:space="preserve">Cloudera, “2026 Predictions: Architecture, Governance, and AI Trends”</w:t>
      </w:r>
    </w:p>
    <w:p>
      <w:pPr>
        <w:spacing w:after="120"/>
      </w:pPr>
    </w:p>
    <w:p>
      <w:pPr>
        <w:spacing w:after="160" w:line="276"/>
      </w:pPr>
      <w:r>
        <w:rPr>
          <w:rFonts w:ascii="Arial" w:cs="Arial" w:eastAsia="Arial" w:hAnsi="Arial"/>
          <w:b/>
          <w:bCs/>
          <w:color w:val="1C1C1C"/>
          <w:sz w:val="21"/>
          <w:szCs w:val="21"/>
        </w:rPr>
        <w:t xml:space="preserve">Governance and Security:</w:t>
      </w:r>
    </w:p>
    <w:p>
      <w:pPr>
        <w:spacing w:after="120"/>
      </w:pPr>
    </w:p>
    <w:p>
      <w:pPr>
        <w:pStyle w:val="ListParagraph"/>
        <w:numPr>
          <w:ilvl w:val="0"/>
          <w:numId w:val="2"/>
        </w:numPr>
        <w:spacing w:after="80" w:line="276"/>
      </w:pPr>
      <w:r>
        <w:rPr>
          <w:rFonts w:ascii="Arial" w:cs="Arial" w:eastAsia="Arial" w:hAnsi="Arial"/>
          <w:color w:val="1C1C1C"/>
          <w:sz w:val="21"/>
          <w:szCs w:val="21"/>
        </w:rPr>
        <w:t xml:space="preserve">AWS, “The Agentic AI Security Scoping Matrix” (2025)</w:t>
      </w:r>
    </w:p>
    <w:p>
      <w:pPr>
        <w:pStyle w:val="ListParagraph"/>
        <w:numPr>
          <w:ilvl w:val="0"/>
          <w:numId w:val="2"/>
        </w:numPr>
        <w:spacing w:after="80" w:line="276"/>
      </w:pPr>
      <w:r>
        <w:rPr>
          <w:rFonts w:ascii="Arial" w:cs="Arial" w:eastAsia="Arial" w:hAnsi="Arial"/>
          <w:color w:val="1C1C1C"/>
          <w:sz w:val="21"/>
          <w:szCs w:val="21"/>
        </w:rPr>
        <w:t xml:space="preserve">Palo Alto Networks, “A Complete Guide to Agentic AI Governance” (2025)</w:t>
      </w:r>
    </w:p>
    <w:p>
      <w:pPr>
        <w:pStyle w:val="ListParagraph"/>
        <w:numPr>
          <w:ilvl w:val="0"/>
          <w:numId w:val="2"/>
        </w:numPr>
        <w:spacing w:after="80" w:line="276"/>
      </w:pPr>
      <w:r>
        <w:rPr>
          <w:rFonts w:ascii="Arial" w:cs="Arial" w:eastAsia="Arial" w:hAnsi="Arial"/>
          <w:color w:val="1C1C1C"/>
          <w:sz w:val="21"/>
          <w:szCs w:val="21"/>
        </w:rPr>
        <w:t xml:space="preserve">Knight First Amendment Institute, “Levels of Autonomy for AI Agents”</w:t>
      </w:r>
    </w:p>
    <w:p>
      <w:pPr>
        <w:pStyle w:val="ListParagraph"/>
        <w:numPr>
          <w:ilvl w:val="0"/>
          <w:numId w:val="2"/>
        </w:numPr>
        <w:spacing w:after="80" w:line="276"/>
      </w:pPr>
      <w:r>
        <w:rPr>
          <w:rFonts w:ascii="Arial" w:cs="Arial" w:eastAsia="Arial" w:hAnsi="Arial"/>
          <w:color w:val="1C1C1C"/>
          <w:sz w:val="21"/>
          <w:szCs w:val="21"/>
        </w:rPr>
        <w:t xml:space="preserve">Google Cloud, “Lessons from 2025 on Agents and Trust”</w:t>
      </w:r>
    </w:p>
    <w:p>
      <w:pPr>
        <w:pStyle w:val="ListParagraph"/>
        <w:numPr>
          <w:ilvl w:val="0"/>
          <w:numId w:val="2"/>
        </w:numPr>
        <w:spacing w:after="80" w:line="276"/>
      </w:pPr>
      <w:r>
        <w:rPr>
          <w:rFonts w:ascii="Arial" w:cs="Arial" w:eastAsia="Arial" w:hAnsi="Arial"/>
          <w:color w:val="1C1C1C"/>
          <w:sz w:val="21"/>
          <w:szCs w:val="21"/>
        </w:rPr>
        <w:t xml:space="preserve">Permit.io, “Human-in-the-Loop for AI Agents: Best Practices”</w:t>
      </w:r>
    </w:p>
    <w:p>
      <w:pPr>
        <w:pStyle w:val="ListParagraph"/>
        <w:numPr>
          <w:ilvl w:val="0"/>
          <w:numId w:val="2"/>
        </w:numPr>
        <w:spacing w:after="80" w:line="276"/>
      </w:pPr>
      <w:r>
        <w:rPr>
          <w:rFonts w:ascii="Arial" w:cs="Arial" w:eastAsia="Arial" w:hAnsi="Arial"/>
          <w:color w:val="1C1C1C"/>
          <w:sz w:val="21"/>
          <w:szCs w:val="21"/>
        </w:rPr>
        <w:t xml:space="preserve">Parseur, “Future of Human-in-the-Loop AI (2026)”</w:t>
      </w:r>
    </w:p>
    <w:p>
      <w:pPr>
        <w:spacing w:after="120"/>
      </w:pPr>
    </w:p>
    <w:p>
      <w:pPr>
        <w:spacing w:after="160" w:line="276"/>
      </w:pPr>
      <w:r>
        <w:rPr>
          <w:rFonts w:ascii="Arial" w:cs="Arial" w:eastAsia="Arial" w:hAnsi="Arial"/>
          <w:b/>
          <w:bCs/>
          <w:color w:val="1C1C1C"/>
          <w:sz w:val="21"/>
          <w:szCs w:val="21"/>
        </w:rPr>
        <w:t xml:space="preserve">Technical Architecture:</w:t>
      </w:r>
    </w:p>
    <w:p>
      <w:pPr>
        <w:spacing w:after="120"/>
      </w:pPr>
    </w:p>
    <w:p>
      <w:pPr>
        <w:pStyle w:val="ListParagraph"/>
        <w:numPr>
          <w:ilvl w:val="0"/>
          <w:numId w:val="2"/>
        </w:numPr>
        <w:spacing w:after="80" w:line="276"/>
      </w:pPr>
      <w:r>
        <w:rPr>
          <w:rFonts w:ascii="Arial" w:cs="Arial" w:eastAsia="Arial" w:hAnsi="Arial"/>
          <w:color w:val="1C1C1C"/>
          <w:sz w:val="21"/>
          <w:szCs w:val="21"/>
        </w:rPr>
        <w:t xml:space="preserve">Anthropic, “Equipping Agents for the Real World with Agent Skills” (2025)</w:t>
      </w:r>
    </w:p>
    <w:p>
      <w:pPr>
        <w:pStyle w:val="ListParagraph"/>
        <w:numPr>
          <w:ilvl w:val="0"/>
          <w:numId w:val="2"/>
        </w:numPr>
        <w:spacing w:after="80" w:line="276"/>
      </w:pPr>
      <w:r>
        <w:rPr>
          <w:rFonts w:ascii="Arial" w:cs="Arial" w:eastAsia="Arial" w:hAnsi="Arial"/>
          <w:color w:val="1C1C1C"/>
          <w:sz w:val="21"/>
          <w:szCs w:val="21"/>
        </w:rPr>
        <w:t xml:space="preserve">Anthropic, “Code Execution with MCP” (2025)</w:t>
      </w:r>
    </w:p>
    <w:p>
      <w:pPr>
        <w:pStyle w:val="ListParagraph"/>
        <w:numPr>
          <w:ilvl w:val="0"/>
          <w:numId w:val="2"/>
        </w:numPr>
        <w:spacing w:after="80" w:line="276"/>
      </w:pPr>
      <w:r>
        <w:rPr>
          <w:rFonts w:ascii="Arial" w:cs="Arial" w:eastAsia="Arial" w:hAnsi="Arial"/>
          <w:color w:val="1C1C1C"/>
          <w:sz w:val="21"/>
          <w:szCs w:val="21"/>
        </w:rPr>
        <w:t xml:space="preserve">Pento, “A Year of MCP: From Internal Experiment to Industry Standard” (2025)</w:t>
      </w:r>
    </w:p>
    <w:p>
      <w:pPr>
        <w:pStyle w:val="ListParagraph"/>
        <w:numPr>
          <w:ilvl w:val="0"/>
          <w:numId w:val="2"/>
        </w:numPr>
        <w:spacing w:after="80" w:line="276"/>
      </w:pPr>
      <w:r>
        <w:rPr>
          <w:rFonts w:ascii="Arial" w:cs="Arial" w:eastAsia="Arial" w:hAnsi="Arial"/>
          <w:color w:val="1C1C1C"/>
          <w:sz w:val="21"/>
          <w:szCs w:val="21"/>
        </w:rPr>
        <w:t xml:space="preserve">The New Stack, “Agent Skills: Anthropic’s Next Bid to Define AI Standards”</w:t>
      </w:r>
    </w:p>
    <w:p>
      <w:pPr>
        <w:pStyle w:val="ListParagraph"/>
        <w:numPr>
          <w:ilvl w:val="0"/>
          <w:numId w:val="2"/>
        </w:numPr>
        <w:spacing w:after="80" w:line="276"/>
      </w:pPr>
      <w:r>
        <w:rPr>
          <w:rFonts w:ascii="Arial" w:cs="Arial" w:eastAsia="Arial" w:hAnsi="Arial"/>
          <w:color w:val="1C1C1C"/>
          <w:sz w:val="21"/>
          <w:szCs w:val="21"/>
        </w:rPr>
        <w:t xml:space="preserve">AgileSoftLabs, “How to Build Enterprise AI Agents in 2026”</w:t>
      </w:r>
    </w:p>
    <w:p>
      <w:pPr>
        <w:pStyle w:val="ListParagraph"/>
        <w:numPr>
          <w:ilvl w:val="0"/>
          <w:numId w:val="2"/>
        </w:numPr>
        <w:spacing w:after="80" w:line="276"/>
      </w:pPr>
      <w:r>
        <w:rPr>
          <w:rFonts w:ascii="Arial" w:cs="Arial" w:eastAsia="Arial" w:hAnsi="Arial"/>
          <w:color w:val="1C1C1C"/>
          <w:sz w:val="21"/>
          <w:szCs w:val="21"/>
        </w:rPr>
        <w:t xml:space="preserve">Machine Learning Mastery, “7 Agentic AI Trends to Watch in 2026”</w:t>
      </w:r>
    </w:p>
    <w:p>
      <w:pPr>
        <w:spacing w:after="120"/>
      </w:pPr>
    </w:p>
    <w:p>
      <w:pPr>
        <w:spacing w:after="160" w:line="276"/>
      </w:pPr>
      <w:r>
        <w:rPr>
          <w:rFonts w:ascii="Arial" w:cs="Arial" w:eastAsia="Arial" w:hAnsi="Arial"/>
          <w:b/>
          <w:bCs/>
          <w:color w:val="1C1C1C"/>
          <w:sz w:val="21"/>
          <w:szCs w:val="21"/>
        </w:rPr>
        <w:t xml:space="preserve">Government and Public Sector:</w:t>
      </w:r>
    </w:p>
    <w:p>
      <w:pPr>
        <w:spacing w:after="120"/>
      </w:pPr>
    </w:p>
    <w:p>
      <w:pPr>
        <w:pStyle w:val="ListParagraph"/>
        <w:numPr>
          <w:ilvl w:val="0"/>
          <w:numId w:val="2"/>
        </w:numPr>
        <w:spacing w:after="80" w:line="276"/>
      </w:pPr>
      <w:r>
        <w:rPr>
          <w:rFonts w:ascii="Arial" w:cs="Arial" w:eastAsia="Arial" w:hAnsi="Arial"/>
          <w:color w:val="1C1C1C"/>
          <w:sz w:val="21"/>
          <w:szCs w:val="21"/>
        </w:rPr>
        <w:t xml:space="preserve">U.S. GAO, “Artificial Intelligence: Generative AI Use and Management at Federal Agencies” (GAO-25-107653)</w:t>
      </w:r>
    </w:p>
    <w:p>
      <w:pPr>
        <w:pStyle w:val="ListParagraph"/>
        <w:numPr>
          <w:ilvl w:val="0"/>
          <w:numId w:val="2"/>
        </w:numPr>
        <w:spacing w:after="80" w:line="276"/>
      </w:pPr>
      <w:r>
        <w:rPr>
          <w:rFonts w:ascii="Arial" w:cs="Arial" w:eastAsia="Arial" w:hAnsi="Arial"/>
          <w:color w:val="1C1C1C"/>
          <w:sz w:val="21"/>
          <w:szCs w:val="21"/>
        </w:rPr>
        <w:t xml:space="preserve">Center for Democracy and Technology, “State Legislatures’ Focus on Public Sector AI Use” (2025)</w:t>
      </w:r>
    </w:p>
    <w:p>
      <w:pPr>
        <w:pStyle w:val="ListParagraph"/>
        <w:numPr>
          <w:ilvl w:val="0"/>
          <w:numId w:val="2"/>
        </w:numPr>
        <w:spacing w:after="80" w:line="276"/>
      </w:pPr>
      <w:r>
        <w:rPr>
          <w:rFonts w:ascii="Arial" w:cs="Arial" w:eastAsia="Arial" w:hAnsi="Arial"/>
          <w:color w:val="1C1C1C"/>
          <w:sz w:val="21"/>
          <w:szCs w:val="21"/>
        </w:rPr>
        <w:t xml:space="preserve">Future of Privacy Forum, “The State of State AI: Legislative Approaches in 2025”</w:t>
      </w:r>
    </w:p>
    <w:p>
      <w:pPr>
        <w:pStyle w:val="ListParagraph"/>
        <w:numPr>
          <w:ilvl w:val="0"/>
          <w:numId w:val="2"/>
        </w:numPr>
        <w:spacing w:after="80" w:line="276"/>
      </w:pPr>
      <w:r>
        <w:rPr>
          <w:rFonts w:ascii="Arial" w:cs="Arial" w:eastAsia="Arial" w:hAnsi="Arial"/>
          <w:color w:val="1C1C1C"/>
          <w:sz w:val="21"/>
          <w:szCs w:val="21"/>
        </w:rPr>
        <w:t xml:space="preserve">SAS, “Government AI Predictions for 2026”</w:t>
      </w:r>
    </w:p>
    <w:p>
      <w:pPr>
        <w:pStyle w:val="ListParagraph"/>
        <w:numPr>
          <w:ilvl w:val="0"/>
          <w:numId w:val="2"/>
        </w:numPr>
        <w:spacing w:after="80" w:line="276"/>
      </w:pPr>
      <w:r>
        <w:rPr>
          <w:rFonts w:ascii="Arial" w:cs="Arial" w:eastAsia="Arial" w:hAnsi="Arial"/>
          <w:color w:val="1C1C1C"/>
          <w:sz w:val="21"/>
          <w:szCs w:val="21"/>
        </w:rPr>
        <w:t xml:space="preserve">Federal News Network, “Why AI Agents Won’t Replace Government Workers Anytime Soon” (December 2025)</w:t>
      </w:r>
    </w:p>
    <w:p>
      <w:pPr>
        <w:pStyle w:val="ListParagraph"/>
        <w:numPr>
          <w:ilvl w:val="0"/>
          <w:numId w:val="2"/>
        </w:numPr>
        <w:spacing w:after="80" w:line="276"/>
      </w:pPr>
      <w:r>
        <w:rPr>
          <w:rFonts w:ascii="Arial" w:cs="Arial" w:eastAsia="Arial" w:hAnsi="Arial"/>
          <w:color w:val="1C1C1C"/>
          <w:sz w:val="21"/>
          <w:szCs w:val="21"/>
        </w:rPr>
        <w:t xml:space="preserve">AI Center for Government, Partnership for Public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POPVOX Foundation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WRK v2 Strategic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2026-02-20T14:52:40.727Z</dcterms:created>
  <dcterms:modified xsi:type="dcterms:W3CDTF">2026-02-20T14:52:40.728Z</dcterms:modified>
</cp:coreProperties>
</file>

<file path=docProps/custom.xml><?xml version="1.0" encoding="utf-8"?>
<Properties xmlns="http://schemas.openxmlformats.org/officeDocument/2006/custom-properties" xmlns:vt="http://schemas.openxmlformats.org/officeDocument/2006/docPropsVTypes"/>
</file>