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46921eec559bafd51c03e41f64e467b0658c36"/>
    <w:p>
      <w:pPr>
        <w:pStyle w:val="Heading1"/>
      </w:pPr>
      <w:r>
        <w:t xml:space="preserve">Note P44 — EEG-MI-REEL : la chaîne lit-elle l’intention motrice ?</w:t>
      </w:r>
    </w:p>
    <w:p>
      <w:pPr>
        <w:pStyle w:val="FirstParagraph"/>
      </w:pPr>
      <w:r>
        <w:rPr>
          <w:bCs/>
          <w:b/>
        </w:rPr>
        <w:t xml:space="preserve">Patrice Portemann — Machine Noétique</w:t>
      </w:r>
      <w:r>
        <w:t xml:space="preserve"> </w:t>
      </w:r>
      <w:r>
        <w:t xml:space="preserve">31 août 2026 — réponse mesurée à la question « drone piloté par la pensée »</w:t>
      </w:r>
    </w:p>
    <w:bookmarkStart w:id="20" w:name="objet-et-discipline"/>
    <w:p>
      <w:pPr>
        <w:pStyle w:val="Heading2"/>
      </w:pPr>
      <w:r>
        <w:t xml:space="preserve">1. Objet et discipline</w:t>
      </w:r>
    </w:p>
    <w:p>
      <w:pPr>
        <w:pStyle w:val="FirstParagraph"/>
      </w:pPr>
      <w:r>
        <w:t xml:space="preserve">Premier test de la chaîne ASH → M̂ sur de l’</w:t>
      </w:r>
      <w:r>
        <w:rPr>
          <w:bCs/>
          <w:b/>
        </w:rPr>
        <w:t xml:space="preserve">EEG réel d’imagerie</w:t>
      </w:r>
      <w:r>
        <w:rPr>
          <w:bCs/>
          <w:b/>
        </w:rPr>
        <w:t xml:space="preserve"> </w:t>
      </w:r>
      <w:r>
        <w:rPr>
          <w:bCs/>
          <w:b/>
        </w:rPr>
        <w:t xml:space="preserve">motrice</w:t>
      </w:r>
      <w:r>
        <w:t xml:space="preserve"> </w:t>
      </w:r>
      <w:r>
        <w:t xml:space="preserve">: BCICIV-2a (BCI Competition IV, dataset 2a — la référence</w:t>
      </w:r>
      <w:r>
        <w:t xml:space="preserve"> </w:t>
      </w:r>
      <w:r>
        <w:t xml:space="preserve">mondiale du domaine), 9 sujets, 250 Hz, 288 essais/sujet (gauche, droite,</w:t>
      </w:r>
      <w:r>
        <w:t xml:space="preserve"> </w:t>
      </w:r>
      <w:r>
        <w:t xml:space="preserve">pieds, langue), zip figé SHA-256</w:t>
      </w:r>
      <w:r>
        <w:t xml:space="preserve"> </w:t>
      </w:r>
      <w:r>
        <w:rPr>
          <w:rStyle w:val="VerbatimChar"/>
        </w:rPr>
        <w:t xml:space="preserve">65fe93cb…</w:t>
      </w:r>
      <w:r>
        <w:t xml:space="preserve">, sujets figés</w:t>
      </w:r>
      <w:r>
        <w:t xml:space="preserve"> </w:t>
      </w:r>
      <w:r>
        <w:t xml:space="preserve">individuellement. S = ASH v1.0.0 figée (copie byte-identique). Règle de</w:t>
      </w:r>
      <w:r>
        <w:t xml:space="preserve"> </w:t>
      </w:r>
      <w:r>
        <w:t xml:space="preserve">décision</w:t>
      </w:r>
      <w:r>
        <w:t xml:space="preserve"> </w:t>
      </w:r>
      <w:r>
        <w:rPr>
          <w:bCs/>
          <w:b/>
        </w:rPr>
        <w:t xml:space="preserve">zéro paramètre, zéro calibration, zéro apprentissage</w:t>
      </w:r>
      <w:r>
        <w:t xml:space="preserve"> </w:t>
      </w:r>
      <w:r>
        <w:t xml:space="preserve">:</w:t>
      </w:r>
      <w:r>
        <w:t xml:space="preserve"> </w:t>
      </w:r>
      <w:r>
        <w:t xml:space="preserve">asymétrie d’occupation de la bande μ (8–13 Hz, notes 36–44 de la grille)</w:t>
      </w:r>
      <w:r>
        <w:t xml:space="preserve"> </w:t>
      </w:r>
      <w:r>
        <w:t xml:space="preserve">entre C3 et C4 — l’ERD d’imagerie motrice étant controlatérale.</w:t>
      </w:r>
      <w:r>
        <w:t xml:space="preserve"> </w:t>
      </w:r>
      <w:r>
        <w:t xml:space="preserve">Artefacts non rejetés (déclaré).</w:t>
      </w:r>
      <w:r>
        <w:t xml:space="preserve"> </w:t>
      </w:r>
      <w:r>
        <w:rPr>
          <w:bCs/>
          <w:b/>
        </w:rPr>
        <w:t xml:space="preserve">ReN non utilisé</w:t>
      </w:r>
      <w:r>
        <w:t xml:space="preserve"> </w:t>
      </w:r>
      <w:r>
        <w:t xml:space="preserve">(F16 — occupation</w:t>
      </w:r>
      <w:r>
        <w:t xml:space="preserve"> </w:t>
      </w:r>
      <w:r>
        <w:t xml:space="preserve">relative, invariante d’amplitude par construction).</w:t>
      </w:r>
    </w:p>
    <w:bookmarkEnd w:id="20"/>
    <w:bookmarkStart w:id="21" w:name="X79e334876f8afcb6b872cdc1cc48a1982648e8c"/>
    <w:p>
      <w:pPr>
        <w:pStyle w:val="Heading2"/>
      </w:pPr>
      <w:r>
        <w:t xml:space="preserve">2. Résultat : les deux règles zéro paramètre sont réfutées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Règle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Précision moyenne (seuil 0,60)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Sujets significatifs (seuil 5/9)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— asymétrie absolue A = o_C3/(o_C3+o_C4)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1/9</w:t>
            </w:r>
            <w:r>
              <w:t xml:space="preserve"> </w:t>
            </w:r>
            <w:r>
              <w:t xml:space="preserve">(A03 : 0,771)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RÉFUTÉE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— ERD relative à la baseline intra-essai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RÉFUTÉE (addendum pré-enregistré avant exécution)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Leviers effondrés comme prévu</w:t>
      </w:r>
      <w:r>
        <w:t xml:space="preserve"> </w:t>
      </w:r>
      <w:r>
        <w:t xml:space="preserve">(P44-2 tenue) : bande θ 0,479 et</w:t>
      </w:r>
      <w:r>
        <w:t xml:space="preserve"> </w:t>
      </w:r>
      <w:r>
        <w:t xml:space="preserve">paire postérieure P1/P2 0,514 — ce qui reste de signal vit bien dans la</w:t>
      </w:r>
      <w:r>
        <w:t xml:space="preserve"> </w:t>
      </w:r>
      <w:r>
        <w:t xml:space="preserve">bande μ et les canaux moteurs. La machine mesure donc proprement : il y</w:t>
      </w:r>
      <w:r>
        <w:t xml:space="preserve"> </w:t>
      </w:r>
      <w:r>
        <w:t xml:space="preserve">a un effet, mais il est trop faible en essai unique sans calibration.</w:t>
      </w:r>
    </w:p>
    <w:p>
      <w:pPr>
        <w:pStyle w:val="BodyText"/>
      </w:pPr>
      <w:r>
        <w:t xml:space="preserve">Le sujet A03 (0,771, p &lt; 10⁻⁹) est lisible — cohérent avec la</w:t>
      </w:r>
      <w:r>
        <w:t xml:space="preserve"> </w:t>
      </w:r>
      <w:r>
        <w:t xml:space="preserve">littérature de la compétition (meilleur sujet du dataset) :</w:t>
      </w:r>
      <w:r>
        <w:t xml:space="preserve"> </w:t>
      </w:r>
      <w:r>
        <w:rPr>
          <w:bCs/>
          <w:b/>
        </w:rPr>
        <w:t xml:space="preserve">l’«</w:t>
      </w:r>
      <w:r>
        <w:rPr>
          <w:bCs/>
          <w:b/>
        </w:rPr>
        <w:t xml:space="preserve"> </w:t>
      </w:r>
      <w:r>
        <w:rPr>
          <w:bCs/>
          <w:b/>
        </w:rPr>
        <w:t xml:space="preserve">illettrisme BCI » est mesuré par la chaîne</w:t>
      </w:r>
      <w:r>
        <w:t xml:space="preserve">, pas seulement cité.</w:t>
      </w:r>
    </w:p>
    <w:bookmarkEnd w:id="21"/>
    <w:bookmarkStart w:id="22" w:name="réponse-à-la-question-du-drone"/>
    <w:p>
      <w:pPr>
        <w:pStyle w:val="Heading2"/>
      </w:pPr>
      <w:r>
        <w:t xml:space="preserve">3. Réponse à la question du drone</w:t>
      </w:r>
    </w:p>
    <w:p>
      <w:pPr>
        <w:pStyle w:val="FirstParagraph"/>
      </w:pPr>
      <w:r>
        <w:rPr>
          <w:bCs/>
          <w:b/>
        </w:rPr>
        <w:t xml:space="preserve">Non, pas aujourd’hui, pas à zéro paramètre en essai unique</w:t>
      </w:r>
      <w:r>
        <w:t xml:space="preserve"> </w:t>
      </w:r>
      <w:r>
        <w:t xml:space="preserve">— et c’est</w:t>
      </w:r>
      <w:r>
        <w:t xml:space="preserve"> </w:t>
      </w:r>
      <w:r>
        <w:t xml:space="preserve">désormais un résultat publié avec falsifieur, pas une opinion. La voie de</w:t>
      </w:r>
      <w:r>
        <w:t xml:space="preserve"> </w:t>
      </w:r>
      <w:r>
        <w:t xml:space="preserve">fermeture est mesurée et déclarée (registre F17)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Agrégation d’essais</w:t>
      </w:r>
      <w:r>
        <w:t xml:space="preserve"> </w:t>
      </w:r>
      <w:r>
        <w:t xml:space="preserve">: si le signal existe (A03 le prouve), voter</w:t>
      </w:r>
      <w:r>
        <w:t xml:space="preserve"> </w:t>
      </w:r>
      <w:r>
        <w:t xml:space="preserve">sur N essais fait croître la précision en √N — pilotage</w:t>
      </w:r>
      <w:r>
        <w:t xml:space="preserve"> </w:t>
      </w:r>
      <w:r>
        <w:rPr>
          <w:iCs/>
          <w:i/>
        </w:rPr>
        <w:t xml:space="preserve">lent</w:t>
      </w:r>
      <w:r>
        <w:t xml:space="preserve"> </w:t>
      </w:r>
      <w:r>
        <w:t xml:space="preserve">(une commande par 5–10 s) mais honnête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Baseline sujet figée comme D</w:t>
      </w:r>
      <w:r>
        <w:t xml:space="preserve"> </w:t>
      </w:r>
      <w:r>
        <w:t xml:space="preserve">: la signature de repos du sujet</w:t>
      </w:r>
      <w:r>
        <w:t xml:space="preserve"> </w:t>
      </w:r>
      <w:r>
        <w:t xml:space="preserve">devient une donnée de référence déclarée (conforme C12.1 — une</w:t>
      </w:r>
      <w:r>
        <w:t xml:space="preserve"> </w:t>
      </w:r>
      <w:r>
        <w:t xml:space="preserve">donnée, pas un paramètre fitté)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Filtrage spatial dérivé</w:t>
      </w:r>
      <w:r>
        <w:t xml:space="preserve"> </w:t>
      </w:r>
      <w:r>
        <w:t xml:space="preserve">: CSP est ajusté sur données — interdit ;</w:t>
      </w:r>
      <w:r>
        <w:t xml:space="preserve"> </w:t>
      </w:r>
      <w:r>
        <w:t xml:space="preserve">une variante structurelle (combiner C3/C4/CP3/CP4 par règle d’anatomie</w:t>
      </w:r>
      <w:r>
        <w:t xml:space="preserve"> </w:t>
      </w:r>
      <w:r>
        <w:t xml:space="preserve">déclarée) reste à dériver.</w:t>
      </w:r>
    </w:p>
    <w:p>
      <w:pPr>
        <w:pStyle w:val="FirstParagraph"/>
      </w:pPr>
      <w:r>
        <w:t xml:space="preserve">Le casque noétique reste pertinent (O(1) embarqué mesuré, verdict (V, Σ)</w:t>
      </w:r>
      <w:r>
        <w:t xml:space="preserve"> </w:t>
      </w:r>
      <w:r>
        <w:t xml:space="preserve">qui</w:t>
      </w:r>
      <w:r>
        <w:t xml:space="preserve"> </w:t>
      </w:r>
      <w:r>
        <w:rPr>
          <w:iCs/>
          <w:i/>
        </w:rPr>
        <w:t xml:space="preserve">refuse</w:t>
      </w:r>
      <w:r>
        <w:t xml:space="preserve"> </w:t>
      </w:r>
      <w:r>
        <w:t xml:space="preserve">de commander quand Σ chute — la sécurité structurelle que</w:t>
      </w:r>
      <w:r>
        <w:t xml:space="preserve"> </w:t>
      </w:r>
      <w:r>
        <w:t xml:space="preserve">le ML embarqué n’a pas) — mais la lecture fine de l’IM 4-classes</w:t>
      </w:r>
      <w:r>
        <w:t xml:space="preserve"> </w:t>
      </w:r>
      <w:r>
        <w:t xml:space="preserve">exige la fermeture de F17.</w:t>
      </w:r>
    </w:p>
    <w:bookmarkEnd w:id="22"/>
    <w:bookmarkStart w:id="23" w:name="X6f98b49416ad30906bc332aca94a1bc87a276a4"/>
    <w:p>
      <w:pPr>
        <w:pStyle w:val="Heading2"/>
      </w:pPr>
      <w:r>
        <w:t xml:space="preserve">4. Effet de bord obligatoire (conséquence de F16)</w:t>
      </w:r>
    </w:p>
    <w:p>
      <w:pPr>
        <w:pStyle w:val="FirstParagraph"/>
      </w:pPr>
      <w:r>
        <w:t xml:space="preserve">Le benchmark figé de</w:t>
      </w:r>
      <w:r>
        <w:t xml:space="preserve"> </w:t>
      </w:r>
      <w:r>
        <w:rPr>
          <w:rStyle w:val="VerbatimChar"/>
        </w:rPr>
        <w:t xml:space="preserve">noetic-ash</w:t>
      </w:r>
      <w:r>
        <w:t xml:space="preserve"> </w:t>
      </w:r>
      <w:r>
        <w:t xml:space="preserve">classait « EEG intention → Quantique</w:t>
      </w:r>
      <w:r>
        <w:t xml:space="preserve"> </w:t>
      </w:r>
      <w:r>
        <w:t xml:space="preserve">(ReN ≈ 41) ». ReN étant réfuté comme invariant d’échelle (P43/F16),</w:t>
      </w:r>
      <w:r>
        <w:t xml:space="preserve"> </w:t>
      </w:r>
      <w:r>
        <w:t xml:space="preserve">cette classification n’est</w:t>
      </w:r>
      <w:r>
        <w:t xml:space="preserve"> </w:t>
      </w:r>
      <w:r>
        <w:rPr>
          <w:bCs/>
          <w:b/>
        </w:rPr>
        <w:t xml:space="preserve">pas portable</w:t>
      </w:r>
      <w:r>
        <w:t xml:space="preserve"> </w:t>
      </w:r>
      <w:r>
        <w:t xml:space="preserve">entre sujets ou gains :</w:t>
      </w:r>
      <w:r>
        <w:t xml:space="preserve"> </w:t>
      </w:r>
      <w:r>
        <w:t xml:space="preserve">rejouer les benchmarks EEG du dépôt sur invariants normalisés est une</w:t>
      </w:r>
      <w:r>
        <w:t xml:space="preserve"> </w:t>
      </w:r>
      <w:r>
        <w:t xml:space="preserve">suite déclarée.</w:t>
      </w:r>
    </w:p>
    <w:bookmarkEnd w:id="23"/>
    <w:bookmarkStart w:id="24" w:name="artefacts"/>
    <w:p>
      <w:pPr>
        <w:pStyle w:val="Heading2"/>
      </w:pPr>
      <w:r>
        <w:t xml:space="preserve">5. Artefacts</w:t>
      </w:r>
    </w:p>
    <w:p>
      <w:pPr>
        <w:pStyle w:val="FirstParagraph"/>
      </w:pPr>
      <w:r>
        <w:rPr>
          <w:rStyle w:val="VerbatimChar"/>
        </w:rPr>
        <w:t xml:space="preserve">p44_eeg_mi_reel.py</w:t>
      </w:r>
      <w:r>
        <w:t xml:space="preserve"> </w:t>
      </w:r>
      <w:r>
        <w:t xml:space="preserve">(sha</w:t>
      </w:r>
      <w:r>
        <w:t xml:space="preserve"> </w:t>
      </w:r>
      <w:r>
        <w:rPr>
          <w:rStyle w:val="VerbatimChar"/>
        </w:rPr>
        <w:t xml:space="preserve">c305614e…</w:t>
      </w:r>
      <w:r>
        <w:t xml:space="preserve">) ·</w:t>
      </w:r>
      <w:r>
        <w:t xml:space="preserve"> </w:t>
      </w:r>
      <w:r>
        <w:rPr>
          <w:rStyle w:val="VerbatimChar"/>
        </w:rPr>
        <w:t xml:space="preserve">p44_eeg_mi_reel_verdict.json</w:t>
      </w:r>
      <w:r>
        <w:t xml:space="preserve"> </w:t>
      </w:r>
      <w:r>
        <w:t xml:space="preserve">· dataset BCICIV-2a (zip SHA</w:t>
      </w:r>
      <w:r>
        <w:t xml:space="preserve"> </w:t>
      </w:r>
      <w:r>
        <w:rPr>
          <w:rStyle w:val="VerbatimChar"/>
        </w:rPr>
        <w:t xml:space="preserve">65fe93cb…</w:t>
      </w:r>
      <w:r>
        <w:t xml:space="preserve">, sujets SHA publiés dans le verdict ; données externes non</w:t>
      </w:r>
      <w:r>
        <w:t xml:space="preserve"> </w:t>
      </w:r>
      <w:r>
        <w:t xml:space="preserve">commitées — même politique que</w:t>
      </w:r>
      <w:r>
        <w:t xml:space="preserve"> </w:t>
      </w:r>
      <w:r>
        <w:rPr>
          <w:rStyle w:val="VerbatimChar"/>
        </w:rPr>
        <w:t xml:space="preserve">noetic-ash/benchmarks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Verdict P44 : PARTIEL 2/3 — P44-1 réfutée (B3-FAIL publié), leviers</w:t>
      </w:r>
      <w:r>
        <w:rPr>
          <w:bCs/>
          <w:b/>
        </w:rPr>
        <w:t xml:space="preserve"> </w:t>
      </w:r>
      <w:r>
        <w:rPr>
          <w:bCs/>
          <w:b/>
        </w:rPr>
        <w:t xml:space="preserve">tenus, F17 ouverte avec coût de fermeture exact.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2026-08-30T17:18:29Z</dcterms:created>
  <dcterms:modified xsi:type="dcterms:W3CDTF">2026-08-30T17:18:29Z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