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ote-p43-lash-sous-la-machine"/>
    <w:p>
      <w:pPr>
        <w:pStyle w:val="Heading1"/>
      </w:pPr>
      <w:r>
        <w:t xml:space="preserve">Note P43 — L’ASH sous la machine</w:t>
      </w:r>
    </w:p>
    <w:p>
      <w:pPr>
        <w:pStyle w:val="FirstParagraph"/>
      </w:pPr>
      <w:r>
        <w:rPr>
          <w:bCs/>
          <w:b/>
        </w:rPr>
        <w:t xml:space="preserve">Patrice Portemann — Machine Noétique</w:t>
      </w:r>
      <w:r>
        <w:t xml:space="preserve"> </w:t>
      </w:r>
      <w:r>
        <w:t xml:space="preserve">30 août 2026 — le verdict éprouve son instrument d’acquisition</w:t>
      </w:r>
    </w:p>
    <w:bookmarkStart w:id="20" w:name="objet-et-discipline"/>
    <w:p>
      <w:pPr>
        <w:pStyle w:val="Heading2"/>
      </w:pPr>
      <w:r>
        <w:t xml:space="preserve">1. Objet et discipline</w:t>
      </w:r>
    </w:p>
    <w:p>
      <w:pPr>
        <w:pStyle w:val="FirstParagraph"/>
      </w:pPr>
      <w:r>
        <w:t xml:space="preserve">La machine éprouve l’ASH</w:t>
      </w:r>
      <w:r>
        <w:t xml:space="preserve"> </w:t>
      </w:r>
      <w:r>
        <w:rPr>
          <w:bCs/>
          <w:b/>
        </w:rPr>
        <w:t xml:space="preserve">telle que publiée</w:t>
      </w:r>
      <w:r>
        <w:t xml:space="preserve"> </w:t>
      </w:r>
      <w:r>
        <w:t xml:space="preserve">(</w:t>
      </w:r>
      <w:r>
        <w:rPr>
          <w:rStyle w:val="VerbatimChar"/>
        </w:rPr>
        <w:t xml:space="preserve">noetic-ash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ash_core.py</w:t>
      </w:r>
      <w:r>
        <w:t xml:space="preserve"> </w:t>
      </w:r>
      <w:r>
        <w:t xml:space="preserve">v1.0.0, blob git</w:t>
      </w:r>
      <w:r>
        <w:t xml:space="preserve"> </w:t>
      </w:r>
      <w:r>
        <w:rPr>
          <w:rStyle w:val="VerbatimChar"/>
        </w:rPr>
        <w:t xml:space="preserve">c9dd73c2…</w:t>
      </w:r>
      <w:r>
        <w:t xml:space="preserve">, copie figée</w:t>
      </w:r>
      <w:r>
        <w:t xml:space="preserve"> </w:t>
      </w:r>
      <w:r>
        <w:rPr>
          <w:rStyle w:val="VerbatimChar"/>
        </w:rPr>
        <w:t xml:space="preserve">data/p43_ash_core_v100.py</w:t>
      </w:r>
      <w:r>
        <w:t xml:space="preserve">,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338dbda7…</w:t>
      </w:r>
      <w:r>
        <w:t xml:space="preserve"> </w:t>
      </w:r>
      <w:r>
        <w:t xml:space="preserve">— aucune retouche ; contrôle de fidélité C6 : le noyau</w:t>
      </w:r>
      <w:r>
        <w:t xml:space="preserve"> </w:t>
      </w:r>
      <w:r>
        <w:t xml:space="preserve">π-instrumenté au nominal reproduit</w:t>
      </w:r>
      <w:r>
        <w:t xml:space="preserve"> </w:t>
      </w:r>
      <w:r>
        <w:rPr>
          <w:iCs/>
          <w:i/>
        </w:rPr>
        <w:t xml:space="preserve">exactement</w:t>
      </w:r>
      <w:r>
        <w:t xml:space="preserve"> </w:t>
      </w:r>
      <w:r>
        <w:t xml:space="preserve">le noyau figé sur toute la</w:t>
      </w:r>
      <w:r>
        <w:t xml:space="preserve"> </w:t>
      </w:r>
      <w:r>
        <w:t xml:space="preserve">batterie). Les affirmations publiques du README v1.0.0 deviennent des</w:t>
      </w:r>
      <w:r>
        <w:t xml:space="preserve"> </w:t>
      </w:r>
      <w:r>
        <w:t xml:space="preserve">prédictions pré-enregistrées avec tests tuables. Protocole ASH-MACH-1.0</w:t>
      </w:r>
      <w:r>
        <w:t xml:space="preserve"> </w:t>
      </w:r>
      <w:r>
        <w:t xml:space="preserve">gelé ; batterie PERT-BATT-1.0 (héritée d’A1) sur 5 axes de protocole.</w:t>
      </w:r>
    </w:p>
    <w:p>
      <w:pPr>
        <w:pStyle w:val="BodyText"/>
      </w:pPr>
      <w:r>
        <w:t xml:space="preserve">Le chantier a exigé</w:t>
      </w:r>
      <w:r>
        <w:t xml:space="preserve"> </w:t>
      </w:r>
      <w:r>
        <w:rPr>
          <w:bCs/>
          <w:b/>
        </w:rPr>
        <w:t xml:space="preserve">deux addenda</w:t>
      </w:r>
      <w:r>
        <w:t xml:space="preserve"> </w:t>
      </w:r>
      <w:r>
        <w:t xml:space="preserve">(v2, v2.1/v2.2) — chaque échec</w:t>
      </w:r>
      <w:r>
        <w:t xml:space="preserve"> </w:t>
      </w:r>
      <w:r>
        <w:t xml:space="preserve">intermédiaire est conservé dans le verdict JSON, pas effacé.</w:t>
      </w:r>
    </w:p>
    <w:bookmarkEnd w:id="20"/>
    <w:bookmarkStart w:id="21" w:name="verdicts-sur-les-affirmations-publiques"/>
    <w:p>
      <w:pPr>
        <w:pStyle w:val="Heading2"/>
      </w:pPr>
      <w:r>
        <w:t xml:space="preserve">2. Verdicts sur les affirmations publiques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Affirmation (README v1.0.0)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par fenêtre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CONFIRMÉE</w:t>
            </w:r>
            <w:r>
              <w:t xml:space="preserve"> </w:t>
            </w:r>
            <w:r>
              <w:t xml:space="preserve">— temps/fenêtre ×1,1 et mémoire/fenêtre ×1,0 de 8 s à 128 s de signal (critère déclaré &lt;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paramètre ajusté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CONFIRMÉE</w:t>
            </w:r>
            <w:r>
              <w:t xml:space="preserve"> </w:t>
            </w:r>
            <w:r>
              <w:t xml:space="preserve">(structurelle : f0, n_octaves issus de DEFAULTS ou de π déclaré, jamais des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Invariants interprétables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CONFIRMÉE À RÉSOLUTION SUFFISANTE</w:t>
            </w:r>
            <w:r>
              <w:t xml:space="preserve"> </w:t>
            </w:r>
            <w:r>
              <w:t xml:space="preserve">— v1 : 6/8 attentes tenues au nominal ; v2 (haute fréquence) : 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 discriminant de régime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RÉFUTÉE comme invariant physique</w:t>
            </w:r>
            <w:r>
              <w:t xml:space="preserve"> </w:t>
            </w:r>
            <w:r>
              <w:t xml:space="preserve">(pré-enregistré) : balayage d’amplitude à signal inchangé →</w:t>
            </w:r>
            <w:r>
              <w:t xml:space="preserve"> </w:t>
            </w:r>
            <w:r>
              <w:rPr>
                <w:bCs/>
                <w:b/>
              </w:rPr>
              <w:t xml:space="preserve">2 franchissements de seuil de régime</w:t>
            </w:r>
            <w:r>
              <w:t xml:space="preserve">, pente log-log ReN∝A mesurée</w:t>
            </w:r>
            <w:r>
              <w:t xml:space="preserve"> </w:t>
            </w:r>
            <w:r>
              <w:rPr>
                <w:bCs/>
                <w:b/>
              </w:rPr>
              <w:t xml:space="preserve">−0,996</w:t>
            </w:r>
            <w:r>
              <w:t xml:space="preserve"> </w:t>
            </w:r>
            <w:r>
              <w:t xml:space="preserve">(théorie : 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Résolution de grille 2^(1/12) ≈ 5,9 %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AFFINÉE</w:t>
            </w:r>
            <w:r>
              <w:t xml:space="preserve"> </w:t>
            </w:r>
            <w:r>
              <w:t xml:space="preserve">— résolution effective = max(5,9 %, (fs/nperseg)/f) : la claim grille seule est réfutée à basse fréquence, confirmée à f ≫ fs/nperseg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 sur données réelles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CONFIRMÉE</w:t>
            </w:r>
            <w:r>
              <w:t xml:space="preserve"> </w:t>
            </w:r>
            <w:r>
              <w:t xml:space="preserve">sur peigne de spikes (Allen, cellules figées P41)</w:t>
            </w:r>
          </w:p>
        </w:tc>
      </w:tr>
    </w:tbl>
    <w:bookmarkEnd w:id="21"/>
    <w:bookmarkStart w:id="22" w:name="X88e4293d833d292e4bf7d2a09990812013b96d1"/>
    <w:p>
      <w:pPr>
        <w:pStyle w:val="Heading2"/>
      </w:pPr>
      <w:r>
        <w:t xml:space="preserve">3. B3-FAIL publiés (la machine ne s’épargne pas)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Prédictions v1 S2/S3 réfutées</w:t>
      </w:r>
      <w:r>
        <w:t xml:space="preserve"> </w:t>
      </w:r>
      <w:r>
        <w:t xml:space="preserve">: l’accord tempéré basse fréquence</w:t>
      </w:r>
      <w:r>
        <w:t xml:space="preserve"> </w:t>
      </w:r>
      <w:r>
        <w:t xml:space="preserve">(4 notes à 41 % d’écart) donne Rtop=3 au lieu de 4 — la résolution</w:t>
      </w:r>
      <w:r>
        <w:t xml:space="preserve"> </w:t>
      </w:r>
      <w:r>
        <w:rPr>
          <w:bCs/>
          <w:b/>
        </w:rPr>
        <w:t xml:space="preserve">Welch (fs/nperseg = 1 Hz) borne la résolution effective</w:t>
      </w:r>
      <w:r>
        <w:t xml:space="preserve">, pas la</w:t>
      </w:r>
      <w:r>
        <w:t xml:space="preserve"> </w:t>
      </w:r>
      <w:r>
        <w:t xml:space="preserve">grille. Conséquence mesurée forte : une série harmonique vraie</w:t>
      </w:r>
      <w:r>
        <w:t xml:space="preserve"> </w:t>
      </w:r>
      <w:r>
        <w:t xml:space="preserve">(2,4,6,8 Hz) est lue comme sa sous-série d’octaves —</w:t>
      </w:r>
      <w:r>
        <w:t xml:space="preserve"> </w:t>
      </w:r>
      <w:r>
        <w:rPr>
          <w:bCs/>
          <w:b/>
        </w:rPr>
        <w:t xml:space="preserve">parfaitement</w:t>
      </w:r>
      <w:r>
        <w:rPr>
          <w:bCs/>
          <w:b/>
        </w:rPr>
        <w:t xml:space="preserve"> </w:t>
      </w:r>
      <w:r>
        <w:rPr>
          <w:bCs/>
          <w:b/>
        </w:rPr>
        <w:t xml:space="preserve">consonante (Rdyn=0)</w:t>
      </w:r>
      <w:r>
        <w:t xml:space="preserve"> </w:t>
      </w:r>
      <w:r>
        <w:t xml:space="preserve">— par absorption des harmoniques non résolues.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Levier v1 invalide</w:t>
      </w:r>
      <w:r>
        <w:t xml:space="preserve"> </w:t>
      </w:r>
      <w:r>
        <w:t xml:space="preserve">(conception) : la paire basse fréquence est</w:t>
      </w:r>
      <w:r>
        <w:t xml:space="preserve"> </w:t>
      </w:r>
      <w:r>
        <w:t xml:space="preserve">séparable sans Rdyn — publié ; le levier v2 haute fréquence tient</w:t>
      </w:r>
      <w:r>
        <w:t xml:space="preserve"> </w:t>
      </w:r>
      <w:r>
        <w:t xml:space="preserve">(inséparable sans Rdyn, séparable avec —</w:t>
      </w:r>
      <w:r>
        <w:t xml:space="preserve"> </w:t>
      </w:r>
      <w:r>
        <w:rPr>
          <w:bCs/>
          <w:b/>
        </w:rPr>
        <w:t xml:space="preserve">Rdyn est constitutif</w:t>
      </w:r>
      <w:r>
        <w:t xml:space="preserve"> </w:t>
      </w:r>
      <w:r>
        <w:t xml:space="preserve">de</w:t>
      </w:r>
      <w:r>
        <w:t xml:space="preserve"> </w:t>
      </w:r>
      <w:r>
        <w:t xml:space="preserve">la classe accord/harmonique).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C5 v2.0</w:t>
      </w:r>
      <w:r>
        <w:t xml:space="preserve"> </w:t>
      </w:r>
      <w:r>
        <w:t xml:space="preserve">: deux défauts d’encodage de ma part (rate native 200 kHz</w:t>
      </w:r>
      <w:r>
        <w:t xml:space="preserve"> </w:t>
      </w:r>
      <w:r>
        <w:t xml:space="preserve">lue comme 500 Hz ; décimation d’un peigne creux par sous-échantillonnage</w:t>
      </w:r>
      <w:r>
        <w:t xml:space="preserve"> </w:t>
      </w:r>
      <w:r>
        <w:t xml:space="preserve">direct) — publiés.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Limite de lisibilité mesurée</w:t>
      </w:r>
      <w:r>
        <w:t xml:space="preserve"> </w:t>
      </w:r>
      <w:r>
        <w:t xml:space="preserve">: une paire de spikes n’a pas de</w:t>
      </w:r>
      <w:r>
        <w:t xml:space="preserve"> </w:t>
      </w:r>
      <w:r>
        <w:t xml:space="preserve">porteuse spectrale (pic aléatoire). L’ASH exige un train.</w:t>
      </w:r>
    </w:p>
    <w:bookmarkEnd w:id="22"/>
    <w:bookmarkStart w:id="23" w:name="résultat-physique-non-anticipé"/>
    <w:p>
      <w:pPr>
        <w:pStyle w:val="Heading2"/>
      </w:pPr>
      <w:r>
        <w:t xml:space="preserve">4. Résultat physique non anticipé</w:t>
      </w:r>
    </w:p>
    <w:p>
      <w:pPr>
        <w:pStyle w:val="FirstParagraph"/>
      </w:pPr>
      <w:r>
        <w:t xml:space="preserve">Sur les cellules Allen figées : la porteuse spectrale du peigne de spikes</w:t>
      </w:r>
      <w:r>
        <w:t xml:space="preserve"> </w:t>
      </w:r>
      <w:r>
        <w:t xml:space="preserve">est l’</w:t>
      </w:r>
      <w:r>
        <w:rPr>
          <w:bCs/>
          <w:b/>
        </w:rPr>
        <w:t xml:space="preserve">inverse de l’ISI médian</w:t>
      </w:r>
      <w:r>
        <w:t xml:space="preserve">, pas le taux moyen n/T — type I : 11,6 Hz</w:t>
      </w:r>
      <w:r>
        <w:t xml:space="preserve"> </w:t>
      </w:r>
      <w:r>
        <w:t xml:space="preserve">(note 43 lue vs 42,4 attendue) ; type II : 46,9 Hz (note 67 vs 66,6). La</w:t>
      </w:r>
      <w:r>
        <w:t xml:space="preserve"> </w:t>
      </w:r>
      <w:r>
        <w:t xml:space="preserve">cellule type II a un train d’apparition</w:t>
      </w:r>
      <w:r>
        <w:t xml:space="preserve"> </w:t>
      </w:r>
      <w:r>
        <w:rPr>
          <w:bCs/>
          <w:b/>
        </w:rPr>
        <w:t xml:space="preserve">non stationnaire</w:t>
      </w:r>
      <w:r>
        <w:t xml:space="preserve"> </w:t>
      </w:r>
      <w:r>
        <w:t xml:space="preserve">(bursts à</w:t>
      </w:r>
      <w:r>
        <w:t xml:space="preserve"> </w:t>
      </w:r>
      <w:r>
        <w:t xml:space="preserve">~21 ms entrecoupés de pauses de 155/320 ms) : son taux moyen P41 (26 Hz)</w:t>
      </w:r>
      <w:r>
        <w:t xml:space="preserve"> </w:t>
      </w:r>
      <w:r>
        <w:t xml:space="preserve">et sa porteuse ISI (48 Hz) diffèrent d’un facteur ~2 — mesuré, publié.</w:t>
      </w:r>
    </w:p>
    <w:bookmarkEnd w:id="23"/>
    <w:bookmarkStart w:id="24" w:name="X11b5c63f8399c2cbb4322003a8acdc7a24ef00c"/>
    <w:p>
      <w:pPr>
        <w:pStyle w:val="Heading2"/>
      </w:pPr>
      <w:r>
        <w:t xml:space="preserve">5. Stabilité de protocole (PERT-BATT, 11 protocoles)</w:t>
      </w:r>
    </w:p>
    <w:p>
      <w:pPr>
        <w:pStyle w:val="FirstParagraph"/>
      </w:pPr>
      <w:r>
        <w:t xml:space="preserve">Σ = 1,00 partout sauf : S1 (Σ=0,91, fragile sous nperseg=128), S4 bruit</w:t>
      </w:r>
      <w:r>
        <w:t xml:space="preserve"> </w:t>
      </w:r>
      <w:r>
        <w:t xml:space="preserve">(Σ=0,82, fragile sous f0=0,5 et n_octaves=4) — fragilités publiées avec</w:t>
      </w:r>
      <w:r>
        <w:t xml:space="preserve"> </w:t>
      </w:r>
      <w:r>
        <w:t xml:space="preserve">axes responsables. C0 : deux exécutions, (V, Σ) identiques.</w:t>
      </w:r>
    </w:p>
    <w:bookmarkEnd w:id="24"/>
    <w:bookmarkStart w:id="25" w:name="conséquence-registre"/>
    <w:p>
      <w:pPr>
        <w:pStyle w:val="Heading2"/>
      </w:pPr>
      <w:r>
        <w:t xml:space="preserve">6. Conséquence registre</w:t>
      </w:r>
    </w:p>
    <w:p>
      <w:pPr>
        <w:pStyle w:val="FirstParagraph"/>
      </w:pPr>
      <w:r>
        <w:t xml:space="preserve">Nouvelle entrée</w:t>
      </w:r>
      <w:r>
        <w:t xml:space="preserve"> </w:t>
      </w:r>
      <w:r>
        <w:rPr>
          <w:bCs/>
          <w:b/>
        </w:rPr>
        <w:t xml:space="preserve">F16-REN-REGIME</w:t>
      </w:r>
      <w:r>
        <w:t xml:space="preserve"> </w:t>
      </w:r>
      <w:r>
        <w:t xml:space="preserve">(méthode, partielle) : ReN n’est pas un</w:t>
      </w:r>
      <w:r>
        <w:t xml:space="preserve"> </w:t>
      </w:r>
      <w:r>
        <w:t xml:space="preserve">discriminant de régime physique sans normalisation d’amplitude déclarée.</w:t>
      </w:r>
      <w:r>
        <w:t xml:space="preserve"> </w:t>
      </w:r>
      <w:r>
        <w:t xml:space="preserve">Falsifieur : un ReN normalisé, invariant d’échelle, conservant la</w:t>
      </w:r>
      <w:r>
        <w:t xml:space="preserve"> </w:t>
      </w:r>
      <w:r>
        <w:t xml:space="preserve">séparation des régimes sur la batterie P43 ferme l’entrée.</w:t>
      </w:r>
    </w:p>
    <w:p>
      <w:pPr>
        <w:pStyle w:val="BodyText"/>
      </w:pPr>
      <w:r>
        <w:rPr>
          <w:bCs/>
          <w:b/>
        </w:rPr>
        <w:t xml:space="preserve">Verdict P43 : SUCCÈS 7/7</w:t>
      </w:r>
      <w:r>
        <w:t xml:space="preserve"> </w:t>
      </w:r>
      <w:r>
        <w:t xml:space="preserve">— l’instrument passe sous le verdict, avec</w:t>
      </w:r>
      <w:r>
        <w:t xml:space="preserve"> </w:t>
      </w:r>
      <w:r>
        <w:t xml:space="preserve">ses limites mesurées et publiées.</w:t>
      </w:r>
    </w:p>
    <w:bookmarkEnd w:id="25"/>
    <w:bookmarkStart w:id="26" w:name="artefacts"/>
    <w:p>
      <w:pPr>
        <w:pStyle w:val="Heading2"/>
      </w:pPr>
      <w:r>
        <w:t xml:space="preserve">Artefacts</w:t>
      </w:r>
    </w:p>
    <w:p>
      <w:pPr>
        <w:pStyle w:val="FirstParagraph"/>
      </w:pPr>
      <w:r>
        <w:rPr>
          <w:rStyle w:val="VerbatimChar"/>
        </w:rPr>
        <w:t xml:space="preserve">p43_ash_sous_machine.py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a834ff0c…</w:t>
      </w:r>
      <w:r>
        <w:t xml:space="preserve">) ·</w:t>
      </w:r>
      <w:r>
        <w:t xml:space="preserve"> </w:t>
      </w:r>
      <w:r>
        <w:rPr>
          <w:rStyle w:val="VerbatimChar"/>
        </w:rPr>
        <w:t xml:space="preserve">p43_ash_sous_machine_verdict.json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p43_ash_core_v100.py</w:t>
      </w:r>
      <w:r>
        <w:t xml:space="preserve"> </w:t>
      </w:r>
      <w:r>
        <w:t xml:space="preserve">(S figée) ·</w:t>
      </w:r>
      <w:r>
        <w:t xml:space="preserve"> </w:t>
      </w:r>
      <w:r>
        <w:t xml:space="preserve">NWB Allen : release</w:t>
      </w:r>
      <w:r>
        <w:t xml:space="preserve"> </w:t>
      </w:r>
      <w:r>
        <w:rPr>
          <w:rStyle w:val="VerbatimChar"/>
        </w:rPr>
        <w:t xml:space="preserve">artefacts-donnees-v1.0</w:t>
      </w:r>
      <w:r>
        <w:t xml:space="preserve"> </w:t>
      </w:r>
      <w:r>
        <w:t xml:space="preserve">(empreintes SHASUMS).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2026-08-30T14:52:04Z</dcterms:created>
  <dcterms:modified xsi:type="dcterms:W3CDTF">2026-08-30T14:52:04Z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