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ote-f9-réparation-du-corpus-p31-p32-p33"/>
    <w:p>
      <w:pPr>
        <w:pStyle w:val="Heading1"/>
      </w:pPr>
      <w:r>
        <w:t xml:space="preserve">Note F9 — Réparation du corpus : p31, p32, p33</w:t>
      </w:r>
    </w:p>
    <w:p>
      <w:pPr>
        <w:pStyle w:val="FirstParagraph"/>
      </w:pPr>
      <w:r>
        <w:rPr>
          <w:bCs/>
          <w:b/>
        </w:rPr>
        <w:t xml:space="preserve">Patrice Portemann — Machine Noétique, hygiène de publication</w:t>
      </w:r>
      <w:r>
        <w:t xml:space="preserve"> </w:t>
      </w:r>
      <w:r>
        <w:t xml:space="preserve">30 août 2026 — ferme l’entrée</w:t>
      </w:r>
      <w:r>
        <w:t xml:space="preserve"> </w:t>
      </w:r>
      <w:r>
        <w:rPr>
          <w:bCs/>
          <w:b/>
        </w:rPr>
        <w:t xml:space="preserve">F9-HYGIENE-P32-P33</w:t>
      </w:r>
      <w:r>
        <w:t xml:space="preserve"> </w:t>
      </w:r>
      <w:r>
        <w:t xml:space="preserve">du registre A4</w:t>
      </w:r>
    </w:p>
    <w:bookmarkStart w:id="20" w:name="le-défaut"/>
    <w:p>
      <w:pPr>
        <w:pStyle w:val="Heading2"/>
      </w:pPr>
      <w:r>
        <w:t xml:space="preserve">1. Le défaut</w:t>
      </w:r>
    </w:p>
    <w:p>
      <w:pPr>
        <w:pStyle w:val="FirstParagraph"/>
      </w:pPr>
      <w:r>
        <w:t xml:space="preserve">Trois sources du corpus n’étaient pas conformes à la chaîne SHA-256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p32_frontiere.py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p33_queue.py</w:t>
      </w:r>
      <w:r>
        <w:t xml:space="preserve"> </w:t>
      </w:r>
      <w:r>
        <w:t xml:space="preserve">avaient été commitées en</w:t>
      </w:r>
      <w:r>
        <w:t xml:space="preserve"> </w:t>
      </w:r>
      <w:r>
        <w:t xml:space="preserve">base64 ré-emballé</w:t>
      </w:r>
      <w:r>
        <w:t xml:space="preserve"> </w:t>
      </w:r>
      <w:r>
        <w:rPr>
          <w:bCs/>
          <w:b/>
        </w:rPr>
        <w:t xml:space="preserve">corrompu</w:t>
      </w:r>
      <w:r>
        <w:t xml:space="preserve"> </w:t>
      </w:r>
      <w:r>
        <w:t xml:space="preserve">(caractères perdus aux frontières de</w:t>
      </w:r>
      <w:r>
        <w:t xml:space="preserve"> </w:t>
      </w:r>
      <w:r>
        <w:t xml:space="preserve">lignes :</w:t>
      </w:r>
      <w:r>
        <w:t xml:space="preserve"> </w:t>
      </w:r>
      <w:r>
        <w:rPr>
          <w:rStyle w:val="VerbatimChar"/>
        </w:rPr>
        <w:t xml:space="preserve">T&lt;=R1+R2</w:t>
      </w:r>
      <w:r>
        <w:t xml:space="preserve">,</w:t>
      </w:r>
      <w:r>
        <w:t xml:space="preserve"> </w:t>
      </w:r>
      <w:r>
        <w:rPr>
          <w:rStyle w:val="VerbatimChar"/>
        </w:rPr>
        <w:t xml:space="preserve">_ckk]</w:t>
      </w:r>
      <w:r>
        <w:t xml:space="preserve">,</w:t>
      </w:r>
      <w:r>
        <w:t xml:space="preserve"> </w:t>
      </w:r>
      <w:r>
        <w:rPr>
          <w:rStyle w:val="VerbatimChar"/>
        </w:rPr>
        <w:t xml:space="preserve">_c[[]</w:t>
      </w:r>
      <w:r>
        <w:t xml:space="preserve">, argument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manquant) — ni les</w:t>
      </w:r>
      <w:r>
        <w:t xml:space="preserve"> </w:t>
      </w:r>
      <w:r>
        <w:t xml:space="preserve">fichiers bruts ni leurs décodages ne reproduisaient les SHA du</w:t>
      </w:r>
      <w:r>
        <w:t xml:space="preserve"> </w:t>
      </w:r>
      <w:r>
        <w:t xml:space="preserve">registre. Détecté par l’audit A3, confirmé indépendamment par M1</w:t>
      </w:r>
      <w:r>
        <w:t xml:space="preserve"> </w:t>
      </w:r>
      <w:r>
        <w:t xml:space="preserve">(rupture de chaîne SHA sur 2/85 fichiers du miroir).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p31_portee.py</w:t>
      </w:r>
      <w:r>
        <w:t xml:space="preserve"> </w:t>
      </w:r>
      <w:r>
        <w:t xml:space="preserve">contenait un intégrande cinétique défectueux,</w:t>
      </w:r>
      <w:r>
        <w:t xml:space="preserve"> </w:t>
      </w:r>
      <w:r>
        <w:t xml:space="preserve">découvert en voie d’exécution de P39 : mélange de deux formes IBP</w:t>
      </w:r>
      <w:r>
        <w:t xml:space="preserve"> </w:t>
      </w:r>
      <w:r>
        <w:t xml:space="preserve">(le terme u′² de la forme |∇Ψ|² coexistant avec −(u″+2u′/u) de la</w:t>
      </w:r>
      <w:r>
        <w:t xml:space="preserve"> </w:t>
      </w:r>
      <w:r>
        <w:t xml:space="preserve">forme laplacienne) et terme croisé sans facteur géométrique</w:t>
      </w:r>
      <w:r>
        <w:t xml:space="preserve"> </w:t>
      </w:r>
      <w:r>
        <w:t xml:space="preserve">périmétrique (r̂ᵢ·Û).</w:t>
      </w:r>
    </w:p>
    <w:bookmarkEnd w:id="20"/>
    <w:bookmarkStart w:id="21" w:name="la-réparation"/>
    <w:p>
      <w:pPr>
        <w:pStyle w:val="Heading2"/>
      </w:pPr>
      <w:r>
        <w:t xml:space="preserve">2. La réparation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p32_frontiere.py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corruptions corrigées ;</w:t>
            </w:r>
            <w:r>
              <w:t xml:space="preserve"> </w:t>
            </w:r>
            <w:r>
              <w:rPr>
                <w:bCs/>
                <w:b/>
              </w:rPr>
              <w:t xml:space="preserve">npts=80</w:t>
            </w:r>
            <w:r>
              <w:t xml:space="preserve"> </w:t>
            </w:r>
            <w:r>
              <w:t xml:space="preserve">retrouvé par scan systématique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30 valeurs figées</w:t>
            </w:r>
            <w:r>
              <w:t xml:space="preserve"> </w:t>
            </w:r>
            <w:r>
              <w:t xml:space="preserve">des JSON p32/p33 reproduites à 5 décimales, à tout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p33_queue.py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masque</w:t>
            </w:r>
            <w:r>
              <w:t xml:space="preserve"> </w:t>
            </w:r>
            <w:r>
              <w:rPr>
                <w:rStyle w:val="VerbatimChar"/>
              </w:rPr>
              <w:t xml:space="preserve">U==</w:t>
            </w:r>
            <w:r>
              <w:t xml:space="preserve">→</w:t>
            </w:r>
            <w:r>
              <w:rPr>
                <w:rStyle w:val="VerbatimChar"/>
              </w:rPr>
              <w:t xml:space="preserve">U&lt;=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_c[[]</w:t>
            </w:r>
            <w:r>
              <w:t xml:space="preserve">, argument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restitué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Eref/R3/queue/A conformes aux JSON figés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p31_portee.py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intégrande remplacé par la forme |∇Ψ|² portée</w:t>
            </w:r>
            <w:r>
              <w:t xml:space="preserve"> </w:t>
            </w:r>
            <w:r>
              <w:rPr>
                <w:bCs/>
                <w:b/>
              </w:rPr>
              <w:t xml:space="preserve">à l’identique</w:t>
            </w:r>
            <w:r>
              <w:t xml:space="preserve"> </w:t>
            </w:r>
            <w:r>
              <w:t xml:space="preserve">de P39 (R12-FERM-1.0) ; protocole, grilles, règles R1/R2/R3 et critères C0–C4</w:t>
            </w:r>
            <w:r>
              <w:t xml:space="preserve"> </w:t>
            </w:r>
            <w:r>
              <w:rPr>
                <w:bCs/>
                <w:b/>
              </w:rPr>
              <w:t xml:space="preserve">inchangés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T1 mesurant les deux formes (ci-dessous)</w:t>
            </w:r>
          </w:p>
        </w:tc>
      </w:tr>
    </w:tbl>
    <w:p>
      <w:pPr>
        <w:pStyle w:val="BodyText"/>
      </w:pPr>
      <w:r>
        <w:t xml:space="preserve">SHA réparés : p32</w:t>
      </w:r>
      <w:r>
        <w:t xml:space="preserve"> </w:t>
      </w:r>
      <w:r>
        <w:rPr>
          <w:rStyle w:val="VerbatimChar"/>
        </w:rPr>
        <w:t xml:space="preserve">cc94ef3e…</w:t>
      </w:r>
      <w:r>
        <w:t xml:space="preserve">, p33</w:t>
      </w:r>
      <w:r>
        <w:t xml:space="preserve"> </w:t>
      </w:r>
      <w:r>
        <w:rPr>
          <w:rStyle w:val="VerbatimChar"/>
        </w:rPr>
        <w:t xml:space="preserve">29505862…</w:t>
      </w:r>
      <w:r>
        <w:t xml:space="preserve"> </w:t>
      </w:r>
      <w:r>
        <w:t xml:space="preserve">— conformes et rejoués.</w:t>
      </w:r>
    </w:p>
    <w:bookmarkEnd w:id="21"/>
    <w:bookmarkStart w:id="22" w:name="Xbe2bc93d171ad3d9255101ec98ff5cb89163f57"/>
    <w:p>
      <w:pPr>
        <w:pStyle w:val="Heading2"/>
      </w:pPr>
      <w:r>
        <w:t xml:space="preserve">3. T1 — mesure publiée du défaut p31 (les deux formes, même protocole)</w:t>
      </w:r>
    </w:p>
    <w:p>
      <w:pPr>
        <w:pStyle w:val="FirstParagraph"/>
      </w:pPr>
      <w:r>
        <w:t xml:space="preserve">La signature du défaut sur le protocole de P31 (cusp obligatoire</w:t>
      </w:r>
      <w:r>
        <w:t xml:space="preserve"> </w:t>
      </w:r>
      <w:r>
        <w:t xml:space="preserve">u′(0)=½, Φ=HF, c=0.5) :</w:t>
      </w:r>
    </w:p>
    <w:p>
      <w:pPr>
        <w:numPr>
          <w:ilvl w:val="0"/>
          <w:numId w:val="1002"/>
        </w:numPr>
        <w:pStyle w:val="Compact"/>
      </w:pPr>
      <w:r>
        <w:t xml:space="preserve">l’écart entre les deux formes atteint</w:t>
      </w:r>
      <w:r>
        <w:t xml:space="preserve"> </w:t>
      </w:r>
      <w:r>
        <w:rPr>
          <w:bCs/>
          <w:b/>
        </w:rPr>
        <w:t xml:space="preserve">0,14 Ha</w:t>
      </w:r>
      <w:r>
        <w:t xml:space="preserve"> </w:t>
      </w:r>
      <w:r>
        <w:t xml:space="preserve">(à β=0.25) et</w:t>
      </w:r>
      <w:r>
        <w:t xml:space="preserve"> </w:t>
      </w:r>
      <w:r>
        <w:rPr>
          <w:bCs/>
          <w:b/>
        </w:rPr>
        <w:t xml:space="preserve">change de signe</w:t>
      </w:r>
      <w:r>
        <w:t xml:space="preserve"> </w:t>
      </w:r>
      <w:r>
        <w:t xml:space="preserve">entre β=2.5 et β=3 — le terme cinétique fantôme</w:t>
      </w:r>
      <w:r>
        <w:t xml:space="preserve"> </w:t>
      </w:r>
      <w:r>
        <w:t xml:space="preserve">n’est pas un biais monotone, il dépend du régime de portée ;</w:t>
      </w:r>
    </w:p>
    <w:p>
      <w:pPr>
        <w:numPr>
          <w:ilvl w:val="0"/>
          <w:numId w:val="1002"/>
        </w:numPr>
        <w:pStyle w:val="Compact"/>
      </w:pPr>
      <w:r>
        <w:t xml:space="preserve">à grand β (Jastrow réduit à son cusp court, qui doit</w:t>
      </w:r>
      <w:r>
        <w:t xml:space="preserve"> </w:t>
      </w:r>
      <w:r>
        <w:rPr>
          <w:iCs/>
          <w:i/>
        </w:rPr>
        <w:t xml:space="preserve">coûter</w:t>
      </w:r>
      <w:r>
        <w:t xml:space="preserve"> </w:t>
      </w:r>
      <w:r>
        <w:t xml:space="preserve">de</w:t>
      </w:r>
      <w:r>
        <w:t xml:space="preserve"> </w:t>
      </w:r>
      <w:r>
        <w:t xml:space="preserve">l’énergie), la forme corrigée charge ce coût (E &gt; E_ref) tandis que la</w:t>
      </w:r>
      <w:r>
        <w:t xml:space="preserve"> </w:t>
      </w:r>
      <w:r>
        <w:t xml:space="preserve">forme corpus</w:t>
      </w:r>
      <w:r>
        <w:t xml:space="preserve"> </w:t>
      </w:r>
      <w:r>
        <w:rPr>
          <w:bCs/>
          <w:b/>
        </w:rPr>
        <w:t xml:space="preserve">plonge sous E_ref</w:t>
      </w:r>
      <w:r>
        <w:t xml:space="preserve"> </w:t>
      </w:r>
      <w:r>
        <w:t xml:space="preserve">(−2,8417 &lt; −2,8351 à β=4) —</w:t>
      </w:r>
      <w:r>
        <w:t xml:space="preserve"> </w:t>
      </w:r>
      <w:r>
        <w:t xml:space="preserve">variationnellement impossible pour un Jastrow qui s’éteint.</w:t>
      </w:r>
    </w:p>
    <w:p>
      <w:pPr>
        <w:pStyle w:val="FirstParagraph"/>
      </w:pPr>
      <w:r>
        <w:rPr>
          <w:iCs/>
          <w:i/>
        </w:rPr>
        <w:t xml:space="preserve">Correction de la note de filiation : la formulation « la forme corpus</w:t>
      </w:r>
      <w:r>
        <w:rPr>
          <w:iCs/>
          <w:i/>
        </w:rPr>
        <w:t xml:space="preserve"> </w:t>
      </w:r>
      <w:r>
        <w:rPr>
          <w:iCs/>
          <w:i/>
        </w:rPr>
        <w:t xml:space="preserve">dégrade E ∀β » valait pour le protocole de P39 (fenêtre ζ hydrogénoïde,</w:t>
      </w:r>
      <w:r>
        <w:rPr>
          <w:iCs/>
          <w:i/>
        </w:rPr>
        <w:t xml:space="preserve"> </w:t>
      </w:r>
      <w:r>
        <w:rPr>
          <w:iCs/>
          <w:i/>
        </w:rPr>
        <w:t xml:space="preserve">familles F1–F4) ; sur le protocole de P31 la signature est la</w:t>
      </w:r>
      <w:r>
        <w:rPr>
          <w:iCs/>
          <w:i/>
        </w:rPr>
        <w:t xml:space="preserve"> </w:t>
      </w:r>
      <w:r>
        <w:rPr>
          <w:iCs/>
          <w:i/>
        </w:rPr>
        <w:t xml:space="preserve">sous-estimation systématique + l’anomalie à grand β. Les deux</w:t>
      </w:r>
      <w:r>
        <w:rPr>
          <w:iCs/>
          <w:i/>
        </w:rPr>
        <w:t xml:space="preserve"> </w:t>
      </w:r>
      <w:r>
        <w:rPr>
          <w:iCs/>
          <w:i/>
        </w:rPr>
        <w:t xml:space="preserve">formulations sont publiées, chacune sur son protocole.</w:t>
      </w:r>
    </w:p>
    <w:bookmarkEnd w:id="22"/>
    <w:bookmarkStart w:id="23" w:name="Xec9d2ce8c88ec5f654550ee49278cf9f5f85843"/>
    <w:p>
      <w:pPr>
        <w:pStyle w:val="Heading2"/>
      </w:pPr>
      <w:r>
        <w:t xml:space="preserve">4. Conséquence mesurée : le verdict historique de P31 bascule</w:t>
      </w:r>
    </w:p>
    <w:p>
      <w:pPr>
        <w:pStyle w:val="FirstParagraph"/>
      </w:pPr>
      <w:r>
        <w:t xml:space="preserve">Avec l’intégrande corrigée, critères C0–C4 gelés inchangés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initial (corpus)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corrigé (F9)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une règle bat split-ζ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(R3 densité, β=0,7146)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gain ≥ 20 % du résiduel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(0,020 Ha = 29 %)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3/5 — frontière constitutive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5/5 — portée dérivable</w:t>
            </w:r>
          </w:p>
        </w:tc>
      </w:tr>
    </w:tbl>
    <w:p>
      <w:pPr>
        <w:pStyle w:val="BodyText"/>
      </w:pPr>
      <w:r>
        <w:t xml:space="preserve">La « frontière r₁₂ constitutive » déclarée par P31 était donc</w:t>
      </w:r>
      <w:r>
        <w:t xml:space="preserve"> </w:t>
      </w:r>
      <w:r>
        <w:rPr>
          <w:bCs/>
          <w:b/>
        </w:rPr>
        <w:t xml:space="preserve">un</w:t>
      </w:r>
      <w:r>
        <w:rPr>
          <w:bCs/>
          <w:b/>
        </w:rPr>
        <w:t xml:space="preserve"> </w:t>
      </w:r>
      <w:r>
        <w:rPr>
          <w:bCs/>
          <w:b/>
        </w:rPr>
        <w:t xml:space="preserve">artefact de l’intégrande défectueux</w:t>
      </w:r>
      <w:r>
        <w:t xml:space="preserve">. C’est cohérent avec P39, qui a</w:t>
      </w:r>
      <w:r>
        <w:t xml:space="preserve"> </w:t>
      </w:r>
      <w:r>
        <w:t xml:space="preserve">fermé la frontière (F3) dans le domaine variationnel avec l’intégrateur</w:t>
      </w:r>
      <w:r>
        <w:t xml:space="preserve"> </w:t>
      </w:r>
      <w:r>
        <w:t xml:space="preserve">reconstruit. Le verdict initial reste dans l’historique git (addenda</w:t>
      </w:r>
      <w:r>
        <w:t xml:space="preserve"> </w:t>
      </w:r>
      <w:r>
        <w:t xml:space="preserve">seulement) ; le JSON corrigé porte la note F9.</w:t>
      </w:r>
    </w:p>
    <w:bookmarkEnd w:id="23"/>
    <w:bookmarkStart w:id="24" w:name="chaîne-documentaire"/>
    <w:p>
      <w:pPr>
        <w:pStyle w:val="Heading2"/>
      </w:pPr>
      <w:r>
        <w:t xml:space="preserve">5. Chaîne documentaire</w:t>
      </w:r>
    </w:p>
    <w:p>
      <w:pPr>
        <w:pStyle w:val="FirstParagraph"/>
      </w:pPr>
      <w:r>
        <w:rPr>
          <w:rStyle w:val="VerbatimChar"/>
        </w:rPr>
        <w:t xml:space="preserve">SHASUMS.txt</w:t>
      </w:r>
      <w:r>
        <w:t xml:space="preserve"> </w:t>
      </w:r>
      <w:r>
        <w:t xml:space="preserve">régénéré sur l’arbre complet du dépôt (343 fichiers +</w:t>
      </w:r>
      <w:r>
        <w:t xml:space="preserve"> </w:t>
      </w:r>
      <w:r>
        <w:t xml:space="preserve">4 assets de release). Registre A4 : F9 →</w:t>
      </w:r>
      <w:r>
        <w:t xml:space="preserve"> </w:t>
      </w:r>
      <w:r>
        <w:rPr>
          <w:bCs/>
          <w:b/>
        </w:rPr>
        <w:t xml:space="preserve">fermée</w:t>
      </w:r>
      <w:r>
        <w:t xml:space="preserve"> </w:t>
      </w:r>
      <w:r>
        <w:t xml:space="preserve">; le comptage passe</w:t>
      </w:r>
      <w:r>
        <w:t xml:space="preserve"> </w:t>
      </w:r>
      <w:r>
        <w:t xml:space="preserve">à 6 fermées / 4 ouvertes / 5 partielles. A5 réévaluée (F9 est</w:t>
      </w:r>
      <w:r>
        <w:t xml:space="preserve"> </w:t>
      </w:r>
      <w:r>
        <w:t xml:space="preserve">hors-domaine ddll — pas d’effet sur la conjecture).</w:t>
      </w:r>
    </w:p>
    <w:p>
      <w:pPr>
        <w:pStyle w:val="BodyText"/>
      </w:pPr>
      <w:r>
        <w:rPr>
          <w:iCs/>
          <w:i/>
        </w:rPr>
        <w:t xml:space="preserve">Réparation publiée comme B3-FAIL d’hygiène : le défaut, sa mesure et sa</w:t>
      </w:r>
      <w:r>
        <w:rPr>
          <w:iCs/>
          <w:i/>
        </w:rPr>
        <w:t xml:space="preserve"> </w:t>
      </w:r>
      <w:r>
        <w:rPr>
          <w:iCs/>
          <w:i/>
        </w:rPr>
        <w:t xml:space="preserve">réparation sont dans le dépôt, pas dans une corbeille.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2026-08-30T13:40:20Z</dcterms:created>
  <dcterms:modified xsi:type="dcterms:W3CDTF">2026-08-30T13:40:20Z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