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b46bf87779235033989035df15f3e4c9e7eb5e"/>
    <w:p>
      <w:pPr>
        <w:pStyle w:val="Heading1"/>
      </w:pPr>
      <w:r>
        <w:t xml:space="preserve">Note A1b — Batterie rétroactive sur le corpus : P13 et P22</w:t>
      </w:r>
    </w:p>
    <w:p>
      <w:pPr>
        <w:pStyle w:val="FirstParagraph"/>
      </w:pPr>
      <w:r>
        <w:rPr>
          <w:bCs/>
          <w:b/>
        </w:rPr>
        <w:t xml:space="preserve">Patrice Portemann — Machine Noétique, série A (méthode)</w:t>
      </w:r>
      <w:r>
        <w:t xml:space="preserve"> </w:t>
      </w:r>
      <w:r>
        <w:t xml:space="preserve">30 août 2026 — ferme l’entrée</w:t>
      </w:r>
      <w:r>
        <w:t xml:space="preserve"> </w:t>
      </w:r>
      <w:r>
        <w:rPr>
          <w:bCs/>
          <w:b/>
        </w:rPr>
        <w:t xml:space="preserve">F7-PARTIELS-PROTOCOLE</w:t>
      </w:r>
      <w:r>
        <w:t xml:space="preserve"> </w:t>
      </w:r>
      <w:r>
        <w:t xml:space="preserve">du registre A4</w:t>
      </w:r>
    </w:p>
    <w:bookmarkStart w:id="20" w:name="objet"/>
    <w:p>
      <w:pPr>
        <w:pStyle w:val="Heading2"/>
      </w:pPr>
      <w:r>
        <w:t xml:space="preserve">1. Objet</w:t>
      </w:r>
    </w:p>
    <w:p>
      <w:pPr>
        <w:pStyle w:val="FirstParagraph"/>
      </w:pPr>
      <w:r>
        <w:t xml:space="preserve">Le registre des frontières (A4, protocole REG-FR-1.0) portait une entrée</w:t>
      </w:r>
      <w:r>
        <w:t xml:space="preserve"> </w:t>
      </w:r>
      <w:r>
        <w:t xml:space="preserve">ouverte de type</w:t>
      </w:r>
      <w:r>
        <w:t xml:space="preserve"> </w:t>
      </w:r>
      <w:r>
        <w:rPr>
          <w:iCs/>
          <w:i/>
        </w:rPr>
        <w:t xml:space="preserve">méthode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F7</w:t>
      </w:r>
      <w:r>
        <w:t xml:space="preserve"> </w:t>
      </w:r>
      <w:r>
        <w:t xml:space="preserve">— « P13 (stabilité) et P22 (double bêta)</w:t>
      </w:r>
      <w:r>
        <w:t xml:space="preserve"> </w:t>
      </w:r>
      <w:r>
        <w:t xml:space="preserve">sont partiels ; le programme A1 prédit une sensibilité au protocole non</w:t>
      </w:r>
      <w:r>
        <w:t xml:space="preserve"> </w:t>
      </w:r>
      <w:r>
        <w:t xml:space="preserve">encore mesurée ». Coût de fermeture déclaré : encapsuler P13/P22 en</w:t>
      </w:r>
      <w:r>
        <w:t xml:space="preserve"> </w:t>
      </w:r>
      <w:r>
        <w:t xml:space="preserve">fonctions pures f(π) et leur passer la batterie A1 (PERT-BATT-1.0, gelé) ;</w:t>
      </w:r>
      <w:r>
        <w:t xml:space="preserve"> </w:t>
      </w:r>
      <w:r>
        <w:t xml:space="preserve">falsifieur : « l’exécution de la batterie fixe le statut ».</w:t>
      </w:r>
    </w:p>
    <w:p>
      <w:pPr>
        <w:pStyle w:val="BodyText"/>
      </w:pPr>
      <w:r>
        <w:t xml:space="preserve">A1b paye ce coût. Les deux chantiers du corpus sont encapsulés</w:t>
      </w:r>
      <w:r>
        <w:t xml:space="preserve"> </w:t>
      </w:r>
      <w:r>
        <w:rPr>
          <w:bCs/>
          <w:b/>
        </w:rPr>
        <w:t xml:space="preserve">sans</w:t>
      </w:r>
      <w:r>
        <w:rPr>
          <w:bCs/>
          <w:b/>
        </w:rPr>
        <w:t xml:space="preserve"> </w:t>
      </w:r>
      <w:r>
        <w:rPr>
          <w:bCs/>
          <w:b/>
        </w:rPr>
        <w:t xml:space="preserve">retouche de D</w:t>
      </w:r>
      <w:r>
        <w:t xml:space="preserve"> </w:t>
      </w:r>
      <w:r>
        <w:t xml:space="preserve">: constantes, tables de noyaux, coefficients</w:t>
      </w:r>
      <w:r>
        <w:t xml:space="preserve"> </w:t>
      </w:r>
      <w:r>
        <w:t xml:space="preserve">Bethe-Weizsäcker P16 et formules sont repris à l’identique de</w:t>
      </w:r>
      <w:r>
        <w:t xml:space="preserve"> </w:t>
      </w:r>
      <w:r>
        <w:rPr>
          <w:rStyle w:val="VerbatimChar"/>
        </w:rPr>
        <w:t xml:space="preserve">p13_stabilite.py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p22_doublebeta.py</w:t>
      </w:r>
      <w:r>
        <w:t xml:space="preserve">. Seuls les choix de protocole π</w:t>
      </w:r>
      <w:r>
        <w:t xml:space="preserve"> </w:t>
      </w:r>
      <w:r>
        <w:t xml:space="preserve">(seuils de décision, tolérances, bornes) deviennent des axes de</w:t>
      </w:r>
      <w:r>
        <w:t xml:space="preserve"> </w:t>
      </w:r>
      <w:r>
        <w:t xml:space="preserve">perturbation déclarés</w:t>
      </w:r>
      <w:r>
        <w:t xml:space="preserve"> </w:t>
      </w:r>
      <w:r>
        <w:rPr>
          <w:bCs/>
          <w:b/>
        </w:rPr>
        <w:t xml:space="preserve">avant exécution</w:t>
      </w:r>
      <w:r>
        <w:t xml:space="preserve">, une coordonnée à la fois</w:t>
      </w:r>
      <w:r>
        <w:t xml:space="preserve"> </w:t>
      </w:r>
      <w:r>
        <w:t xml:space="preserve">(plan factoriel axial, nominal inclus).</w:t>
      </w:r>
    </w:p>
    <w:bookmarkEnd w:id="20"/>
    <w:bookmarkStart w:id="21" w:name="axes-perturbés"/>
    <w:p>
      <w:pPr>
        <w:pStyle w:val="Heading2"/>
      </w:pPr>
      <w:r>
        <w:t xml:space="preserve">2. Axes perturbés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Axes (valeurs perturbées)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tol_gn {0.10, 0.20, 0.25} ; seuil_hiérarchie {12, 18} ; cassure_bas {0.8, 1.2} ; cassure_haut {1.8, 2.2} ; tol_regge {0.10, 0.20, 0.25}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seuil_q2 {0.3, 0.7, 1.0} ; seuil_q1 {0.3, 0.7} ; tol_qok {1.0, 2.0} ; pente_min {5, 7} ; pente_max {14, 18} ; seuil_levier {3, 5} ; n_min_qok {6, 8}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</w:tbl>
    <w:bookmarkEnd w:id="21"/>
    <w:bookmarkStart w:id="22" w:name="X6579e1911afd48598229ec512f974d30df5c296"/>
    <w:p>
      <w:pPr>
        <w:pStyle w:val="Heading2"/>
      </w:pPr>
      <w:r>
        <w:t xml:space="preserve">3. Prédictions pré-enregistrées et résultats</w:t>
      </w:r>
    </w:p>
    <w:p>
      <w:pPr>
        <w:pStyle w:val="FirstParagraph"/>
      </w:pPr>
      <w:r>
        <w:t xml:space="preserve">Deux prédictions écrites</w:t>
      </w:r>
      <w:r>
        <w:t xml:space="preserve"> </w:t>
      </w:r>
      <w:r>
        <w:rPr>
          <w:bCs/>
          <w:b/>
        </w:rPr>
        <w:t xml:space="preserve">avant la première exécution</w:t>
      </w:r>
      <w:r>
        <w:t xml:space="preserve"> 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P-A1b-1</w:t>
      </w:r>
      <w:r>
        <w:t xml:space="preserve"> </w:t>
      </w:r>
      <w:r>
        <w:t xml:space="preserve">: P13 est intégralement stable (Σ = 1 sur les 4 composantes).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CONFIRMÉE.</w:t>
      </w:r>
      <w:r>
        <w:t xml:space="preserve"> </w:t>
      </w:r>
      <w:r>
        <w:t xml:space="preserve">Geiger-Nuttall, hiérarchie (~25 ordres), cassure de</w:t>
      </w:r>
      <w:r>
        <w:t xml:space="preserve"> </w:t>
      </w:r>
      <w:r>
        <w:t xml:space="preserve">corde (1,70 fm), pente de Regge (écart relatif 0,018) : toutes les</w:t>
      </w:r>
      <w:r>
        <w:t xml:space="preserve"> </w:t>
      </w:r>
      <w:r>
        <w:t xml:space="preserve">marges nominales sont larges devant les tolérances perturbées.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P-A1b-2</w:t>
      </w:r>
      <w:r>
        <w:t xml:space="preserve"> </w:t>
      </w:r>
      <w:r>
        <w:t xml:space="preserve">: P22 garde Σ = 1 sur ses composantes</w:t>
      </w:r>
      <w:r>
        <w:t xml:space="preserve"> </w:t>
      </w:r>
      <w:r>
        <w:rPr>
          <w:iCs/>
          <w:i/>
        </w:rPr>
        <w:t xml:space="preserve">structurelles</w:t>
      </w:r>
      <w:r>
        <w:t xml:space="preserve"> </w:t>
      </w:r>
      <w:r>
        <w:t xml:space="preserve">(mécanisme d’appariement, signes Qbb 9/9) ; toute fragilité est</w:t>
      </w:r>
      <w:r>
        <w:t xml:space="preserve"> </w:t>
      </w:r>
      <w:r>
        <w:t xml:space="preserve">confinée aux composantes</w:t>
      </w:r>
      <w:r>
        <w:t xml:space="preserve"> </w:t>
      </w:r>
      <w:r>
        <w:rPr>
          <w:iCs/>
          <w:i/>
        </w:rPr>
        <w:t xml:space="preserve">à seuil</w:t>
      </w:r>
      <w:r>
        <w:t xml:space="preserve">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CONFIRMÉE.</w:t>
      </w:r>
      <w:r>
        <w:t xml:space="preserve"> </w:t>
      </w:r>
      <w:r>
        <w:t xml:space="preserve">Une seule fragilité, publiée en B3-FAIL de protocole :</w:t>
      </w:r>
      <w:r>
        <w:t xml:space="preserve"> </w:t>
      </w:r>
      <w:r>
        <w:rPr>
          <w:rStyle w:val="VerbatimChar"/>
        </w:rPr>
        <w:t xml:space="preserve">faux_positifs_localisés_magiques_P16</w:t>
      </w:r>
      <w:r>
        <w:t xml:space="preserve"> </w:t>
      </w:r>
      <w:r>
        <w:t xml:space="preserve">bascule sous</w:t>
      </w:r>
      <w:r>
        <w:t xml:space="preserve"> </w:t>
      </w:r>
      <w:r>
        <w:rPr>
          <w:rStyle w:val="VerbatimChar"/>
        </w:rPr>
        <w:t xml:space="preserve">seuil_q1 = 0.7</w:t>
      </w:r>
      <w:r>
        <w:t xml:space="preserve"> </w:t>
      </w:r>
      <w:r>
        <w:t xml:space="preserve">(Σ = 0,94) — un témoin supplémentaire passe la sélection quand le</w:t>
      </w:r>
      <w:r>
        <w:t xml:space="preserve"> </w:t>
      </w:r>
      <w:r>
        <w:t xml:space="preserve">critère de blocage du β simple est relâché.</w:t>
      </w:r>
    </w:p>
    <w:p>
      <w:pPr>
        <w:pStyle w:val="FirstParagraph"/>
      </w:pPr>
      <w:r>
        <w:rPr>
          <w:bCs/>
          <w:b/>
        </w:rPr>
        <w:t xml:space="preserve">C0 (reproductibilité) : PASS</w:t>
      </w:r>
      <w:r>
        <w:t xml:space="preserve"> </w:t>
      </w:r>
      <w:r>
        <w:t xml:space="preserve">— deux exécutions complètes de la</w:t>
      </w:r>
      <w:r>
        <w:t xml:space="preserve"> </w:t>
      </w:r>
      <w:r>
        <w:t xml:space="preserve">batterie donnent des couples (V, Σ) identiques sur les deux chantiers</w:t>
      </w:r>
      <w:r>
        <w:t xml:space="preserve"> </w:t>
      </w:r>
      <w:r>
        <w:t xml:space="preserve">(fonctions pures, aucune graine cachée).</w:t>
      </w:r>
    </w:p>
    <w:bookmarkEnd w:id="22"/>
    <w:bookmarkStart w:id="23" w:name="couples-v-σ-publiés"/>
    <w:p>
      <w:pPr>
        <w:pStyle w:val="Heading2"/>
      </w:pPr>
      <w:r>
        <w:t xml:space="preserve">4. Couples (V, Σ) publiés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 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verdict ne dépend d’aucun choix de protocole testé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5/6 (inchangé)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partiel P22 n’est pas un artefact de protocole : la magnitude Qbb (composante fausse au nominal) est un échec</w:t>
            </w:r>
            <w:r>
              <w:t xml:space="preserve"> </w:t>
            </w:r>
            <w:r>
              <w:rPr>
                <w:iCs/>
                <w:i/>
              </w:rPr>
              <w:t xml:space="preserve">documenté</w:t>
            </w:r>
            <w:r>
              <w:t xml:space="preserve"> </w:t>
            </w:r>
            <w:r>
              <w:t xml:space="preserve">de BW lisse (frontière coquille P29), pas une fragilité de seuil ; la seule fragilité touche la localisation des faux positifs</w:t>
            </w:r>
          </w:p>
        </w:tc>
      </w:tr>
    </w:tbl>
    <w:bookmarkEnd w:id="23"/>
    <w:bookmarkStart w:id="24" w:name="X82042f0e15ec200b6a00f2ba7dd45cdb965be77"/>
    <w:p>
      <w:pPr>
        <w:pStyle w:val="Heading2"/>
      </w:pPr>
      <w:r>
        <w:t xml:space="preserve">5. Conséquence sur le registre et la conjecture A5</w:t>
      </w:r>
    </w:p>
    <w:p>
      <w:pPr>
        <w:pStyle w:val="FirstParagraph"/>
      </w:pPr>
      <w:r>
        <w:t xml:space="preserve">F7 passe de</w:t>
      </w:r>
      <w:r>
        <w:t xml:space="preserve"> </w:t>
      </w:r>
      <w:r>
        <w:rPr>
          <w:bCs/>
          <w:b/>
        </w:rPr>
        <w:t xml:space="preserve">ouverte</w:t>
      </w:r>
      <w:r>
        <w:t xml:space="preserve"> </w:t>
      </w:r>
      <w:r>
        <w:t xml:space="preserve">à</w:t>
      </w:r>
      <w:r>
        <w:t xml:space="preserve"> </w:t>
      </w:r>
      <w:r>
        <w:rPr>
          <w:bCs/>
          <w:b/>
        </w:rPr>
        <w:t xml:space="preserve">fermée</w:t>
      </w:r>
      <w:r>
        <w:t xml:space="preserve"> </w:t>
      </w:r>
      <w:r>
        <w:t xml:space="preserve">(ddll :</w:t>
      </w:r>
      <w:r>
        <w:t xml:space="preserve"> </w:t>
      </w:r>
      <w:r>
        <w:rPr>
          <w:iCs/>
          <w:i/>
        </w:rPr>
        <w:t xml:space="preserve">équilibre</w:t>
      </w:r>
      <w:r>
        <w:t xml:space="preserve"> </w:t>
      </w:r>
      <w:r>
        <w:t xml:space="preserve">— la fermeture</w:t>
      </w:r>
      <w:r>
        <w:t xml:space="preserve"> </w:t>
      </w:r>
      <w:r>
        <w:t xml:space="preserve">n’ajoute ni ne retire de degré de liberté physique : les axes existaient,</w:t>
      </w:r>
      <w:r>
        <w:t xml:space="preserve"> </w:t>
      </w:r>
      <w:r>
        <w:t xml:space="preserve">ils sont désormais déclarés et mesurés). Le registre compte désormais</w:t>
      </w:r>
      <w:r>
        <w:t xml:space="preserve"> </w:t>
      </w:r>
      <w:r>
        <w:rPr>
          <w:bCs/>
          <w:b/>
        </w:rPr>
        <w:t xml:space="preserve">5 fermées / 5 ouvertes / 5 partielles</w:t>
      </w:r>
      <w:r>
        <w:t xml:space="preserve"> </w:t>
      </w:r>
      <w:r>
        <w:t xml:space="preserve">(SHA global</w:t>
      </w:r>
      <w:r>
        <w:t xml:space="preserve"> </w:t>
      </w:r>
      <w:r>
        <w:rPr>
          <w:rStyle w:val="VerbatimChar"/>
        </w:rPr>
        <w:t xml:space="preserve">45dc0619d66f2850…</w:t>
      </w:r>
      <w:r>
        <w:t xml:space="preserve">).</w:t>
      </w:r>
    </w:p>
    <w:p>
      <w:pPr>
        <w:pStyle w:val="BodyText"/>
      </w:pPr>
      <w:r>
        <w:t xml:space="preserve">Effet de bord mesuré, non anticipé dans la note A4-A5 : F7 fermée rejoint</w:t>
      </w:r>
      <w:r>
        <w:t xml:space="preserve"> </w:t>
      </w:r>
      <w:r>
        <w:t xml:space="preserve">les points</w:t>
      </w:r>
      <w:r>
        <w:t xml:space="preserve"> </w:t>
      </w:r>
      <w:r>
        <w:rPr>
          <w:iCs/>
          <w:i/>
        </w:rPr>
        <w:t xml:space="preserve">équilibre</w:t>
      </w:r>
      <w:r>
        <w:t xml:space="preserve"> </w:t>
      </w:r>
      <w:r>
        <w:t xml:space="preserve">du domaine — la conjecture v1 « toute frontière =</w:t>
      </w:r>
      <w:r>
        <w:t xml:space="preserve"> </w:t>
      </w:r>
      <w:r>
        <w:t xml:space="preserve">déficit de ddll » gagne un</w:t>
      </w:r>
      <w:r>
        <w:t xml:space="preserve"> </w:t>
      </w:r>
      <w:r>
        <w:rPr>
          <w:bCs/>
          <w:b/>
        </w:rPr>
        <w:t xml:space="preserve">troisième réfuteur</w:t>
      </w:r>
      <w:r>
        <w:t xml:space="preserve"> </w:t>
      </w:r>
      <w:r>
        <w:t xml:space="preserve">(F5, F7, F14 ; 10/13</w:t>
      </w:r>
      <w:r>
        <w:t xml:space="preserve"> </w:t>
      </w:r>
      <w:r>
        <w:t xml:space="preserve">conformes) et la couverture de v2 passe à 11/13. Fermer une entrée de</w:t>
      </w:r>
      <w:r>
        <w:t xml:space="preserve"> </w:t>
      </w:r>
      <w:r>
        <w:t xml:space="preserve">méthode a</w:t>
      </w:r>
      <w:r>
        <w:t xml:space="preserve"> </w:t>
      </w:r>
      <w:r>
        <w:rPr>
          <w:iCs/>
          <w:i/>
        </w:rPr>
        <w:t xml:space="preserve">renforcé</w:t>
      </w:r>
      <w:r>
        <w:t xml:space="preserve"> </w:t>
      </w:r>
      <w:r>
        <w:t xml:space="preserve">la réfutation de la v1 : le registre ne distingue</w:t>
      </w:r>
      <w:r>
        <w:t xml:space="preserve"> </w:t>
      </w:r>
      <w:r>
        <w:t xml:space="preserve">pas les frontières physiques des frontières de méthode dans son comptage</w:t>
      </w:r>
      <w:r>
        <w:t xml:space="preserve"> </w:t>
      </w:r>
      <w:r>
        <w:t xml:space="preserve">— c’est désormais mesuré, pas discuté.</w:t>
      </w:r>
    </w:p>
    <w:bookmarkEnd w:id="24"/>
    <w:bookmarkStart w:id="25" w:name="artefacts"/>
    <w:p>
      <w:pPr>
        <w:pStyle w:val="Heading2"/>
      </w:pPr>
      <w:r>
        <w:t xml:space="preserve">6. Artefacts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(tronqué)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a1b_batterie_retroactive.py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950ba05c3d90d39a…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a1b_batterie_retroactive_verdict.json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chaîne SHASUMS.txt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registre A4 mis à jour (15 entrées, 5/5/5)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45dc0619d66f2850…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verdict A5 régénéré (v1 : 3 réfuteurs ; v2 : 11/13)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cbc6df7fb52beef3…</w:t>
            </w:r>
            <w:r>
              <w:t xml:space="preserve"> </w:t>
            </w:r>
            <w:r>
              <w:t xml:space="preserve">(script)</w:t>
            </w:r>
          </w:p>
        </w:tc>
      </w:tr>
    </w:tbl>
    <w:p>
      <w:pPr>
        <w:pStyle w:val="BodyText"/>
      </w:pPr>
      <w:r>
        <w:rPr>
          <w:iCs/>
          <w:i/>
        </w:rPr>
        <w:t xml:space="preserve">Protocole PERT-BATT-1.0 gelé (hérité d’A1) — zéro paramètre ajusté, D</w:t>
      </w:r>
      <w:r>
        <w:rPr>
          <w:iCs/>
          <w:i/>
        </w:rPr>
        <w:t xml:space="preserve"> </w:t>
      </w:r>
      <w:r>
        <w:rPr>
          <w:iCs/>
          <w:i/>
        </w:rPr>
        <w:t xml:space="preserve">intact, fragilités publiées (C2), falsifieur de F7 exécuté.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2026-08-30T12:51:00Z</dcterms:created>
  <dcterms:modified xsi:type="dcterms:W3CDTF">2026-08-30T12:51:00Z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