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note-p45-benchmarks-eeg-renormalisés"/>
    <w:p>
      <w:pPr>
        <w:pStyle w:val="Heading1"/>
      </w:pPr>
      <w:r>
        <w:t xml:space="preserve">Note P45 — Benchmarks EEG renormalisés</w:t>
      </w:r>
    </w:p>
    <w:p>
      <w:pPr>
        <w:pStyle w:val="FirstParagraph"/>
      </w:pPr>
      <w:r>
        <w:rPr>
          <w:bCs/>
          <w:b/>
        </w:rPr>
        <w:t xml:space="preserve">Patrice Portemann — Machine Noétique</w:t>
      </w:r>
      <w:r>
        <w:t xml:space="preserve"> </w:t>
      </w:r>
      <w:r>
        <w:t xml:space="preserve">31 août 2026 — conséquence obligatoire de F16 (ouverte par P43)</w:t>
      </w:r>
    </w:p>
    <w:bookmarkStart w:id="20" w:name="objet"/>
    <w:p>
      <w:pPr>
        <w:pStyle w:val="Heading2"/>
      </w:pPr>
      <w:r>
        <w:t xml:space="preserve">1. Objet</w:t>
      </w:r>
    </w:p>
    <w:p>
      <w:pPr>
        <w:pStyle w:val="FirstParagraph"/>
      </w:pPr>
      <w:r>
        <w:t xml:space="preserve">La table figée des benchmarks de</w:t>
      </w:r>
      <w:r>
        <w:t xml:space="preserve"> </w:t>
      </w:r>
      <w:r>
        <w:rPr>
          <w:rStyle w:val="VerbatimChar"/>
        </w:rPr>
        <w:t xml:space="preserve">noetic-ash</w:t>
      </w:r>
      <w:r>
        <w:t xml:space="preserve"> </w:t>
      </w:r>
      <w:r>
        <w:t xml:space="preserve">(juin 2026) classait les</w:t>
      </w:r>
      <w:r>
        <w:t xml:space="preserve"> </w:t>
      </w:r>
      <w:r>
        <w:t xml:space="preserve">signaux par ReN/régime (« EEG intention → Quantique, ReN ≈ 40,4 »). ReN</w:t>
      </w:r>
      <w:r>
        <w:t xml:space="preserve"> </w:t>
      </w:r>
      <w:r>
        <w:t xml:space="preserve">étant réfuté comme invariant d’échelle (P43-C3 : pente −1, franchissements</w:t>
      </w:r>
      <w:r>
        <w:t xml:space="preserve"> </w:t>
      </w:r>
      <w:r>
        <w:t xml:space="preserve">de régime à signal inchangé), P45 rejoue les benchmarks sur invariants</w:t>
      </w:r>
      <w:r>
        <w:t xml:space="preserve"> </w:t>
      </w:r>
      <w:r>
        <w:rPr>
          <w:bCs/>
          <w:b/>
        </w:rPr>
        <w:t xml:space="preserve">normalisés</w:t>
      </w:r>
      <w:r>
        <w:t xml:space="preserve"> </w:t>
      </w:r>
      <w:r>
        <w:t xml:space="preserve">(Rtop, Rdyn, E1..E7 — invariants d’amplitude par</w:t>
      </w:r>
      <w:r>
        <w:t xml:space="preserve"> </w:t>
      </w:r>
      <w:r>
        <w:t xml:space="preserve">construction) et mesure ce qui survit.</w:t>
      </w:r>
    </w:p>
    <w:p>
      <w:pPr>
        <w:pStyle w:val="BodyText"/>
      </w:pPr>
      <w:r>
        <w:t xml:space="preserve">Données : les 5 CSV régénérés</w:t>
      </w:r>
      <w:r>
        <w:t xml:space="preserve"> </w:t>
      </w:r>
      <w:r>
        <w:rPr>
          <w:bCs/>
          <w:b/>
        </w:rPr>
        <w:t xml:space="preserve">bit-à-bit</w:t>
      </w:r>
      <w:r>
        <w:t xml:space="preserve"> </w:t>
      </w:r>
      <w:r>
        <w:t xml:space="preserve">par les générateurs seedés</w:t>
      </w:r>
      <w:r>
        <w:t xml:space="preserve"> </w:t>
      </w:r>
      <w:r>
        <w:t xml:space="preserve">(graine 42) et vérifiés contre</w:t>
      </w:r>
      <w:r>
        <w:t xml:space="preserve"> </w:t>
      </w:r>
      <w:r>
        <w:rPr>
          <w:rStyle w:val="VerbatimChar"/>
        </w:rPr>
        <w:t xml:space="preserve">benchmarks/SHASUMS.txt</w:t>
      </w:r>
      <w:r>
        <w:t xml:space="preserve"> </w:t>
      </w:r>
      <w:r>
        <w:t xml:space="preserve">— 4/4 empreintes</w:t>
      </w:r>
      <w:r>
        <w:t xml:space="preserve"> </w:t>
      </w:r>
      <w:r>
        <w:t xml:space="preserve">figées conformes (</w:t>
      </w:r>
      <w:r>
        <w:rPr>
          <w:rStyle w:val="VerbatimChar"/>
        </w:rPr>
        <w:t xml:space="preserve">228c6155…</w:t>
      </w:r>
      <w:r>
        <w:t xml:space="preserve">,</w:t>
      </w:r>
      <w:r>
        <w:t xml:space="preserve"> </w:t>
      </w:r>
      <w:r>
        <w:rPr>
          <w:rStyle w:val="VerbatimChar"/>
        </w:rPr>
        <w:t xml:space="preserve">d25d65f9…</w:t>
      </w:r>
      <w:r>
        <w:t xml:space="preserve">,</w:t>
      </w:r>
      <w:r>
        <w:t xml:space="preserve"> </w:t>
      </w:r>
      <w:r>
        <w:rPr>
          <w:rStyle w:val="VerbatimChar"/>
        </w:rPr>
        <w:t xml:space="preserve">bb20c04d…</w:t>
      </w:r>
      <w:r>
        <w:t xml:space="preserve">,</w:t>
      </w:r>
      <w:r>
        <w:t xml:space="preserve"> </w:t>
      </w:r>
      <w:r>
        <w:rPr>
          <w:rStyle w:val="VerbatimChar"/>
        </w:rPr>
        <w:t xml:space="preserve">375d649e…</w:t>
      </w:r>
      <w:r>
        <w:t xml:space="preserve"> </w:t>
      </w:r>
      <w:r>
        <w:t xml:space="preserve">;</w:t>
      </w:r>
      <w:r>
        <w:t xml:space="preserve"> </w:t>
      </w:r>
      <w:r>
        <w:t xml:space="preserve">la sinusoïde n’avait pas d’empreinte figée — déclaré).</w:t>
      </w:r>
    </w:p>
    <w:bookmarkEnd w:id="20"/>
    <w:bookmarkStart w:id="25" w:name="résultats"/>
    <w:p>
      <w:pPr>
        <w:pStyle w:val="Heading2"/>
      </w:pPr>
      <w:r>
        <w:t xml:space="preserve">2. Résultats</w:t>
      </w:r>
    </w:p>
    <w:bookmarkStart w:id="21" w:name="c2-ren-non-portable-confirmé-et-mécanisé"/>
    <w:p>
      <w:pPr>
        <w:pStyle w:val="Heading3"/>
      </w:pPr>
      <w:r>
        <w:t xml:space="preserve">C2 — ReN non portable : confirmé et mécanisé</w:t>
      </w:r>
    </w:p>
    <w:p>
      <w:pPr>
        <w:numPr>
          <w:ilvl w:val="0"/>
          <w:numId w:val="1001"/>
        </w:numPr>
        <w:pStyle w:val="Compact"/>
      </w:pPr>
      <w:r>
        <w:t xml:space="preserve">Pente −1</w:t>
      </w:r>
      <w:r>
        <w:t xml:space="preserve"> </w:t>
      </w:r>
      <w:r>
        <w:rPr>
          <w:bCs/>
          <w:b/>
        </w:rPr>
        <w:t xml:space="preserve">exacte</w:t>
      </w:r>
      <w:r>
        <w:t xml:space="preserve"> </w:t>
      </w:r>
      <w:r>
        <w:t xml:space="preserve">pour les signaux à entropie non dégénérée (ECG :</w:t>
      </w:r>
      <w:r>
        <w:t xml:space="preserve"> </w:t>
      </w:r>
      <w:r>
        <w:t xml:space="preserve">ReN·A = 0,5895 constant à 7 chiffres sur A ∈ [0,01 ; 100]).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3/5 signaux franchissent un seuil de régime</w:t>
      </w:r>
      <w:r>
        <w:t xml:space="preserve"> </w:t>
      </w:r>
      <w:r>
        <w:t xml:space="preserve">à signal inchangé</w:t>
      </w:r>
      <w:r>
        <w:t xml:space="preserve"> </w:t>
      </w:r>
      <w:r>
        <w:t xml:space="preserve">(ECG : Cosmologique → Quantique ; moteur défaillant et EEG :</w:t>
      </w:r>
      <w:r>
        <w:t xml:space="preserve"> </w:t>
      </w:r>
      <w:r>
        <w:t xml:space="preserve">Quantique → Cosmologique).</w:t>
      </w:r>
    </w:p>
    <w:p>
      <w:pPr>
        <w:numPr>
          <w:ilvl w:val="0"/>
          <w:numId w:val="1001"/>
        </w:numPr>
        <w:pStyle w:val="Compact"/>
      </w:pPr>
      <w:r>
        <w:t xml:space="preserve">Mécanisme de saturation mesuré sur la sinusoïde (entropie dégénérée</w:t>
      </w:r>
      <w:r>
        <w:t xml:space="preserve"> </w:t>
      </w:r>
      <w:r>
        <w:t xml:space="preserve">H ≈ 0) : le double plancher ε de la formule (</w:t>
      </w:r>
      <w:r>
        <w:rPr>
          <w:rStyle w:val="VerbatimChar"/>
        </w:rPr>
        <w:t xml:space="preserve">Rc·(H+1e-8) + 1e-8</w:t>
      </w:r>
      <w:r>
        <w:t xml:space="preserve">)</w:t>
      </w:r>
      <w:r>
        <w:t xml:space="preserve"> </w:t>
      </w:r>
      <w:r>
        <w:t xml:space="preserve">borne ReN à ≈ 10¹⁰ — la pente −1 n’est plus pure. Détail</w:t>
      </w:r>
      <w:r>
        <w:t xml:space="preserve"> </w:t>
      </w:r>
      <w:r>
        <w:t xml:space="preserve">d’implémentation publié.</w:t>
      </w:r>
    </w:p>
    <w:p>
      <w:pPr>
        <w:numPr>
          <w:ilvl w:val="0"/>
          <w:numId w:val="1001"/>
        </w:numPr>
        <w:pStyle w:val="Compact"/>
      </w:pPr>
      <w:r>
        <w:t xml:space="preserve">Invariants normalisés : stables à</w:t>
      </w:r>
      <w:r>
        <w:t xml:space="preserve"> </w:t>
      </w:r>
      <w:r>
        <w:rPr>
          <w:bCs/>
          <w:b/>
        </w:rPr>
        <w:t xml:space="preserve">1e-9</w:t>
      </w:r>
      <w:r>
        <w:t xml:space="preserve"> </w:t>
      </w:r>
      <w:r>
        <w:t xml:space="preserve">sur tout le balayage.</w:t>
      </w:r>
    </w:p>
    <w:bookmarkEnd w:id="21"/>
    <w:bookmarkStart w:id="22" w:name="X53319465eb87755bf81f6dcffb5a1a179e8c23d"/>
    <w:p>
      <w:pPr>
        <w:pStyle w:val="Heading3"/>
      </w:pPr>
      <w:r>
        <w:t xml:space="preserve">C3 — la classification survit sans amplitude</w:t>
      </w:r>
    </w:p>
    <w:p>
      <w:pPr>
        <w:pStyle w:val="FirstParagraph"/>
      </w:pPr>
      <w:r>
        <w:rPr>
          <w:bCs/>
          <w:b/>
        </w:rPr>
        <w:t xml:space="preserve">10/10 paires de signaux séparées</w:t>
      </w:r>
      <w:r>
        <w:t xml:space="preserve"> </w:t>
      </w:r>
      <w:r>
        <w:t xml:space="preserve">par au moins un invariant normalisé</w:t>
      </w:r>
      <w:r>
        <w:t xml:space="preserve"> </w:t>
      </w:r>
      <w:r>
        <w:t xml:space="preserve">à intervalles inter-fenêtres disjoints (souvent 4–7 invariants</w:t>
      </w:r>
      <w:r>
        <w:t xml:space="preserve"> </w:t>
      </w:r>
      <w:r>
        <w:t xml:space="preserve">disponibles). Le classement des 5 signaux du benchmark</w:t>
      </w:r>
      <w:r>
        <w:t xml:space="preserve"> </w:t>
      </w:r>
      <w:r>
        <w:rPr>
          <w:bCs/>
          <w:b/>
        </w:rPr>
        <w:t xml:space="preserve">ne dépend pas de</w:t>
      </w:r>
      <w:r>
        <w:rPr>
          <w:bCs/>
          <w:b/>
        </w:rPr>
        <w:t xml:space="preserve"> </w:t>
      </w:r>
      <w:r>
        <w:rPr>
          <w:bCs/>
          <w:b/>
        </w:rPr>
        <w:t xml:space="preserve">ReN</w:t>
      </w:r>
      <w:r>
        <w:t xml:space="preserve"> </w:t>
      </w:r>
      <w:r>
        <w:t xml:space="preserve">— c’est le résultat central : la valeur du benchmark tient, son</w:t>
      </w:r>
      <w:r>
        <w:t xml:space="preserve"> </w:t>
      </w:r>
      <w:r>
        <w:t xml:space="preserve">étiquette de régime tombe.</w:t>
      </w:r>
    </w:p>
    <w:bookmarkEnd w:id="22"/>
    <w:bookmarkStart w:id="23" w:name="c4-eeg-intention-deux-mesures"/>
    <w:p>
      <w:pPr>
        <w:pStyle w:val="Heading3"/>
      </w:pPr>
      <w:r>
        <w:t xml:space="preserve">C4 — EEG intention : deux mesures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Grille figée (4 octaves, max 15,1 Hz)</w:t>
      </w:r>
      <w:r>
        <w:t xml:space="preserve"> </w:t>
      </w:r>
      <w:r>
        <w:t xml:space="preserve">: ma prédiction « bouffée β</w:t>
      </w:r>
      <w:r>
        <w:t xml:space="preserve"> </w:t>
      </w:r>
      <w:r>
        <w:t xml:space="preserve">strictement invisible » est RÉFUTÉE — la fuite des lobes de Welch élève</w:t>
      </w:r>
      <w:r>
        <w:t xml:space="preserve"> </w:t>
      </w:r>
      <w:r>
        <w:t xml:space="preserve">les notes hautes : l’intention est visible par un</w:t>
      </w:r>
      <w:r>
        <w:t xml:space="preserve"> </w:t>
      </w:r>
      <w:r>
        <w:rPr>
          <w:bCs/>
          <w:b/>
        </w:rPr>
        <w:t xml:space="preserve">canal parasite</w:t>
      </w:r>
      <w:r>
        <w:t xml:space="preserve"> </w:t>
      </w:r>
      <w:r>
        <w:t xml:space="preserve">(Rdyn bascule, écart max = 1,00). Publié.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Grille étendue (n_octaves=5, déclaré)</w:t>
      </w:r>
      <w:r>
        <w:t xml:space="preserve"> </w:t>
      </w:r>
      <w:r>
        <w:t xml:space="preserve">: la bouffée β devient</w:t>
      </w:r>
      <w:r>
        <w:t xml:space="preserve"> </w:t>
      </w:r>
      <w:r>
        <w:t xml:space="preserve">lisible en propre — plan E5 ×3,66 pendant [4,7] s, pic dominant à la</w:t>
      </w:r>
      <w:r>
        <w:t xml:space="preserve"> </w:t>
      </w:r>
      <w:r>
        <w:t xml:space="preserve">note 52 (20,2 Hz) dans 3/4 fenêtres (la fenêtre [6,8] s ne couvre</w:t>
      </w:r>
      <w:r>
        <w:t xml:space="preserve"> </w:t>
      </w:r>
      <w:r>
        <w:t xml:space="preserve">l’intention qu’à moitié — justification déclarée).</w:t>
      </w:r>
    </w:p>
    <w:bookmarkEnd w:id="23"/>
    <w:bookmarkStart w:id="24" w:name="X51e7bde30e6c1c19a6e750ff58afe251a5c2ec8"/>
    <w:p>
      <w:pPr>
        <w:pStyle w:val="Heading3"/>
      </w:pPr>
      <w:r>
        <w:t xml:space="preserve">C1 — B3-FAIL de reproductibilité de l’archive</w:t>
      </w:r>
    </w:p>
    <w:p>
      <w:pPr>
        <w:pStyle w:val="FirstParagraph"/>
      </w:pPr>
      <w:r>
        <w:t xml:space="preserve">La table figée de juin 2026 n’est reproduite à tolérance par</w:t>
      </w:r>
      <w:r>
        <w:t xml:space="preserve"> </w:t>
      </w:r>
      <w:r>
        <w:rPr>
          <w:bCs/>
          <w:b/>
        </w:rPr>
        <w:t xml:space="preserve">aucun</w:t>
      </w:r>
      <w:r>
        <w:t xml:space="preserve"> </w:t>
      </w:r>
      <w:r>
        <w:t xml:space="preserve">des deux pipelines publiés (fenêtre classe 1–2 s ; fenêtre 256 éch./hop</w:t>
      </w:r>
      <w:r>
        <w:t xml:space="preserve"> </w:t>
      </w:r>
      <w:r>
        <w:t xml:space="preserve">128), sauf</w:t>
      </w:r>
      <w:r>
        <w:t xml:space="preserve"> </w:t>
      </w:r>
      <w:r>
        <w:rPr>
          <w:iCs/>
          <w:i/>
        </w:rPr>
        <w:t xml:space="preserve">moteur_sain</w:t>
      </w:r>
      <w:r>
        <w:t xml:space="preserve"> </w:t>
      </w:r>
      <w:r>
        <w:t xml:space="preserve">(fenêtre classe ✓ : 1,099 vs 1,107 figé). Les</w:t>
      </w:r>
      <w:r>
        <w:t xml:space="preserve"> </w:t>
      </w:r>
      <w:r>
        <w:t xml:space="preserve">valeurs de juin 2026 proviennent d’une pipeline non figée. Publié comme</w:t>
      </w:r>
      <w:r>
        <w:t xml:space="preserve"> </w:t>
      </w:r>
      <w:r>
        <w:t xml:space="preserve">B3-FAIL d’archive — entrée</w:t>
      </w:r>
      <w:r>
        <w:t xml:space="preserve"> </w:t>
      </w:r>
      <w:r>
        <w:rPr>
          <w:bCs/>
          <w:b/>
        </w:rPr>
        <w:t xml:space="preserve">F18</w:t>
      </w:r>
      <w:r>
        <w:t xml:space="preserve"> </w:t>
      </w:r>
      <w:r>
        <w:t xml:space="preserve">au registre (hygiène, ouverte ;</w:t>
      </w:r>
      <w:r>
        <w:t xml:space="preserve"> </w:t>
      </w:r>
      <w:r>
        <w:t xml:space="preserve">coût de fermeture : re-figer la table avec le pipeline v1.0.0 déclaré).</w:t>
      </w:r>
    </w:p>
    <w:bookmarkEnd w:id="24"/>
    <w:bookmarkEnd w:id="25"/>
    <w:bookmarkStart w:id="26" w:name="conséquences-pour-noetic-ash"/>
    <w:p>
      <w:pPr>
        <w:pStyle w:val="Heading2"/>
      </w:pPr>
      <w:r>
        <w:t xml:space="preserve">3. Conséquences pour</w:t>
      </w:r>
      <w:r>
        <w:t xml:space="preserve"> </w:t>
      </w:r>
      <w:r>
        <w:rPr>
          <w:rStyle w:val="VerbatimChar"/>
        </w:rPr>
        <w:t xml:space="preserve">noetic-ash</w:t>
      </w:r>
    </w:p>
    <w:p>
      <w:pPr>
        <w:numPr>
          <w:ilvl w:val="0"/>
          <w:numId w:val="1003"/>
        </w:numPr>
        <w:pStyle w:val="Compact"/>
      </w:pPr>
      <w:r>
        <w:t xml:space="preserve">Retirer ReN/régime des classifications publiées (ou fermer F16 par un</w:t>
      </w:r>
      <w:r>
        <w:t xml:space="preserve"> </w:t>
      </w:r>
      <w:r>
        <w:t xml:space="preserve">ReN normalisé en amplitude, validé sur la batterie P43) ;</w:t>
      </w:r>
    </w:p>
    <w:p>
      <w:pPr>
        <w:numPr>
          <w:ilvl w:val="0"/>
          <w:numId w:val="1003"/>
        </w:numPr>
        <w:pStyle w:val="Compact"/>
      </w:pPr>
      <w:r>
        <w:t xml:space="preserve">La classification par invariants normalisés tient (10/10) — elle peut</w:t>
      </w:r>
      <w:r>
        <w:t xml:space="preserve"> </w:t>
      </w:r>
      <w:r>
        <w:t xml:space="preserve">être promue comme la classification officielle du benchmark ;</w:t>
      </w:r>
    </w:p>
    <w:p>
      <w:pPr>
        <w:numPr>
          <w:ilvl w:val="0"/>
          <w:numId w:val="1003"/>
        </w:numPr>
        <w:pStyle w:val="Compact"/>
      </w:pPr>
      <w:r>
        <w:t xml:space="preserve">Étendre la grille EEG à 5 octaves si la bande β est visée (la grille</w:t>
      </w:r>
      <w:r>
        <w:t xml:space="preserve"> </w:t>
      </w:r>
      <w:r>
        <w:t xml:space="preserve">figée à 4 octaves ne la voit pas en direct) ;</w:t>
      </w:r>
    </w:p>
    <w:p>
      <w:pPr>
        <w:numPr>
          <w:ilvl w:val="0"/>
          <w:numId w:val="1003"/>
        </w:numPr>
        <w:pStyle w:val="Compact"/>
      </w:pPr>
      <w:r>
        <w:t xml:space="preserve">Re-figer la table de juin 2026 (F18).</w:t>
      </w:r>
    </w:p>
    <w:p>
      <w:pPr>
        <w:pStyle w:val="FirstParagraph"/>
      </w:pPr>
      <w:r>
        <w:rPr>
          <w:bCs/>
          <w:b/>
        </w:rPr>
        <w:t xml:space="preserve">Verdict P45 : PARTIEL 3/4</w:t>
      </w:r>
      <w:r>
        <w:t xml:space="preserve"> </w:t>
      </w:r>
      <w:r>
        <w:t xml:space="preserve">— C1 publié comme échec de reproductibilité</w:t>
      </w:r>
      <w:r>
        <w:t xml:space="preserve"> </w:t>
      </w:r>
      <w:r>
        <w:t xml:space="preserve">de l’archive ; C2, C3, C4 tenus.</w:t>
      </w:r>
    </w:p>
    <w:bookmarkEnd w:id="26"/>
    <w:bookmarkStart w:id="27" w:name="artefacts"/>
    <w:p>
      <w:pPr>
        <w:pStyle w:val="Heading2"/>
      </w:pPr>
      <w:r>
        <w:t xml:space="preserve">Artefacts</w:t>
      </w:r>
    </w:p>
    <w:p>
      <w:pPr>
        <w:pStyle w:val="FirstParagraph"/>
      </w:pPr>
      <w:r>
        <w:rPr>
          <w:rStyle w:val="VerbatimChar"/>
        </w:rPr>
        <w:t xml:space="preserve">p45_bench_renormalise.py</w:t>
      </w:r>
      <w:r>
        <w:t xml:space="preserve"> </w:t>
      </w:r>
      <w:r>
        <w:t xml:space="preserve">(sha</w:t>
      </w:r>
      <w:r>
        <w:t xml:space="preserve"> </w:t>
      </w:r>
      <w:r>
        <w:rPr>
          <w:rStyle w:val="VerbatimChar"/>
        </w:rPr>
        <w:t xml:space="preserve">99eb7870…</w:t>
      </w:r>
      <w:r>
        <w:t xml:space="preserve">) ·</w:t>
      </w:r>
      <w:r>
        <w:t xml:space="preserve"> </w:t>
      </w:r>
      <w:r>
        <w:rPr>
          <w:rStyle w:val="VerbatimChar"/>
        </w:rPr>
        <w:t xml:space="preserve">p45_bench_renormalise_verdict.json</w:t>
      </w:r>
      <w:r>
        <w:t xml:space="preserve"> </w:t>
      </w:r>
      <w:r>
        <w:t xml:space="preserve">· CSV régénérés (empreintes dans le</w:t>
      </w:r>
      <w:r>
        <w:t xml:space="preserve"> </w:t>
      </w:r>
      <w:r>
        <w:t xml:space="preserve">verdict, conformes au SHASUMS de noetic-ash).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2026-08-30T17:53:19Z</dcterms:created>
  <dcterms:modified xsi:type="dcterms:W3CDTF">2026-08-30T17:53:19Z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