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0a41708a2b66d6bf244d60f515e3298194a8e4"/>
    <w:p>
      <w:pPr>
        <w:pStyle w:val="Heading1"/>
      </w:pPr>
      <w:r>
        <w:t xml:space="preserve">A2 — Moteur automatique de leviers : la carte de constitutivité du monopole</w:t>
      </w:r>
    </w:p>
    <w:p>
      <w:pPr>
        <w:pStyle w:val="FirstParagraph"/>
      </w:pPr>
      <w:r>
        <w:rPr>
          <w:bCs/>
          <w:b/>
        </w:rPr>
        <w:t xml:space="preserve">Chantier A2 du programme de prospection — axe 1 (méthode).</w:t>
      </w:r>
      <w:r>
        <w:t xml:space="preserve"> </w:t>
      </w:r>
      <w:r>
        <w:t xml:space="preserve">Artefacts :</w:t>
      </w:r>
      <w:r>
        <w:t xml:space="preserve"> </w:t>
      </w:r>
      <w:r>
        <w:rPr>
          <w:rStyle w:val="VerbatimChar"/>
        </w:rPr>
        <w:t xml:space="preserve">a2_moteur_leviers.py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a2_moteur_leviers_verdict.json</w:t>
      </w:r>
      <w:r>
        <w:t xml:space="preserve"> </w:t>
      </w:r>
      <w:r>
        <w:t xml:space="preserve">· protocole gelé</w:t>
      </w:r>
      <w:r>
        <w:t xml:space="preserve"> </w:t>
      </w:r>
      <w:r>
        <w:rPr>
          <w:bCs/>
          <w:b/>
        </w:rPr>
        <w:t xml:space="preserve">LEV-ENG-1.0</w:t>
      </w:r>
      <w:r>
        <w:t xml:space="preserve">.</w:t>
      </w:r>
    </w:p>
    <w:bookmarkStart w:id="20" w:name="le-problème"/>
    <w:p>
      <w:pPr>
        <w:pStyle w:val="Heading2"/>
      </w:pPr>
      <w:r>
        <w:t xml:space="preserve">1. Le problème</w:t>
      </w:r>
    </w:p>
    <w:p>
      <w:pPr>
        <w:pStyle w:val="FirstParagraph"/>
      </w:pPr>
      <w:r>
        <w:t xml:space="preserve">La discipline des leviers —</w:t>
      </w:r>
      <w:r>
        <w:t xml:space="preserve"> </w:t>
      </w:r>
      <w:r>
        <w:rPr>
          <w:iCs/>
          <w:i/>
        </w:rPr>
        <w:t xml:space="preserve">chaque mécanisme doit survivre à sa propre suppression</w:t>
      </w:r>
      <w:r>
        <w:t xml:space="preserve"> </w:t>
      </w:r>
      <w:r>
        <w:t xml:space="preserve">— était jusqu’ici appliquée</w:t>
      </w:r>
      <w:r>
        <w:t xml:space="preserve"> </w:t>
      </w:r>
      <w:r>
        <w:rPr>
          <w:bCs/>
          <w:b/>
        </w:rPr>
        <w:t xml:space="preserve">à la main</w:t>
      </w:r>
      <w:r>
        <w:t xml:space="preserve"> </w:t>
      </w:r>
      <w:r>
        <w:t xml:space="preserve">: l’expérimentateur choisit ses leviers, donc choisit partiellement ses résultats. A2 transforme la discipline en</w:t>
      </w:r>
      <w:r>
        <w:t xml:space="preserve"> </w:t>
      </w:r>
      <w:r>
        <w:rPr>
          <w:bCs/>
          <w:b/>
        </w:rPr>
        <w:t xml:space="preserve">moteur</w:t>
      </w:r>
      <w:r>
        <w:t xml:space="preserve"> </w:t>
      </w:r>
      <w:r>
        <w:t xml:space="preserve">: les composants de la structure candidate sont énumérés, chacun est ablaté binairement (cᵢ ∈ {0,1}), et la machine publie la carte complète de constitutivité — y compris contre l’intuition de l’expérimentateur.</w:t>
      </w:r>
    </w:p>
    <w:bookmarkEnd w:id="20"/>
    <w:bookmarkStart w:id="21" w:name="cible-et-protocole"/>
    <w:p>
      <w:pPr>
        <w:pStyle w:val="Heading2"/>
      </w:pPr>
      <w:r>
        <w:t xml:space="preserve">2. Cible et protocole</w:t>
      </w:r>
    </w:p>
    <w:p>
      <w:pPr>
        <w:pStyle w:val="FirstParagraph"/>
      </w:pPr>
      <w:r>
        <w:t xml:space="preserve">Première cible : la fonctionnelle radiale du monopole SU(2) Georgi–Glashow (banc P0 du corpus) 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d</m:t>
          </m:r>
          <m:r>
            <m:t>ξ</m:t>
          </m:r>
          <m:r>
            <m:t> </m:t>
          </m:r>
          <m:r>
            <m:rPr>
              <m:sty m:val="p"/>
            </m:rPr>
            <m:t>[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K</m:t>
          </m:r>
          <m:sSup>
            <m:e>
              <m:r>
                <m:rPr>
                  <m:sty m:val="p"/>
                </m:rPr>
                <m:t>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p>
                <m:e>
                  <m:r>
                    <m:t>ξ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ξ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p>
                <m:e>
                  <m:r>
                    <m:t>ξ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4</m:t>
              </m:r>
            </m:sub>
          </m:sSub>
          <m:sSup>
            <m:e>
              <m:r>
                <m:t>K</m:t>
              </m:r>
            </m:e>
            <m:sup>
              <m:r>
                <m:t>2</m:t>
              </m:r>
            </m:sup>
          </m:sSup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5</m:t>
              </m:r>
            </m:sub>
          </m:sSub>
          <m:f>
            <m:fPr>
              <m:type m:val="bar"/>
            </m:fPr>
            <m:num>
              <m:r>
                <m:t>ρ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Chaque ablation repart du</w:t>
      </w:r>
      <w:r>
        <w:t xml:space="preserve"> </w:t>
      </w:r>
      <w:r>
        <w:rPr>
          <w:bCs/>
          <w:b/>
        </w:rPr>
        <w:t xml:space="preserve">même germe</w:t>
      </w:r>
      <w:r>
        <w:t xml:space="preserve"> </w:t>
      </w:r>
      <w:r>
        <w:t xml:space="preserve">(BPS approché) et du</w:t>
      </w:r>
      <w:r>
        <w:t xml:space="preserve"> </w:t>
      </w:r>
      <w:r>
        <w:rPr>
          <w:bCs/>
          <w:b/>
        </w:rPr>
        <w:t xml:space="preserve">même solveur</w:t>
      </w:r>
      <w:r>
        <w:t xml:space="preserve"> </w:t>
      </w:r>
      <w:r>
        <w:t xml:space="preserve">(L-BFGS-B, gradient discret exact) que P0 — zéro recalibration. Critères d’existence gelés : énergie finie, asymptotique correcte (|K|&lt;0.05, |H−1|&lt;0.05 au bord), cœur non effondré.</w:t>
      </w:r>
      <w:r>
        <w:t xml:space="preserve"> </w:t>
      </w:r>
      <w:r>
        <w:rPr>
          <w:bCs/>
          <w:b/>
        </w:rPr>
        <w:t xml:space="preserve">Contrôle tueur intégré</w:t>
      </w:r>
      <w:r>
        <w:t xml:space="preserve"> </w:t>
      </w:r>
      <w:r>
        <w:t xml:space="preserve">: à ρ = 0, ablater c₅ doit être strictement invisible (le terme est nul par construction) — sinon le moteur est bugué.</w:t>
      </w:r>
    </w:p>
    <w:bookmarkEnd w:id="21"/>
    <w:bookmarkStart w:id="22" w:name="Xdbea078b73de16fb5d6094bf3a76412f6e6de6c"/>
    <w:p>
      <w:pPr>
        <w:pStyle w:val="Heading2"/>
      </w:pPr>
      <w:r>
        <w:t xml:space="preserve">3. La carte mesurée (ρ = 1, C nominal = 1.30981 ✓ corpus)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 supprimé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monopole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(nominal)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(cœur ξ=1.35)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c₁ cinétique de jauge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constitutif de valeur (ΔC = 26 %)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c₂ flux magnétique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constitutif de valeur (ΔC = 29 %)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c₃ cinétique covariante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constitutif de valeur (ΔC = 12 %)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c₄ couplage jauge–Higgs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0.51371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CONSTITUTIF D’EXISTENCE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c₅ potentiel de Higgs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CONSTITUTIF D’EXISTENCE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Lecture structurelle</w:t>
      </w:r>
      <w:r>
        <w:t xml:space="preserve"> </w:t>
      </w:r>
      <w:r>
        <w:t xml:space="preserve">: la carte sépare nettement les</w:t>
      </w:r>
      <w:r>
        <w:t xml:space="preserve"> </w:t>
      </w:r>
      <w:r>
        <w:rPr>
          <w:bCs/>
          <w:b/>
        </w:rPr>
        <w:t xml:space="preserve">termes de masse</w:t>
      </w:r>
      <w:r>
        <w:t xml:space="preserve"> </w:t>
      </w:r>
      <w:r>
        <w:t xml:space="preserve">(c₄, c₅) des</w:t>
      </w:r>
      <w:r>
        <w:t xml:space="preserve"> </w:t>
      </w:r>
      <w:r>
        <w:rPr>
          <w:bCs/>
          <w:b/>
        </w:rPr>
        <w:t xml:space="preserve">termes de gradient/flux</w:t>
      </w:r>
      <w:r>
        <w:t xml:space="preserve"> </w:t>
      </w:r>
      <w:r>
        <w:t xml:space="preserve">(c₁, c₂, c₃). Sans c₄, le champ de jauge est sans masse : queue algébrique, l’asymptotique n’est plus atteinte. Sans c₅, le Higgs est sans masse : délocalisation complète, l’énergie s’effondre.</w:t>
      </w:r>
      <w:r>
        <w:t xml:space="preserve"> </w:t>
      </w:r>
      <w:r>
        <w:rPr>
          <w:iCs/>
          <w:i/>
        </w:rPr>
        <w:t xml:space="preserve">L’existence du monopole comme objet localisé repose sur les masses qu’il génère.</w:t>
      </w:r>
      <w:r>
        <w:t xml:space="preserve"> </w:t>
      </w:r>
      <w:r>
        <w:t xml:space="preserve">Les termes de gradient ne fixent que la valeur de C.</w:t>
      </w:r>
    </w:p>
    <w:p>
      <w:pPr>
        <w:pStyle w:val="BodyText"/>
      </w:pPr>
      <w:r>
        <w:rPr>
          <w:bCs/>
          <w:b/>
        </w:rPr>
        <w:t xml:space="preserve">Stabilité (intégration A1)</w:t>
      </w:r>
      <w:r>
        <w:t xml:space="preserve"> </w:t>
      </w:r>
      <w:r>
        <w:t xml:space="preserve">: les deux verdicts d’existence survivent au doublement de la boîte (XMAX 30 → 60 : non-existence stable — l’inexistence est structurelle, pas numérique) ; le verdict nominal et l’ablation c₂ sont stables sous raffinement DX 0.02 → 0.04.</w:t>
      </w:r>
    </w:p>
    <w:bookmarkEnd w:id="22"/>
    <w:bookmarkStart w:id="23" w:name="X48809326978b66bc645c6c2949b578bc80430ff"/>
    <w:p>
      <w:pPr>
        <w:pStyle w:val="Heading2"/>
      </w:pPr>
      <w:r>
        <w:t xml:space="preserve">4. Les trois prédictions de l’expérimentateur : 0/3 — publié</w:t>
      </w:r>
    </w:p>
    <w:p>
      <w:pPr>
        <w:pStyle w:val="FirstParagraph"/>
      </w:pPr>
      <w:r>
        <w:t xml:space="preserve">Trois prédictions avaient été pré-enregistrées avant exécution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prédiction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leçon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— c₂ (flux magnétique) constitutif d’existence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INFIRMÉE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c₂, le couplage Higgs suffit à faire décroître K de 1 à 0 : le monopole survit (C = 0.928)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— c₅ constitutif de valeur, pas d’existence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INFIRMÉE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c₅ est constitutif d’existence : c’est le terme de</w:t>
            </w:r>
            <w:r>
              <w:t xml:space="preserve"> </w:t>
            </w:r>
            <w:r>
              <w:rPr>
                <w:iCs/>
                <w:i/>
              </w:rPr>
              <w:t xml:space="preserve">localisation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— viriel stationnaire à 5 % sur les solutions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INFIRMÉE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relation de Derrick exacte implique le secteur de jauge ; le « viriel » naïf E_h + 3E_pot n’est pas la bonne observable</w:t>
            </w:r>
          </w:p>
        </w:tc>
      </w:tr>
    </w:tbl>
    <w:p>
      <w:pPr>
        <w:pStyle w:val="BodyText"/>
      </w:pPr>
      <w:r>
        <w:t xml:space="preserve">C’est le résultat central d’A2 :</w:t>
      </w:r>
      <w:r>
        <w:t xml:space="preserve"> </w:t>
      </w:r>
      <w:r>
        <w:rPr>
          <w:bCs/>
          <w:b/>
        </w:rPr>
        <w:t xml:space="preserve">le moteur corrige l’expérimentateur</w:t>
      </w:r>
      <w:r>
        <w:t xml:space="preserve">. L’intuition humaine avait désigné le mauvais terme comme pilier d’existence (le flux magnétique, spectaculaire) et raté le vrai (la masse, discrète). Une discipline de leviers choisie à la main aurait confirmé l’intuition ; l’énumération systématique la tue. La pré-registration rend l’échec publiable au lieu d’être réécrit après coup.</w:t>
      </w:r>
    </w:p>
    <w:bookmarkEnd w:id="23"/>
    <w:bookmarkStart w:id="24" w:name="X9cdffab9060284bbdf164bf57093b918d12f949"/>
    <w:p>
      <w:pPr>
        <w:pStyle w:val="Heading2"/>
      </w:pPr>
      <w:r>
        <w:t xml:space="preserve">5. Frontière mesurée : le point BPS n’est pas atteignable par relaxation</w:t>
      </w:r>
    </w:p>
    <w:p>
      <w:pPr>
        <w:pStyle w:val="FirstParagraph"/>
      </w:pPr>
      <w:r>
        <w:t xml:space="preserve">Le contrôle tueur a révélé une frontière du protocole P0 lui-même :</w:t>
      </w:r>
      <w:r>
        <w:t xml:space="preserve"> </w:t>
      </w:r>
      <w:r>
        <w:rPr>
          <w:bCs/>
          <w:b/>
        </w:rPr>
        <w:t xml:space="preserve">C(ρ=0) = 0.0485 ≠ 1</w:t>
      </w:r>
      <w:r>
        <w:t xml:space="preserve">. À masse de Higgs nulle, l’infimum d’énergie n’est pas atteint sur boîte finie — le cœur glisse au bord (ξ = 30.0). Le point BPS est un</w:t>
      </w:r>
      <w:r>
        <w:t xml:space="preserve"> </w:t>
      </w:r>
      <w:r>
        <w:rPr>
          <w:bCs/>
          <w:b/>
        </w:rPr>
        <w:t xml:space="preserve">point d’invariance d’échelle</w:t>
      </w:r>
      <w:r>
        <w:t xml:space="preserve"> </w:t>
      </w:r>
      <w:r>
        <w:t xml:space="preserve">(mode zéro), non générique : la valeur C = 1 est exacte analytiquement mais la relaxation numérique ne l’atteint pas. Conséquence pour le corpus : tout verdict de P0–P4 à ρ = 0 obtenu par relaxation est à étiqueter</w:t>
      </w:r>
      <w:r>
        <w:t xml:space="preserve"> </w:t>
      </w:r>
      <w:r>
        <w:rPr>
          <w:iCs/>
          <w:i/>
        </w:rPr>
        <w:t xml:space="preserve">(verdict, sensible à la boîte)</w:t>
      </w:r>
      <w:r>
        <w:t xml:space="preserve"> </w:t>
      </w:r>
      <w:r>
        <w:t xml:space="preserve">— exactement le type d’entrée prévu pour le registre A4.</w:t>
      </w:r>
    </w:p>
    <w:bookmarkEnd w:id="24"/>
    <w:bookmarkStart w:id="25" w:name="ce-que-a2-change-pour-le-corpus"/>
    <w:p>
      <w:pPr>
        <w:pStyle w:val="Heading2"/>
      </w:pPr>
      <w:r>
        <w:t xml:space="preserve">6. Ce que A2 change pour le corpus</w:t>
      </w:r>
    </w:p>
    <w:p>
      <w:pPr>
        <w:numPr>
          <w:ilvl w:val="0"/>
          <w:numId w:val="1001"/>
        </w:numPr>
        <w:pStyle w:val="Compact"/>
      </w:pPr>
      <w:r>
        <w:t xml:space="preserve">Toute structure candidate à ≥ 2 composants reçoit désormais sa</w:t>
      </w:r>
      <w:r>
        <w:t xml:space="preserve"> </w:t>
      </w:r>
      <w:r>
        <w:rPr>
          <w:bCs/>
          <w:b/>
        </w:rPr>
        <w:t xml:space="preserve">carte de constitutivité complète</w:t>
      </w:r>
      <w:r>
        <w:t xml:space="preserve"> </w:t>
      </w:r>
      <w:r>
        <w:t xml:space="preserve">(5 minimisations ici — coût marginal nul contre une intuition fausse).</w:t>
      </w:r>
    </w:p>
    <w:p>
      <w:pPr>
        <w:numPr>
          <w:ilvl w:val="0"/>
          <w:numId w:val="1001"/>
        </w:numPr>
        <w:pStyle w:val="Compact"/>
      </w:pPr>
      <w:r>
        <w:t xml:space="preserve">Les classes sont ternaires et publiées :</w:t>
      </w:r>
      <w:r>
        <w:t xml:space="preserve"> </w:t>
      </w:r>
      <w:r>
        <w:rPr>
          <w:iCs/>
          <w:i/>
        </w:rPr>
        <w:t xml:space="preserve">existence / valeur / invisible</w:t>
      </w:r>
      <w:r>
        <w:t xml:space="preserve"> </w:t>
      </w:r>
      <w:r>
        <w:t xml:space="preserve">— toute ablation « invisible » hors contrôle est une anomalie publiée.</w:t>
      </w:r>
    </w:p>
    <w:p>
      <w:pPr>
        <w:numPr>
          <w:ilvl w:val="0"/>
          <w:numId w:val="1001"/>
        </w:numPr>
        <w:pStyle w:val="Compact"/>
      </w:pPr>
      <w:r>
        <w:t xml:space="preserve">Le contrôle tueur (ablation structurellement nulle) est</w:t>
      </w:r>
      <w:r>
        <w:t xml:space="preserve"> </w:t>
      </w:r>
      <w:r>
        <w:rPr>
          <w:bCs/>
          <w:b/>
        </w:rPr>
        <w:t xml:space="preserve">constitutif</w:t>
      </w:r>
      <w:r>
        <w:t xml:space="preserve"> </w:t>
      </w:r>
      <w:r>
        <w:t xml:space="preserve">du moteur : il a immédiatement servi (frontière BPS).</w:t>
      </w:r>
    </w:p>
    <w:p>
      <w:pPr>
        <w:numPr>
          <w:ilvl w:val="0"/>
          <w:numId w:val="1001"/>
        </w:numPr>
        <w:pStyle w:val="Compact"/>
      </w:pPr>
      <w:r>
        <w:t xml:space="preserve">Prochaines cibles naturelles : la loi spectrale KO-6 (ablation des axiomes), le tube de flux P3, les familles Jastrow de P31–P33 (jonction avec A3).</w:t>
      </w:r>
    </w:p>
    <w:p>
      <w:pPr>
        <w:pStyle w:val="FirstParagraph"/>
      </w:pPr>
      <w:r>
        <w:rPr>
          <w:bCs/>
          <w:b/>
        </w:rPr>
        <w:t xml:space="preserve">Falsifieur</w:t>
      </w:r>
      <w:r>
        <w:t xml:space="preserve"> </w:t>
      </w:r>
      <w:r>
        <w:t xml:space="preserve">: toute solution régulière à énergie finie exhibée pour les ablations c₄ ou c₅ tue la carte ; un contrôle ρ = 0 non invisible tue le moteur.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A2 — LEV-ENG-1.0 · SHA-256 du script dans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a2_moteur_leviers_verdict.json</w:t>
      </w:r>
      <w:r>
        <w:rPr>
          <w:iCs/>
          <w:i/>
        </w:rPr>
        <w:t xml:space="preserve"> </w:t>
      </w:r>
      <w:r>
        <w:rPr>
          <w:iCs/>
          <w:i/>
        </w:rPr>
        <w:t xml:space="preserve">· zéro paramètre ajusté, germe et solveur de P0, prédictions pré-enregistrées.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2026-08-29T23:14:06Z</dcterms:created>
  <dcterms:modified xsi:type="dcterms:W3CDTF">2026-08-29T23:14:06Z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