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e3752a84fe2530fbe3928d1a043fb771ac6388"/>
    <w:p>
      <w:pPr>
        <w:pStyle w:val="Heading1"/>
      </w:pPr>
      <w:r>
        <w:t xml:space="preserve">A3 — Le juge devient tamis : frontière r₁₂ et ré-énumération KO-6</w:t>
      </w:r>
    </w:p>
    <w:p>
      <w:pPr>
        <w:pStyle w:val="FirstParagraph"/>
      </w:pPr>
      <w:r>
        <w:rPr>
          <w:bCs/>
          <w:b/>
        </w:rPr>
        <w:t xml:space="preserve">Chantier A3 du programme de prospection — axe 1 (méthode).</w:t>
      </w:r>
      <w:r>
        <w:t xml:space="preserve"> </w:t>
      </w:r>
      <w:r>
        <w:t xml:space="preserve">Artefacts :</w:t>
      </w:r>
      <w:r>
        <w:t xml:space="preserve"> </w:t>
      </w:r>
      <w:r>
        <w:rPr>
          <w:rStyle w:val="VerbatimChar"/>
        </w:rPr>
        <w:t xml:space="preserve">a3_tamis_jastrow.py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a3_tamis_jastrow_verdict.json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a3_ko6_reenumeration.py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a3_ko6_reenumeration_verdict.json</w:t>
      </w:r>
      <w:r>
        <w:t xml:space="preserve"> </w:t>
      </w:r>
      <w:r>
        <w:t xml:space="preserve">· protocoles gelés</w:t>
      </w:r>
      <w:r>
        <w:t xml:space="preserve"> </w:t>
      </w:r>
      <w:r>
        <w:rPr>
          <w:bCs/>
          <w:b/>
        </w:rPr>
        <w:t xml:space="preserve">TAMIS-J12-2.0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TAMIS-KO6-1.0</w:t>
      </w:r>
      <w:r>
        <w:t xml:space="preserve">.</w:t>
      </w:r>
    </w:p>
    <w:bookmarkStart w:id="20" w:name="le-problème"/>
    <w:p>
      <w:pPr>
        <w:pStyle w:val="Heading2"/>
      </w:pPr>
      <w:r>
        <w:t xml:space="preserve">1. Le problème</w:t>
      </w:r>
    </w:p>
    <w:p>
      <w:pPr>
        <w:pStyle w:val="FirstParagraph"/>
      </w:pPr>
      <w:r>
        <w:t xml:space="preserve">Un juge qui choisit ses candidats choisit partiellement ses verdicts. P31–P33 testaient trois règles de portée pour une seule famille de Jastrow ; l’énumération KO-6 annonçait 63 160 réalisations « certifiées ». A3 remplace le choix par l’énumération :</w:t>
      </w:r>
      <w:r>
        <w:t xml:space="preserve"> </w:t>
      </w:r>
      <w:r>
        <w:rPr>
          <w:bCs/>
          <w:b/>
        </w:rPr>
        <w:t xml:space="preserve">toute</w:t>
      </w:r>
      <w:r>
        <w:t xml:space="preserve"> </w:t>
      </w:r>
      <w:r>
        <w:t xml:space="preserve">famille déclarée ×</w:t>
      </w:r>
      <w:r>
        <w:t xml:space="preserve"> </w:t>
      </w:r>
      <w:r>
        <w:rPr>
          <w:bCs/>
          <w:b/>
        </w:rPr>
        <w:t xml:space="preserve">toute</w:t>
      </w:r>
      <w:r>
        <w:t xml:space="preserve"> </w:t>
      </w:r>
      <w:r>
        <w:t xml:space="preserve">règle déclarée ×</w:t>
      </w:r>
      <w:r>
        <w:t xml:space="preserve"> </w:t>
      </w:r>
      <w:r>
        <w:rPr>
          <w:bCs/>
          <w:b/>
        </w:rPr>
        <w:t xml:space="preserve">tout</w:t>
      </w:r>
      <w:r>
        <w:t xml:space="preserve"> </w:t>
      </w:r>
      <w:r>
        <w:t xml:space="preserve">Z, et pour KO-6, l’énumération complète</w:t>
      </w:r>
      <w:r>
        <w:t xml:space="preserve"> </w:t>
      </w:r>
      <w:r>
        <w:rPr>
          <w:bCs/>
          <w:b/>
        </w:rPr>
        <w:t xml:space="preserve">plafond supprimé</w:t>
      </w:r>
      <w:r>
        <w:t xml:space="preserve">.</w:t>
      </w:r>
    </w:p>
    <w:bookmarkEnd w:id="20"/>
    <w:bookmarkStart w:id="23" w:name="Xad4aa2beb122ea8ef6da3426f87e140674efbf0"/>
    <w:p>
      <w:pPr>
        <w:pStyle w:val="Heading2"/>
      </w:pPr>
      <w:r>
        <w:t xml:space="preserve">2. Volet 1 — Tamis de Jastrow sur la frontière r₁₂ (Z = 2..6)</w:t>
      </w:r>
    </w:p>
    <w:bookmarkStart w:id="21" w:name="Xa886ef0b4c5f2acea6d81db232abfa2dfbcab7e"/>
    <w:p>
      <w:pPr>
        <w:pStyle w:val="Heading3"/>
      </w:pPr>
      <w:r>
        <w:t xml:space="preserve">Le tamis a d’abord failli — B3-FAIL d’A3, publié et fermé</w:t>
      </w:r>
    </w:p>
    <w:p>
      <w:pPr>
        <w:pStyle w:val="FirstParagraph"/>
      </w:pPr>
      <w:r>
        <w:t xml:space="preserve">La première version a produit des « victoires » avec des gains de</w:t>
      </w:r>
      <w:r>
        <w:t xml:space="preserve"> </w:t>
      </w:r>
      <w:r>
        <w:rPr>
          <w:bCs/>
          <w:b/>
        </w:rPr>
        <w:t xml:space="preserve">225 % à 4 377 % du résiduel</w:t>
      </w:r>
      <w:r>
        <w:t xml:space="preserve"> </w:t>
      </w:r>
      <w:r>
        <w:t xml:space="preserve">: des énergies</w:t>
      </w:r>
      <w:r>
        <w:t xml:space="preserve"> </w:t>
      </w:r>
      <w:r>
        <w:rPr>
          <w:iCs/>
          <w:i/>
        </w:rPr>
        <w:t xml:space="preserve">sous</w:t>
      </w:r>
      <w:r>
        <w:t xml:space="preserve"> </w:t>
      </w:r>
      <w:r>
        <w:t xml:space="preserve">l’exact, donc non variationnelles. Deux défauts détectés par le tamis lui-même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Déviation de protocole</w:t>
      </w:r>
      <w:r>
        <w:t xml:space="preserve"> </w:t>
      </w:r>
      <w:r>
        <w:t xml:space="preserve">: la règle de portée β doit être figée en ζ₀ = Z−5/16 puis ζ balayé (protocole corpus) — coupler β au ζ courant en dévie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Absence de porte variationnelle</w:t>
      </w:r>
      <w:r>
        <w:t xml:space="preserve"> </w:t>
      </w:r>
      <w:r>
        <w:t xml:space="preserve">: l’intégrateur delta de C12.1 n’est valide qu’en corrélation faible (|u| ≪ 1). Hors de ce domaine, il produit des énergies non variationnelles — que le tamis v1 comptait comme des succès.</w:t>
      </w:r>
    </w:p>
    <w:p>
      <w:pPr>
        <w:pStyle w:val="FirstParagraph"/>
      </w:pPr>
      <w:r>
        <w:t xml:space="preserve">Fermeture : protocole TAMIS-J12-2.0 — règles figées en ζ₀ +</w:t>
      </w:r>
      <w:r>
        <w:t xml:space="preserve"> </w:t>
      </w:r>
      <w:r>
        <w:rPr>
          <w:bCs/>
          <w:b/>
        </w:rPr>
        <w:t xml:space="preserve">porte variationnelle</w:t>
      </w:r>
      <w:r>
        <w:t xml:space="preserve"> </w:t>
      </w:r>
      <w:r>
        <w:t xml:space="preserve">(E &lt; E_exact − 5e-3 ⇒ cellule HORS DOMAINE, publiée, exclue des passants).</w:t>
      </w:r>
    </w:p>
    <w:bookmarkEnd w:id="21"/>
    <w:bookmarkStart w:id="22" w:name="la-table-finale-n-96-stabilité-64128"/>
    <w:p>
      <w:pPr>
        <w:pStyle w:val="Heading3"/>
      </w:pPr>
      <w:r>
        <w:t xml:space="preserve">La table finale (N = 96, stabilité 64/128)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F1×R1 (corpus)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F1×R2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F1×R3 (corpus)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F2×R1, F2×R2, F2×R3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F4×R1, F4×R3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F4×R2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F3×R3 (queue exacte P33)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</w:tbl>
    <w:p>
      <w:pPr>
        <w:pStyle w:val="BodyText"/>
      </w:pPr>
      <w:r>
        <w:t xml:space="preserve">(− : perd contre la référence split-ζ ; HD : hors domaine variationnel ; + : passe.)</w:t>
      </w:r>
    </w:p>
    <w:p>
      <w:pPr>
        <w:pStyle w:val="BodyText"/>
      </w:pPr>
      <w:r>
        <w:rPr>
          <w:bCs/>
          <w:b/>
        </w:rPr>
        <w:t xml:space="preserve">Verdicts mesurés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0/10</w:t>
      </w:r>
      <w:r>
        <w:t xml:space="preserve"> </w:t>
      </w:r>
      <w:r>
        <w:t xml:space="preserve">couple ne bat la référence en tout Z dans le domaine — la frontière r₁₂ est</w:t>
      </w:r>
      <w:r>
        <w:t xml:space="preserve"> </w:t>
      </w:r>
      <w:r>
        <w:rPr>
          <w:bCs/>
          <w:b/>
        </w:rPr>
        <w:t xml:space="preserve">confirmée</w:t>
      </w:r>
      <w:r>
        <w:t xml:space="preserve"> </w:t>
      </w:r>
      <w:r>
        <w:t xml:space="preserve">au niveau du tamis déclaré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25/50 cellules sont hors domaine</w:t>
      </w:r>
      <w:r>
        <w:t xml:space="preserve"> </w:t>
      </w:r>
      <w:r>
        <w:t xml:space="preserve">: la moitié de l’espace déclaré échappe à l’intégrateur delta.</w:t>
      </w:r>
      <w:r>
        <w:t xml:space="preserve"> </w:t>
      </w:r>
      <w:r>
        <w:rPr>
          <w:iCs/>
          <w:i/>
        </w:rPr>
        <w:t xml:space="preserve">Frontière d’intégrateur mesurée</w:t>
      </w:r>
      <w:r>
        <w:t xml:space="preserve"> </w:t>
      </w:r>
      <w:r>
        <w:t xml:space="preserve">— coût de fermeture exact : l’intégrateur d’espérance complet type P31 (×10), chantier déclaré (jonction avec P39)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Loi P32 affûtée</w:t>
      </w:r>
      <w:r>
        <w:t xml:space="preserve"> </w:t>
      </w:r>
      <w:r>
        <w:t xml:space="preserve">: la règle de densité R3 ne gagne clairement qu’en Z = 2. La « victoire » de P32 en Z = 3 (+3.5×10⁻³ Ha) est</w:t>
      </w:r>
      <w:r>
        <w:t xml:space="preserve"> </w:t>
      </w:r>
      <w:r>
        <w:rPr>
          <w:iCs/>
          <w:i/>
        </w:rPr>
        <w:t xml:space="preserve">sous la résolution de l’intégrateur</w:t>
      </w:r>
      <w:r>
        <w:t xml:space="preserve"> </w:t>
      </w:r>
      <w:r>
        <w:t xml:space="preserve">— à convergence (N96/N128) la cellule est perdante (−2.4×10⁻³). La loi Z-dépendante de la frontière est confirmée et durcie 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 queue exacte dégrade en tout Z</w:t>
      </w:r>
      <w:r>
        <w:t xml:space="preserve"> </w:t>
      </w:r>
      <w:r>
        <w:t xml:space="preserve">(P33 reproduit, stable) : imposer l’asymptotique exacte coûte de l’énergie partout — résultat contre-intuitif du corpus, désormais vérifié sur trois grilles ;</w:t>
      </w:r>
    </w:p>
    <w:p>
      <w:pPr>
        <w:numPr>
          <w:ilvl w:val="0"/>
          <w:numId w:val="1002"/>
        </w:numPr>
        <w:pStyle w:val="Compact"/>
      </w:pPr>
      <w:r>
        <w:t xml:space="preserve">Contrôles : levier c = 0 exact (T0 PASS, trois grilles) ; croisement corpus T1 3/3.</w:t>
      </w:r>
    </w:p>
    <w:bookmarkEnd w:id="22"/>
    <w:bookmarkEnd w:id="23"/>
    <w:bookmarkStart w:id="24" w:name="volet-2-ré-énumération-ko-6-propre"/>
    <w:p>
      <w:pPr>
        <w:pStyle w:val="Heading2"/>
      </w:pPr>
      <w:r>
        <w:t xml:space="preserve">3. Volet 2 — Ré-énumération KO-6 propre</w:t>
      </w:r>
    </w:p>
    <w:p>
      <w:pPr>
        <w:pStyle w:val="FirstParagraph"/>
      </w:pPr>
      <w:r>
        <w:t xml:space="preserve">Audit du moteur publié (</w:t>
      </w:r>
      <w:r>
        <w:rPr>
          <w:rStyle w:val="VerbatimChar"/>
        </w:rPr>
        <w:t xml:space="preserve">spectral-triple-minimality</w:t>
      </w:r>
      <w:r>
        <w:t xml:space="preserve">), trois défauts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— plafond codé en dur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len(solutions) &gt;= 63160: break</w:t>
            </w:r>
            <w:r>
              <w:t xml:space="preserve"> </w:t>
            </w:r>
            <w:r>
              <w:t xml:space="preserve">— le nombre annoncé est une</w:t>
            </w:r>
            <w:r>
              <w:t xml:space="preserve"> </w:t>
            </w:r>
            <w:r>
              <w:rPr>
                <w:bCs/>
                <w:b/>
              </w:rPr>
              <w:t xml:space="preserve">entrée</w:t>
            </w:r>
            <w:r>
              <w:t xml:space="preserve"> </w:t>
            </w:r>
            <w:r>
              <w:t xml:space="preserve">du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— axiomes proxys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order_one</w:t>
            </w:r>
            <w:r>
              <w:t xml:space="preserve"> </w:t>
            </w:r>
            <w:r>
              <w:t xml:space="preserve">= symétrie matricielle ;</w:t>
            </w:r>
            <w:r>
              <w:t xml:space="preserve"> </w:t>
            </w:r>
            <w:r>
              <w:rPr>
                <w:rStyle w:val="VerbatimChar"/>
              </w:rPr>
              <w:t xml:space="preserve">ko6</w:t>
            </w:r>
            <w:r>
              <w:t xml:space="preserve"> </w:t>
            </w:r>
            <w:r>
              <w:t xml:space="preserve">= k pair et dim ≥ 2k+1 — aucune structure J_F, γ_F, D_F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— certification vide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certify()</w:t>
            </w:r>
            <w:r>
              <w:t xml:space="preserve"> </w:t>
            </w:r>
            <w:r>
              <w:t xml:space="preserve">retourne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rPr>
                <w:bCs/>
                <w:b/>
              </w:rPr>
              <w:t xml:space="preserve">inconditionnellement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Ré-énumération fidèle, plafond supprimé</w:t>
      </w:r>
      <w:r>
        <w:t xml:space="preserve"> </w:t>
      </w:r>
      <w:r>
        <w:t xml:space="preserve">— prédiction pré-enregistrée confirmée : la cible « 7 bandes » avec la définition commitée (lignes non vides ≤ k ≤ 3) est</w:t>
      </w:r>
      <w:r>
        <w:t xml:space="preserve"> </w:t>
      </w:r>
      <w:r>
        <w:rPr>
          <w:bCs/>
          <w:b/>
        </w:rPr>
        <w:t xml:space="preserve">inatteignable → 0 solution</w:t>
      </w:r>
      <w:r>
        <w:t xml:space="preserve">. Le moteur publié ne peut produire</w:t>
      </w:r>
      <w:r>
        <w:t xml:space="preserve"> </w:t>
      </w:r>
      <w:r>
        <w:rPr>
          <w:iCs/>
          <w:i/>
        </w:rPr>
        <w:t xml:space="preserve">aucune</w:t>
      </w:r>
      <w:r>
        <w:t xml:space="preserve"> </w:t>
      </w:r>
      <w:r>
        <w:t xml:space="preserve">des 63 160 réalisations qu’il annonce.</w:t>
      </w:r>
    </w:p>
    <w:p>
      <w:pPr>
        <w:pStyle w:val="BodyText"/>
      </w:pPr>
      <w:r>
        <w:rPr>
          <w:bCs/>
          <w:b/>
        </w:rPr>
        <w:t xml:space="preserve">Tamis de définitions</w:t>
      </w:r>
      <w:r>
        <w:t xml:space="preserve"> </w:t>
      </w:r>
      <w:r>
        <w:t xml:space="preserve">— le compte n’est pas un objet mathématique, c’est un artefact de définition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définition de « bande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lignes non vides (commitée)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entrées non nulles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paires non nulles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29 017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 : le « 63 160 » est RÉFUTÉ comme publié (B3-FAIL du corpus)</w:t>
      </w:r>
      <w:r>
        <w:t xml:space="preserve"> </w:t>
      </w:r>
      <w:r>
        <w:t xml:space="preserve">— ni sortie du code, ni invariant de définition. Contrôle : la loi de multiplicité sqf (T4) passe ses propres tests — c’est le moteur d’énumération, pas les théorèmes, qui est en cause.</w:t>
      </w:r>
      <w:r>
        <w:t xml:space="preserve"> </w:t>
      </w:r>
      <w:r>
        <w:rPr>
          <w:bCs/>
          <w:b/>
        </w:rPr>
        <w:t xml:space="preserve">Coût de fermeture exact</w:t>
      </w:r>
      <w:r>
        <w:t xml:space="preserve"> </w:t>
      </w:r>
      <w:r>
        <w:t xml:space="preserve">: implémenter les vrais axiomes KO-6 au niveau des représentations (J_F² = +1, J_FD_F = D_FJ_F, (J_Fγ_F)² = −1, ordre un sur les blocs de D_F), ré-énumérer sous bornes déclarées, publier le compte quel qu’il soit.</w:t>
      </w:r>
    </w:p>
    <w:bookmarkEnd w:id="24"/>
    <w:bookmarkStart w:id="25" w:name="ce-que-a3-change-pour-le-corpus"/>
    <w:p>
      <w:pPr>
        <w:pStyle w:val="Heading2"/>
      </w:pPr>
      <w:r>
        <w:t xml:space="preserve">4. Ce que A3 change pour le corpus</w:t>
      </w:r>
    </w:p>
    <w:p>
      <w:pPr>
        <w:numPr>
          <w:ilvl w:val="0"/>
          <w:numId w:val="1003"/>
        </w:numPr>
        <w:pStyle w:val="Compact"/>
      </w:pPr>
      <w:r>
        <w:t xml:space="preserve">Tout test de candidats devient une</w:t>
      </w:r>
      <w:r>
        <w:t xml:space="preserve"> </w:t>
      </w:r>
      <w:r>
        <w:rPr>
          <w:bCs/>
          <w:b/>
        </w:rPr>
        <w:t xml:space="preserve">énumération déclarée</w:t>
      </w:r>
      <w:r>
        <w:t xml:space="preserve"> </w:t>
      </w:r>
      <w:r>
        <w:t xml:space="preserve">: familles × règles × cas, table complète publiée.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porte variationnelle</w:t>
      </w:r>
      <w:r>
        <w:t xml:space="preserve"> </w:t>
      </w:r>
      <w:r>
        <w:t xml:space="preserve">est désormais constitutive de tout tamis variationnel : une énergie sous l’exact est un diagnostic d’intégrateur, jamais un succès.</w:t>
      </w:r>
    </w:p>
    <w:p>
      <w:pPr>
        <w:numPr>
          <w:ilvl w:val="0"/>
          <w:numId w:val="1003"/>
        </w:numPr>
        <w:pStyle w:val="Compact"/>
      </w:pPr>
      <w:r>
        <w:t xml:space="preserve">Le tamis s’éprouve lui-même : B3-FAIL d’A3 (v1 sous-variationnelle) détecté, publié, fermé — comme A1 (mutation M3) et A2 (prédictions de l’expérimentateur 0/3).</w:t>
      </w:r>
    </w:p>
    <w:p>
      <w:pPr>
        <w:numPr>
          <w:ilvl w:val="0"/>
          <w:numId w:val="1003"/>
        </w:numPr>
        <w:pStyle w:val="Compact"/>
      </w:pPr>
      <w:r>
        <w:t xml:space="preserve">Deux frontières alimentent le registre A4 : r₁₂ (ouverte, double coût mesuré) et KO-6 (ouverte, nombre réfuté, axiomes réels à implémenter).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A3 — TAMIS-J12-2.0 / TAMIS-KO6-1.0 · SHA-256 des scripts dans les JSON de verdict · zéro paramètre ajusté, grilles 64/96/128, porte variationnelle 5×10⁻³ Ha.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2026-08-30T00:03:42Z</dcterms:created>
  <dcterms:modified xsi:type="dcterms:W3CDTF">2026-08-30T00:03:42Z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