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3d56543d2dd410b9d6b7f7c4040eb0ef545fa4"/>
    <w:p>
      <w:pPr>
        <w:pStyle w:val="Heading1"/>
      </w:pPr>
      <w:r>
        <w:t xml:space="preserve">M1 — L’économie de l’information, mesurée : le postulat central est réfuté dans sa forme brute, et affiné</w:t>
      </w:r>
    </w:p>
    <w:p>
      <w:pPr>
        <w:pStyle w:val="FirstParagraph"/>
      </w:pPr>
      <w:r>
        <w:rPr>
          <w:bCs/>
          <w:b/>
        </w:rPr>
        <w:t xml:space="preserve">Patrice Portemann — corpus Machine Noétique, méta-chantier M1</w:t>
      </w:r>
      <w:r>
        <w:t xml:space="preserve"> </w:t>
      </w:r>
      <w:r>
        <w:t xml:space="preserve">Protocole gelé ECO-1.0 · zéro paramètre ajusté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PRÉDICTION PRÉ-ENREGISTRÉE : RÉFUTÉE — AVEC INVERSION MESURÉE.</w:t>
      </w:r>
      <w:r>
        <w:t xml:space="preserve"> </w:t>
      </w:r>
      <w:r>
        <w:t xml:space="preserve">La</w:t>
      </w:r>
      <w:r>
        <w:t xml:space="preserve"> </w:t>
      </w:r>
      <w:r>
        <w:t xml:space="preserve">prospection (§M1) prédisait que le ratio (données reproduites)/(longueur</w:t>
      </w:r>
      <w:r>
        <w:t xml:space="preserve"> </w:t>
      </w:r>
      <w:r>
        <w:t xml:space="preserve">de S) est élevé pour les chantiers discrets et</w:t>
      </w:r>
      <w:r>
        <w:t xml:space="preserve"> </w:t>
      </w:r>
      <w:r>
        <w:rPr>
          <w:bCs/>
          <w:b/>
        </w:rPr>
        <w:t xml:space="preserve">s’effondre à r₁₂</w:t>
      </w:r>
      <w:r>
        <w:t xml:space="preserve">.</w:t>
      </w:r>
      <w:r>
        <w:t xml:space="preserve"> </w:t>
      </w:r>
      <w:r>
        <w:t xml:space="preserve">Mesuré sur 23 chantiers (P20–P42) avec deux métriques uniformes gelées,</w:t>
      </w:r>
      <w:r>
        <w:t xml:space="preserve"> </w:t>
      </w:r>
      <w:r>
        <w:t xml:space="preserve">le ratio fait</w:t>
      </w:r>
      <w:r>
        <w:t xml:space="preserve"> </w:t>
      </w:r>
      <w:r>
        <w:rPr>
          <w:bCs/>
          <w:b/>
        </w:rPr>
        <w:t xml:space="preserve">l’inverse</w:t>
      </w:r>
      <w:r>
        <w:t xml:space="preserve"> </w:t>
      </w:r>
      <w:r>
        <w:t xml:space="preserve">: il est plus</w:t>
      </w:r>
      <w:r>
        <w:t xml:space="preserve"> </w:t>
      </w:r>
      <w:r>
        <w:rPr>
          <w:bCs/>
          <w:b/>
        </w:rPr>
        <w:t xml:space="preserve">élevé</w:t>
      </w:r>
      <w:r>
        <w:t xml:space="preserve"> </w:t>
      </w:r>
      <w:r>
        <w:t xml:space="preserve">à la frontière</w:t>
      </w:r>
      <w:r>
        <w:t xml:space="preserve"> </w:t>
      </w:r>
      <w:r>
        <w:t xml:space="preserve">(médiane ρ₁ = 0.898 vs 0.275 ; médiane ρ₂ = 0.095 vs 0.033). En</w:t>
      </w:r>
      <w:r>
        <w:t xml:space="preserve"> </w:t>
      </w:r>
      <w:r>
        <w:t xml:space="preserve">revanche, le</w:t>
      </w:r>
      <w:r>
        <w:t xml:space="preserve"> </w:t>
      </w:r>
      <w:r>
        <w:rPr>
          <w:bCs/>
          <w:b/>
        </w:rPr>
        <w:t xml:space="preserve">taux de réussite des confrontations externes</w:t>
      </w:r>
      <w:r>
        <w:t xml:space="preserve"> </w:t>
      </w:r>
      <w:r>
        <w:t xml:space="preserve">τ sépare</w:t>
      </w:r>
      <w:r>
        <w:t xml:space="preserve"> </w:t>
      </w:r>
      <w:r>
        <w:t xml:space="preserve">nettement la frontière du reste (médiane 0.60 vs 1.00, corpus P20–P33).</w:t>
      </w:r>
      <w:r>
        <w:t xml:space="preserve"> </w:t>
      </w:r>
      <w:r>
        <w:rPr>
          <w:bCs/>
          <w:b/>
        </w:rPr>
        <w:t xml:space="preserve">Affinage mesuré : ce qui s’effondre à r₁₂ n’est pas le ratio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informationnel brut, c’est le taux de réussite des confrontations.</w:t>
      </w:r>
    </w:p>
    <w:bookmarkEnd w:id="20"/>
    <w:bookmarkStart w:id="21" w:name="protocole-gelé-avant-calcul"/>
    <w:p>
      <w:pPr>
        <w:pStyle w:val="Heading2"/>
      </w:pPr>
      <w:r>
        <w:t xml:space="preserve">Protocole (gelé avant calcul)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Corpus</w:t>
      </w:r>
      <w:r>
        <w:t xml:space="preserve"> </w:t>
      </w:r>
      <w:r>
        <w:t xml:space="preserve">: chantiers à score publié — P20–P33 (README</w:t>
      </w:r>
      <w:r>
        <w:t xml:space="preserve"> </w:t>
      </w:r>
      <w:r>
        <w:t xml:space="preserve">noetic-machine-complete, SHA-vérifiés contre SHASUMS.txt) + chantiers</w:t>
      </w:r>
      <w:r>
        <w:t xml:space="preserve"> </w:t>
      </w:r>
      <w:r>
        <w:t xml:space="preserve">locaux P34–P42. Exclusions gelées : P0–P19 (banc fondateur hors</w:t>
      </w:r>
      <w:r>
        <w:t xml:space="preserve"> </w:t>
      </w:r>
      <w:r>
        <w:t xml:space="preserve">corpus), A1–A5 (hygiène machine), bifurcations hors-programme ;</w:t>
      </w:r>
      <w:r>
        <w:t xml:space="preserve"> </w:t>
      </w:r>
      <w:r>
        <w:t xml:space="preserve">P28 sans JSON de résultats (V₁ non calculable, déclaré).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= SLOC du script (lignes physiques non vides, non commentaires)</w:t>
      </w:r>
      <w:r>
        <w:t xml:space="preserve"> </w:t>
      </w:r>
      <w:r>
        <w:t xml:space="preserve">— proxy déclaré de la longueur de Kolmogorov de la structure 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V₁</w:t>
      </w:r>
      <w:r>
        <w:t xml:space="preserve"> </w:t>
      </w:r>
      <w:r>
        <w:t xml:space="preserve">= feuilles numériques du JSON de résultats (mécanique,</w:t>
      </w:r>
      <w:r>
        <w:t xml:space="preserve"> </w:t>
      </w:r>
      <w:r>
        <w:t xml:space="preserve">récursif) — proxy du contenu quantitatif produit, interne inclus.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V₂</w:t>
      </w:r>
      <w:r>
        <w:t xml:space="preserve"> </w:t>
      </w:r>
      <w:r>
        <w:t xml:space="preserve">= nombre de confrontations externes (dénominateur du score</w:t>
      </w:r>
      <w:r>
        <w:t xml:space="preserve"> </w:t>
      </w:r>
      <w:r>
        <w:t xml:space="preserve">publié, ou cardinal du dictionnaire de tests C local — table de</w:t>
      </w:r>
      <w:r>
        <w:t xml:space="preserve"> </w:t>
      </w:r>
      <w:r>
        <w:t xml:space="preserve">provenance gelée).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Groupe frontière gelé</w:t>
      </w:r>
      <w:r>
        <w:t xml:space="preserve"> </w:t>
      </w:r>
      <w:r>
        <w:t xml:space="preserve">: F = {P31, P32, P33, P39} (trilogie r₁₂</w:t>
      </w:r>
      <w:r>
        <w:t xml:space="preserve"> </w:t>
      </w:r>
      <w:r>
        <w:t xml:space="preserve">du corpus + fermeture P39).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Critère binaire gelé</w:t>
      </w:r>
      <w:r>
        <w:t xml:space="preserve"> </w:t>
      </w:r>
      <w:r>
        <w:t xml:space="preserve">: confirmé si médiane(ρ|F) &lt; médiane(ρ|NF)</w:t>
      </w:r>
      <w:r>
        <w:t xml:space="preserve"> </w:t>
      </w:r>
      <w:r>
        <w:t xml:space="preserve">ET max(ρ|F) ≤ Q3(ρ|NF), sur les deux métriques.</w:t>
      </w:r>
    </w:p>
    <w:bookmarkEnd w:id="21"/>
    <w:bookmarkStart w:id="22" w:name="mesures"/>
    <w:p>
      <w:pPr>
        <w:pStyle w:val="Heading2"/>
      </w:pPr>
      <w:r>
        <w:t xml:space="preserve">Mesures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(SLOC)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Critères</w:t>
      </w:r>
      <w:r>
        <w:t xml:space="preserve"> </w:t>
      </w:r>
      <w:r>
        <w:t xml:space="preserve">: ρ₁ FAIL (médiane F 0.898 &gt; NF 0.275 ; max F 1.097 &gt;</w:t>
      </w:r>
      <w:r>
        <w:t xml:space="preserve"> </w:t>
      </w:r>
      <w:r>
        <w:t xml:space="preserve">Q3 NF 0.322) ; ρ₂ FAIL (0.095 &gt; 0.033 ; 0.161 &gt; 0.055) —</w:t>
      </w:r>
      <w:r>
        <w:t xml:space="preserve"> </w:t>
      </w:r>
      <w:r>
        <w:rPr>
          <w:bCs/>
          <w:b/>
        </w:rPr>
        <w:t xml:space="preserve">inversion</w:t>
      </w:r>
      <w:r>
        <w:rPr>
          <w:bCs/>
          <w:b/>
        </w:rPr>
        <w:t xml:space="preserve"> </w:t>
      </w:r>
      <w:r>
        <w:rPr>
          <w:bCs/>
          <w:b/>
        </w:rPr>
        <w:t xml:space="preserve">sur les deux métriques</w:t>
      </w:r>
      <w:r>
        <w:t xml:space="preserve">. Contrôle τ : PASS (0.60 &lt; 1.00 ; 0.80 ≤ 1.00)</w:t>
      </w:r>
      <w:r>
        <w:t xml:space="preserve"> </w:t>
      </w:r>
      <w:r>
        <w:t xml:space="preserve">— le groupe frontière est bien défini, c’est la prédiction qui tombe.</w:t>
      </w:r>
    </w:p>
    <w:bookmarkEnd w:id="22"/>
    <w:bookmarkStart w:id="23" w:name="lecture"/>
    <w:p>
      <w:pPr>
        <w:pStyle w:val="Heading2"/>
      </w:pPr>
      <w:r>
        <w:t xml:space="preserve">Lecture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L’exemple pré-enregistré tient</w:t>
      </w:r>
      <w:r>
        <w:t xml:space="preserve"> </w:t>
      </w:r>
      <w:r>
        <w:t xml:space="preserve">: P24, estimé « ~100 lignes →</w:t>
      </w:r>
      <w:r>
        <w:t xml:space="preserve"> </w:t>
      </w:r>
      <w:r>
        <w:t xml:space="preserve">148 fractions », mesuré à</w:t>
      </w:r>
      <w:r>
        <w:t xml:space="preserve"> </w:t>
      </w:r>
      <w:r>
        <w:rPr>
          <w:bCs/>
          <w:b/>
        </w:rPr>
        <w:t xml:space="preserve">106 lignes</w:t>
      </w:r>
      <w:r>
        <w:t xml:space="preserve"> </w:t>
      </w:r>
      <w:r>
        <w:t xml:space="preserve">et 148 fractions dérivées</w:t>
      </w:r>
      <w:r>
        <w:t xml:space="preserve"> </w:t>
      </w:r>
      <w:r>
        <w:t xml:space="preserve">(11 testées). L’intuition du cas discret était juste.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L’inversion a un mécanisme lisible</w:t>
      </w:r>
      <w:r>
        <w:t xml:space="preserve"> </w:t>
      </w:r>
      <w:r>
        <w:t xml:space="preserve">: les chantiers de la</w:t>
      </w:r>
      <w:r>
        <w:t xml:space="preserve"> </w:t>
      </w:r>
      <w:r>
        <w:t xml:space="preserve">frontière r₁₂ sont des</w:t>
      </w:r>
      <w:r>
        <w:t xml:space="preserve"> </w:t>
      </w:r>
      <w:r>
        <w:rPr>
          <w:iCs/>
          <w:i/>
        </w:rPr>
        <w:t xml:space="preserve">diagnostics minimaux</w:t>
      </w:r>
      <w:r>
        <w:t xml:space="preserve"> </w:t>
      </w:r>
      <w:r>
        <w:t xml:space="preserve">(P32/P33 : 31 lignes)</w:t>
      </w:r>
      <w:r>
        <w:t xml:space="preserve"> </w:t>
      </w:r>
      <w:r>
        <w:t xml:space="preserve">qui produisent beaucoup de contenu numérique interne (grilles</w:t>
      </w:r>
      <w:r>
        <w:t xml:space="preserve"> </w:t>
      </w:r>
      <w:r>
        <w:t xml:space="preserve">d’énergie) par ligne de code, tout en</w:t>
      </w:r>
      <w:r>
        <w:t xml:space="preserve"> </w:t>
      </w:r>
      <w:r>
        <w:rPr>
          <w:bCs/>
          <w:b/>
        </w:rPr>
        <w:t xml:space="preserve">échouant</w:t>
      </w:r>
      <w:r>
        <w:t xml:space="preserve"> </w:t>
      </w:r>
      <w:r>
        <w:t xml:space="preserve">leurs</w:t>
      </w:r>
      <w:r>
        <w:t xml:space="preserve"> </w:t>
      </w:r>
      <w:r>
        <w:t xml:space="preserve">confrontations externes (τ = 0.6–0.8). Les chantiers discrets</w:t>
      </w:r>
      <w:r>
        <w:t xml:space="preserve"> </w:t>
      </w:r>
      <w:r>
        <w:t xml:space="preserve">réussissent leurs confrontations mais avec des structures plus</w:t>
      </w:r>
      <w:r>
        <w:t xml:space="preserve"> </w:t>
      </w:r>
      <w:r>
        <w:t xml:space="preserve">longues et moins de bruit numérique interne.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 postulat affiné</w:t>
      </w:r>
      <w:r>
        <w:t xml:space="preserve"> </w:t>
      </w:r>
      <w:r>
        <w:t xml:space="preserve">(forme mesurée, remplace la forme brute) :</w:t>
      </w:r>
      <w:r>
        <w:t xml:space="preserve"> </w:t>
      </w:r>
      <w:r>
        <w:rPr>
          <w:iCs/>
          <w:i/>
        </w:rPr>
        <w:t xml:space="preserve">en régime discret, les confrontations externes réussissent (τ ≈ 1) ;</w:t>
      </w:r>
      <w:r>
        <w:rPr>
          <w:iCs/>
          <w:i/>
        </w:rPr>
        <w:t xml:space="preserve"> </w:t>
      </w:r>
      <w:r>
        <w:rPr>
          <w:iCs/>
          <w:i/>
        </w:rPr>
        <w:t xml:space="preserve">à la frontière r₁₂, le taux de réussite s’effondre (τ ≈ 0.6) — le</w:t>
      </w:r>
      <w:r>
        <w:rPr>
          <w:iCs/>
          <w:i/>
        </w:rPr>
        <w:t xml:space="preserve"> </w:t>
      </w:r>
      <w:r>
        <w:rPr>
          <w:iCs/>
          <w:i/>
        </w:rPr>
        <w:t xml:space="preserve">coût informationnel apparaît comme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liberté de forme résiduelle</w:t>
      </w:r>
      <w:r>
        <w:rPr>
          <w:iCs/>
          <w:i/>
        </w:rPr>
        <w:t xml:space="preserve"> </w:t>
      </w:r>
      <w:r>
        <w:rPr>
          <w:iCs/>
          <w:i/>
        </w:rPr>
        <w:t xml:space="preserve">(ddll), pas comme longueur de code relative.</w:t>
      </w:r>
      <w:r>
        <w:t xml:space="preserve"> </w:t>
      </w:r>
      <w:r>
        <w:t xml:space="preserve">C’est cohérent avec le</w:t>
      </w:r>
      <w:r>
        <w:t xml:space="preserve"> </w:t>
      </w:r>
      <w:r>
        <w:t xml:space="preserve">comptage ddll du registre (toutes les frontières physiques sont des</w:t>
      </w:r>
      <w:r>
        <w:t xml:space="preserve"> </w:t>
      </w:r>
      <w:r>
        <w:t xml:space="preserve">déficits ou des modes non contraints — A5).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Chaîne documentaire corpus</w:t>
      </w:r>
      <w:r>
        <w:t xml:space="preserve"> </w:t>
      </w:r>
      <w:r>
        <w:t xml:space="preserve">: 83/85 artefacts SHA-vérifiés ;</w:t>
      </w:r>
      <w:r>
        <w:t xml:space="preserve"> </w:t>
      </w:r>
      <w:r>
        <w:rPr>
          <w:rStyle w:val="VerbatimChar"/>
        </w:rPr>
        <w:t xml:space="preserve">src/p32_frontiere.py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src/p33_queue.py</w:t>
      </w:r>
      <w:r>
        <w:t xml:space="preserve"> </w:t>
      </w:r>
      <w:r>
        <w:t xml:space="preserve">sont publiés encodés</w:t>
      </w:r>
      <w:r>
        <w:t xml:space="preserve"> </w:t>
      </w:r>
      <w:r>
        <w:rPr>
          <w:bCs/>
          <w:b/>
        </w:rPr>
        <w:t xml:space="preserve">base64</w:t>
      </w:r>
      <w:r>
        <w:t xml:space="preserve"> </w:t>
      </w:r>
      <w:r>
        <w:t xml:space="preserve">et ne coïncident plus avec SHASUMS.txt (ni bruts ni</w:t>
      </w:r>
      <w:r>
        <w:t xml:space="preserve"> </w:t>
      </w:r>
      <w:r>
        <w:t xml:space="preserve">décodés) — rupture publiée en B3-FAIL (le corpus applique B3 à</w:t>
      </w:r>
      <w:r>
        <w:t xml:space="preserve"> </w:t>
      </w:r>
      <w:r>
        <w:t xml:space="preserve">lui-même).</w:t>
      </w:r>
    </w:p>
    <w:bookmarkEnd w:id="23"/>
    <w:bookmarkStart w:id="24" w:name="b3-fail-publiés"/>
    <w:p>
      <w:pPr>
        <w:pStyle w:val="Heading2"/>
      </w:pPr>
      <w:r>
        <w:t xml:space="preserve">B3-FAIL (publiés)</w:t>
      </w:r>
    </w:p>
    <w:p>
      <w:pPr>
        <w:numPr>
          <w:ilvl w:val="0"/>
          <w:numId w:val="1003"/>
        </w:numPr>
        <w:pStyle w:val="Compact"/>
      </w:pPr>
      <w:r>
        <w:t xml:space="preserve">Corpus : rupture SHA sur p32/p33 (encodage base64 non déclaré).</w:t>
      </w:r>
    </w:p>
    <w:p>
      <w:pPr>
        <w:numPr>
          <w:ilvl w:val="0"/>
          <w:numId w:val="1003"/>
        </w:numPr>
        <w:pStyle w:val="Compact"/>
      </w:pPr>
      <w:r>
        <w:t xml:space="preserve">Prédiction pré-enregistrée réfutée dans sa forme brute (résultat</w:t>
      </w:r>
      <w:r>
        <w:t xml:space="preserve"> </w:t>
      </w:r>
      <w:r>
        <w:t xml:space="preserve">principal, publié comme tel).</w:t>
      </w:r>
    </w:p>
    <w:bookmarkEnd w:id="24"/>
    <w:bookmarkStart w:id="25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m1_economie_information.py</w:t>
      </w:r>
      <w:r>
        <w:t xml:space="preserve"> </w:t>
      </w:r>
      <w:r>
        <w:t xml:space="preserve">— SHA-256</w:t>
      </w:r>
      <w:r>
        <w:t xml:space="preserve"> </w:t>
      </w:r>
      <w:r>
        <w:rPr>
          <w:rStyle w:val="VerbatimChar"/>
        </w:rPr>
        <w:t xml:space="preserve">785a176935e86acd…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m1_economie_information_verdict.json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m1_corpus/</w:t>
      </w:r>
      <w:r>
        <w:t xml:space="preserve"> </w:t>
      </w:r>
      <w:r>
        <w:t xml:space="preserve">— miroir SHA-vérifié (87 fichiers : README, SHASUMS.txt,</w:t>
      </w:r>
      <w:r>
        <w:t xml:space="preserve"> </w:t>
      </w:r>
      <w:r>
        <w:t xml:space="preserve">src/ 36 scripts, data/ 49 JSON) du dépôt public</w:t>
      </w:r>
      <w:r>
        <w:t xml:space="preserve"> </w:t>
      </w:r>
      <w:r>
        <w:rPr>
          <w:rStyle w:val="VerbatimChar"/>
        </w:rPr>
        <w:t xml:space="preserve">github.com/PORTEMANN/noetic-machine-complete</w:t>
      </w:r>
    </w:p>
    <w:p>
      <w:pPr>
        <w:pStyle w:val="FirstParagraph"/>
      </w:pPr>
      <w:r>
        <w:rPr>
          <w:bCs/>
          <w:b/>
        </w:rPr>
        <w:t xml:space="preserve">Falsifieur (gelé)</w:t>
      </w:r>
      <w:r>
        <w:t xml:space="preserve"> </w:t>
      </w:r>
      <w:r>
        <w:t xml:space="preserve">: un chantier frontière avec ρ au-dessus du Q3</w:t>
      </w:r>
      <w:r>
        <w:t xml:space="preserve"> </w:t>
      </w:r>
      <w:r>
        <w:t xml:space="preserve">non-frontière, ou des médianes inversées, tuait la prédiction brute —</w:t>
      </w:r>
      <w:r>
        <w:t xml:space="preserve"> </w:t>
      </w:r>
      <w:r>
        <w:t xml:space="preserve">mesuré : la prédiction brute est morte des deux mains.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2026-08-30T10:44:31Z</dcterms:created>
  <dcterms:modified xsi:type="dcterms:W3CDTF">2026-08-30T10:44:31Z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