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bb6145f3252c3ec8a55f8459518a55d83d0646b"/>
    <w:p>
      <w:pPr>
        <w:pStyle w:val="Heading1"/>
      </w:pPr>
      <w:r>
        <w:t xml:space="preserve">P38 — L’attention éprouvée : carte constitutive du bloc minimal</w:t>
      </w:r>
    </w:p>
    <w:p>
      <w:pPr>
        <w:pStyle w:val="FirstParagraph"/>
      </w:pPr>
      <w:r>
        <w:rPr>
          <w:bCs/>
          <w:b/>
        </w:rPr>
        <w:t xml:space="preserve">Patrice Portemann — corpus Machine Noétique, chantier P38</w:t>
      </w:r>
      <w:r>
        <w:t xml:space="preserve"> </w:t>
      </w:r>
      <w:r>
        <w:t xml:space="preserve">Protocole gelé ATTN-1.0 · poids dérivés, zéro apprentissage, exhaustivité déclarée · SHA-256</w:t>
      </w:r>
      <w:r>
        <w:t xml:space="preserve"> </w:t>
      </w:r>
      <w:r>
        <w:t xml:space="preserve">30 août 2026</w:t>
      </w:r>
    </w:p>
    <w:bookmarkStart w:id="20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Cs/>
          <w:b/>
        </w:rPr>
        <w:t xml:space="preserve">SUCCÈS.</w:t>
      </w:r>
      <w:r>
        <w:t xml:space="preserve"> </w:t>
      </w:r>
      <w:r>
        <w:t xml:space="preserve">Le bloc d’attention minimal est éprouvé sur quatre tâches</w:t>
      </w:r>
      <w:r>
        <w:t xml:space="preserve"> </w:t>
      </w:r>
      <w:r>
        <w:t xml:space="preserve">gelées à vérification exhaustive, poids entièrement dérivés, zéro</w:t>
      </w:r>
      <w:r>
        <w:t xml:space="preserve"> </w:t>
      </w:r>
      <w:r>
        <w:t xml:space="preserve">apprentissage. Le verdict n’est pas « l’attention marche » ni</w:t>
      </w:r>
      <w:r>
        <w:t xml:space="preserve"> </w:t>
      </w:r>
      <w:r>
        <w:t xml:space="preserve">« l’attention est universelle » : c’est une</w:t>
      </w:r>
      <w:r>
        <w:t xml:space="preserve"> </w:t>
      </w:r>
      <w:r>
        <w:rPr>
          <w:bCs/>
          <w:b/>
        </w:rPr>
        <w:t xml:space="preserve">carte constitutive</w:t>
      </w:r>
      <w:r>
        <w:t xml:space="preserve"> </w:t>
      </w:r>
      <w:r>
        <w:t xml:space="preserve">—</w:t>
      </w:r>
      <w:r>
        <w:t xml:space="preserve"> </w:t>
      </w:r>
      <w:r>
        <w:t xml:space="preserve">quel degré de liberté est constitutif de quelle tâche, et quel constitutif</w:t>
      </w:r>
      <w:r>
        <w:t xml:space="preserve"> </w:t>
      </w:r>
      <w:r>
        <w:t xml:space="preserve">manque pour laquelle.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Degré de liberté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 (one-hot dérivé)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CONSTITUTIVE</w:t>
            </w:r>
            <w:r>
              <w:t xml:space="preserve"> </w:t>
            </w:r>
            <w:r>
              <w:t xml:space="preserve">de tout ce qui n’est pas symétrique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 : 8/262144 sans, 262144/262144 avec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constitutif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linéaire exact ; softmax à coût d’échelle dérivé β ≥ ln((n−1)/ε)/Δ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profondeur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CONSTITUTIVE</w:t>
            </w:r>
            <w:r>
              <w:t xml:space="preserve"> </w:t>
            </w:r>
            <w:r>
              <w:t xml:space="preserve">pour la parité (cohérence P36/F12)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couche : meilleure exactitude 0.6367 ; 2 couches : exact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comparaison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CONSTITUTIF MANQUANT</w:t>
            </w:r>
            <w:r>
              <w:t xml:space="preserve"> </w:t>
            </w:r>
            <w:r>
              <w:t xml:space="preserve">du 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candidats bilinéaires dérivés échouent (3/27)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multi-tête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CONSTITUTIF uniquement</w:t>
            </w:r>
            <w:r>
              <w:t xml:space="preserve"> </w:t>
            </w:r>
            <w:r>
              <w:t xml:space="preserve">pour relations incompatibles simultanées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mono-tête : 8/256 ; 2 têtes dérivées : 256/256</w:t>
            </w:r>
          </w:p>
        </w:tc>
      </w:tr>
    </w:tbl>
    <w:bookmarkEnd w:id="20"/>
    <w:bookmarkStart w:id="21" w:name="mesures"/>
    <w:p>
      <w:pPr>
        <w:pStyle w:val="Heading2"/>
      </w:pPr>
      <w:r>
        <w:t xml:space="preserve">Mesures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C1 — sans position</w:t>
      </w:r>
      <w:r>
        <w:t xml:space="preserve"> </w:t>
      </w:r>
      <w:r>
        <w:t xml:space="preserve">: la copie par scores uniformes est exacte sur</w:t>
      </w:r>
      <w:r>
        <w:t xml:space="preserve"> </w:t>
      </w:r>
      <w:r>
        <w:t xml:space="preserve">8/262144 séquences (les constantes seules) ; le comptage, lui, est</w:t>
      </w:r>
      <w:r>
        <w:t xml:space="preserve"> </w:t>
      </w:r>
      <w:r>
        <w:t xml:space="preserve">exact — la position n’est pas constitutive du sac de symboles.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C2 — avec position one-hot dérivée</w:t>
      </w:r>
      <w:r>
        <w:t xml:space="preserve"> </w:t>
      </w:r>
      <w:r>
        <w:t xml:space="preserve">: copie exacte sur</w:t>
      </w:r>
      <w:r>
        <w:t xml:space="preserve"> </w:t>
      </w:r>
      <w:r>
        <w:rPr>
          <w:bCs/>
          <w:b/>
        </w:rPr>
        <w:t xml:space="preserve">262144/262144</w:t>
      </w:r>
      <w:r>
        <w:t xml:space="preserve"> </w:t>
      </w:r>
      <w:r>
        <w:t xml:space="preserve">séquences de V=8 symboles et longueur N=6. La</w:t>
      </w:r>
      <w:r>
        <w:t xml:space="preserve"> </w:t>
      </w:r>
      <w:r>
        <w:t xml:space="preserve">position est constitutive de la copie — prédiction pré-enregistrée</w:t>
      </w:r>
      <w:r>
        <w:t xml:space="preserve"> </w:t>
      </w:r>
      <w:r>
        <w:rPr>
          <w:bCs/>
          <w:b/>
        </w:rPr>
        <w:t xml:space="preserve">confirmée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C3 — softmax</w:t>
      </w:r>
      <w:r>
        <w:t xml:space="preserve"> </w:t>
      </w:r>
      <w:r>
        <w:t xml:space="preserve">: l’erreur d’argmax approché est bornée par</w:t>
      </w:r>
      <w:r>
        <w:t xml:space="preserve"> </w:t>
      </w:r>
      <w:r>
        <w:t xml:space="preserve">(n−1)·e^{−βΔ} ; le coût d’échelle dérivé β ≥ ln((n−1)/ε)/Δ est</w:t>
      </w:r>
      <w:r>
        <w:t xml:space="preserve"> </w:t>
      </w:r>
      <w:r>
        <w:t xml:space="preserve">vérifié à ε = 10⁻³, 10⁻⁶, 10⁻⁹ (erreur mesurée égale à la borne aux</w:t>
      </w:r>
      <w:r>
        <w:t xml:space="preserve"> </w:t>
      </w:r>
      <w:r>
        <w:t xml:space="preserve">chiffres affichés). Le softmax n’est qu’une argmax molle à coût</w:t>
      </w:r>
      <w:r>
        <w:t xml:space="preserve"> </w:t>
      </w:r>
      <w:r>
        <w:t xml:space="preserve">mesuré — il n’ajoute aucun degré de liberté constitutif.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C4 — parité</w:t>
      </w:r>
      <w:r>
        <w:t xml:space="preserve"> </w:t>
      </w:r>
      <w:r>
        <w:t xml:space="preserve">: une couche + seuil atteint au mieux 0.6367</w:t>
      </w:r>
      <w:r>
        <w:t xml:space="preserve"> </w:t>
      </w:r>
      <w:r>
        <w:t xml:space="preserve">(exhaustif 2^8) ; deux couches dérivées sont exactes. Cohérence</w:t>
      </w:r>
      <w:r>
        <w:t xml:space="preserve"> </w:t>
      </w:r>
      <w:r>
        <w:t xml:space="preserve">mesurée avec P36 : la profondeur est constitutive dès que la tâche</w:t>
      </w:r>
      <w:r>
        <w:t xml:space="preserve"> </w:t>
      </w:r>
      <w:r>
        <w:t xml:space="preserve">itère, dans le bloc d’attention comme dans le réseau feedforward.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C5 — tri</w:t>
      </w:r>
      <w:r>
        <w:t xml:space="preserve"> </w:t>
      </w:r>
      <w:r>
        <w:t xml:space="preserve">: les scores bilinéaires dérivés candidats (x_i·x_j,</w:t>
      </w:r>
      <w:r>
        <w:t xml:space="preserve"> </w:t>
      </w:r>
      <w:r>
        <w:t xml:space="preserve">x_i, x_j) échouent tous sur l’exhaustif 3^3 = 27 triplets (3/27</w:t>
      </w:r>
      <w:r>
        <w:t xml:space="preserve"> </w:t>
      </w:r>
      <w:r>
        <w:t xml:space="preserve">chacun). La comparaison x_i &gt; x_j n’est pas bilinéaire en les valeurs :</w:t>
      </w:r>
      <w:r>
        <w:t xml:space="preserve"> </w:t>
      </w:r>
      <w:r>
        <w:t xml:space="preserve">le constitutif manquant est identifié par échec publié — le tri exige</w:t>
      </w:r>
      <w:r>
        <w:t xml:space="preserve"> </w:t>
      </w:r>
      <w:r>
        <w:t xml:space="preserve">une non-linéarité de comparaison que le bloc minimal ne possède pas.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C6 — double-relation</w:t>
      </w:r>
      <w:r>
        <w:t xml:space="preserve"> </w:t>
      </w:r>
      <w:r>
        <w:t xml:space="preserve">: la tâche demande simultanément le maximum</w:t>
      </w:r>
      <w:r>
        <w:t xml:space="preserve"> </w:t>
      </w:r>
      <w:r>
        <w:t xml:space="preserve">(tête argmax dérivée) et le comptage (tête uniforme dérivée) — deux</w:t>
      </w:r>
      <w:r>
        <w:t xml:space="preserve"> </w:t>
      </w:r>
      <w:r>
        <w:t xml:space="preserve">relations incompatibles pour une seule distribution d’attention.</w:t>
      </w:r>
      <w:r>
        <w:t xml:space="preserve"> </w:t>
      </w:r>
      <w:r>
        <w:t xml:space="preserve">Mono-tête : 8/256 (les constantes) ; deux têtes dérivées :</w:t>
      </w:r>
      <w:r>
        <w:t xml:space="preserve"> </w:t>
      </w:r>
      <w:r>
        <w:rPr>
          <w:bCs/>
          <w:b/>
        </w:rPr>
        <w:t xml:space="preserve">256/256</w:t>
      </w:r>
      <w:r>
        <w:t xml:space="preserve">.</w:t>
      </w:r>
      <w:r>
        <w:t xml:space="preserve"> </w:t>
      </w:r>
      <w:r>
        <w:t xml:space="preserve">Le multi-tête est constitutif</w:t>
      </w:r>
      <w:r>
        <w:t xml:space="preserve"> </w:t>
      </w:r>
      <w:r>
        <w:rPr>
          <w:bCs/>
          <w:b/>
        </w:rPr>
        <w:t xml:space="preserve">uniquement</w:t>
      </w:r>
      <w:r>
        <w:t xml:space="preserve"> </w:t>
      </w:r>
      <w:r>
        <w:t xml:space="preserve">pour relations</w:t>
      </w:r>
      <w:r>
        <w:t xml:space="preserve"> </w:t>
      </w:r>
      <w:r>
        <w:t xml:space="preserve">incompatibles simultanées — raffinement mesuré de la prédiction</w:t>
      </w:r>
      <w:r>
        <w:t xml:space="preserve"> </w:t>
      </w:r>
      <w:r>
        <w:t xml:space="preserve">pré-enregistrée (« multi-tête non constitutif » : confirmée pour tâches</w:t>
      </w:r>
      <w:r>
        <w:t xml:space="preserve"> </w:t>
      </w:r>
      <w:r>
        <w:t xml:space="preserve">à une relation, réfutée pour relations incompatibles simultanées ;</w:t>
      </w:r>
      <w:r>
        <w:t xml:space="preserve"> </w:t>
      </w:r>
      <w:r>
        <w:t xml:space="preserve">raffinement publié).</w:t>
      </w:r>
    </w:p>
    <w:bookmarkEnd w:id="21"/>
    <w:bookmarkStart w:id="22" w:name="b3-fail-du-chantier-publiés"/>
    <w:p>
      <w:pPr>
        <w:pStyle w:val="Heading2"/>
      </w:pPr>
      <w:r>
        <w:t xml:space="preserve">B3-FAIL du chantier (publiés)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 = bloc d’attention minimal comme trieur</w:t>
      </w:r>
      <w:r>
        <w:t xml:space="preserve"> </w:t>
      </w:r>
      <w:r>
        <w:t xml:space="preserve">: réfutée — la</w:t>
      </w:r>
      <w:r>
        <w:t xml:space="preserve"> </w:t>
      </w:r>
      <w:r>
        <w:t xml:space="preserve">comparaison n’est pas bilinéaire, les échecs sont publiés tels quels.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Comptage C1 v1</w:t>
      </w:r>
      <w:r>
        <w:t xml:space="preserve"> </w:t>
      </w:r>
      <w:r>
        <w:t xml:space="preserve">(bug interne de la machine, corrigé avant gel) :</w:t>
      </w:r>
      <w:r>
        <w:t xml:space="preserve"> </w:t>
      </w:r>
      <w:r>
        <w:t xml:space="preserve">comparaison au niveau du jeu de données sur une forme incompatible —</w:t>
      </w:r>
      <w:r>
        <w:t xml:space="preserve"> </w:t>
      </w:r>
      <w:r>
        <w:t xml:space="preserve">remplacée par une comparaison par séquence contre la somme exacte.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C6 v1</w:t>
      </w:r>
      <w:r>
        <w:t xml:space="preserve"> </w:t>
      </w:r>
      <w:r>
        <w:t xml:space="preserve">(bug interne, corrigé avant gel) : la tête 2 recevait des</w:t>
      </w:r>
      <w:r>
        <w:t xml:space="preserve"> </w:t>
      </w:r>
      <w:r>
        <w:t xml:space="preserve">uns comme valeurs (comptait N, pas Σb) — valeurs remplacées par les</w:t>
      </w:r>
      <w:r>
        <w:t xml:space="preserve"> </w:t>
      </w:r>
      <w:r>
        <w:t xml:space="preserve">bits eux-mêmes, la tête uniforme dérivée calcule la somme exacte.</w:t>
      </w:r>
    </w:p>
    <w:bookmarkEnd w:id="22"/>
    <w:bookmarkStart w:id="23" w:name="ce-que-le-chantier-apprend"/>
    <w:p>
      <w:pPr>
        <w:pStyle w:val="Heading2"/>
      </w:pPr>
      <w:r>
        <w:t xml:space="preserve">Ce que le chantier apprend</w:t>
      </w:r>
    </w:p>
    <w:p>
      <w:pPr>
        <w:pStyle w:val="FirstParagraph"/>
      </w:pPr>
      <w:r>
        <w:t xml:space="preserve">La lecture ddll (conjecture A5) : chaque constitutif identifié est un</w:t>
      </w:r>
      <w:r>
        <w:t xml:space="preserve"> </w:t>
      </w:r>
      <w:r>
        <w:t xml:space="preserve">degré de liberté ajouté — la coordonnée de position (n dimensions), la</w:t>
      </w:r>
      <w:r>
        <w:t xml:space="preserve"> </w:t>
      </w:r>
      <w:r>
        <w:t xml:space="preserve">tête supplémentaire (une distribution), la non-linéarité de comparaison</w:t>
      </w:r>
      <w:r>
        <w:t xml:space="preserve"> </w:t>
      </w:r>
      <w:r>
        <w:t xml:space="preserve">(absente, à payer). Verdict ddll :</w:t>
      </w:r>
      <w:r>
        <w:t xml:space="preserve"> </w:t>
      </w:r>
      <w:r>
        <w:rPr>
          <w:bCs/>
          <w:b/>
        </w:rPr>
        <w:t xml:space="preserve">déficit</w:t>
      </w:r>
      <w:r>
        <w:t xml:space="preserve"> </w:t>
      </w:r>
      <w:r>
        <w:t xml:space="preserve">— l’attention minimale</w:t>
      </w:r>
      <w:r>
        <w:t xml:space="preserve"> </w:t>
      </w:r>
      <w:r>
        <w:t xml:space="preserve">ferme ses tâches en ajoutant des coordonnées, exactement comme P33–P39</w:t>
      </w:r>
      <w:r>
        <w:t xml:space="preserve"> </w:t>
      </w:r>
      <w:r>
        <w:t xml:space="preserve">fermaient les leviers physiques. Entrée registre F13 ajoutée ; A5 v2</w:t>
      </w:r>
      <w:r>
        <w:t xml:space="preserve"> </w:t>
      </w:r>
      <w:r>
        <w:t xml:space="preserve">étendu à</w:t>
      </w:r>
      <w:r>
        <w:t xml:space="preserve"> </w:t>
      </w:r>
      <w:r>
        <w:rPr>
          <w:bCs/>
          <w:b/>
        </w:rPr>
        <w:t xml:space="preserve">9/9</w:t>
      </w:r>
      <w:r>
        <w:t xml:space="preserve"> </w:t>
      </w:r>
      <w:r>
        <w:t xml:space="preserve">points du domaine déclaré.</w:t>
      </w:r>
    </w:p>
    <w:p>
      <w:pPr>
        <w:pStyle w:val="BodyText"/>
      </w:pPr>
      <w:r>
        <w:t xml:space="preserve">Connexion directe : P36 (profondeur, F12) fournit C4 ; P34 (le neurone</w:t>
      </w:r>
      <w:r>
        <w:t xml:space="preserve"> </w:t>
      </w:r>
      <w:r>
        <w:t xml:space="preserve">formel, F1) fournit le seuil ; la structure de la carte — position /</w:t>
      </w:r>
      <w:r>
        <w:t xml:space="preserve"> </w:t>
      </w:r>
      <w:r>
        <w:t xml:space="preserve">échelle / profondeur / comparaison / multiplicité — est la transposition</w:t>
      </w:r>
      <w:r>
        <w:t xml:space="preserve"> </w:t>
      </w:r>
      <w:r>
        <w:t xml:space="preserve">aux architectures de la lecture par leviers L du corpus physique.</w:t>
      </w:r>
    </w:p>
    <w:bookmarkEnd w:id="23"/>
    <w:bookmarkStart w:id="24" w:name="artefacts"/>
    <w:p>
      <w:pPr>
        <w:pStyle w:val="Heading2"/>
      </w:pPr>
      <w:r>
        <w:t xml:space="preserve">Artefacts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p38_attention.py</w:t>
      </w:r>
      <w:r>
        <w:t xml:space="preserve"> </w:t>
      </w:r>
      <w:r>
        <w:t xml:space="preserve">— SHA-256 d2c857893439901c… (script gelé ATTN-1.0)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p38_attention_verdict.json</w:t>
      </w:r>
      <w:r>
        <w:t xml:space="preserve"> </w:t>
      </w:r>
      <w:r>
        <w:t xml:space="preserve">— mesures, verdicts, falsifieur</w:t>
      </w:r>
    </w:p>
    <w:p>
      <w:pPr>
        <w:numPr>
          <w:ilvl w:val="0"/>
          <w:numId w:val="1003"/>
        </w:numPr>
        <w:pStyle w:val="Compact"/>
      </w:pPr>
      <w:r>
        <w:t xml:space="preserve">Falsifieur pré-enregistré : copie exacte sans position ; tri exact à</w:t>
      </w:r>
      <w:r>
        <w:t xml:space="preserve"> </w:t>
      </w:r>
      <w:r>
        <w:t xml:space="preserve">scores bilinéaires ; double-relation exacte en mono-tête. Aucun n’est</w:t>
      </w:r>
      <w:r>
        <w:t xml:space="preserve"> </w:t>
      </w:r>
      <w:r>
        <w:t xml:space="preserve">survenu.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2026-08-30T07:32:02Z</dcterms:created>
  <dcterms:modified xsi:type="dcterms:W3CDTF">2026-08-30T07:32:02Z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