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425981272dcbce5d860e262dbc27d20e700eb2"/>
    <w:p>
      <w:pPr>
        <w:pStyle w:val="Heading1"/>
      </w:pPr>
      <w:r>
        <w:t xml:space="preserve">P39 — Fermeture de la frontière r₁₂ : la portée se dérive</w:t>
      </w:r>
    </w:p>
    <w:p>
      <w:pPr>
        <w:pStyle w:val="FirstParagraph"/>
      </w:pPr>
      <w:r>
        <w:rPr>
          <w:bCs/>
          <w:b/>
        </w:rPr>
        <w:t xml:space="preserve">Patrice Portemann — corpus Machine Noétique, chantier P39</w:t>
      </w:r>
      <w:r>
        <w:t xml:space="preserve"> </w:t>
      </w:r>
      <w:r>
        <w:t xml:space="preserve">Protocole gelé R12-FERM-1.0 · zéro paramètre ajusté · artefacts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FRONTIÈRE FERMÉE</w:t>
      </w:r>
      <w:r>
        <w:t xml:space="preserve"> </w:t>
      </w:r>
      <w:r>
        <w:t xml:space="preserve">— par son propre falsifieur, pré-enregistré dans le</w:t>
      </w:r>
      <w:r>
        <w:t xml:space="preserve"> </w:t>
      </w:r>
      <w:r>
        <w:t xml:space="preserve">registre A4 : « tout couple (famille, règle) à zéro paramètre passant le</w:t>
      </w:r>
      <w:r>
        <w:t xml:space="preserve"> </w:t>
      </w:r>
      <w:r>
        <w:t xml:space="preserve">tamis en tout Z dans le domaine variationnel ferme la frontière ». À</w:t>
      </w:r>
      <w:r>
        <w:t xml:space="preserve"> </w:t>
      </w:r>
      <w:r>
        <w:t xml:space="preserve">l’intégrateur d’espérance complet reconstruit,</w:t>
      </w:r>
      <w:r>
        <w:t xml:space="preserve"> </w:t>
      </w:r>
      <w:r>
        <w:rPr>
          <w:bCs/>
          <w:b/>
        </w:rPr>
        <w:t xml:space="preserve">quatre couples passent en</w:t>
      </w:r>
      <w:r>
        <w:rPr>
          <w:bCs/>
          <w:b/>
        </w:rPr>
        <w:t xml:space="preserve"> </w:t>
      </w:r>
      <w:r>
        <w:rPr>
          <w:bCs/>
          <w:b/>
        </w:rPr>
        <w:t xml:space="preserve">tout Z = 2..6</w:t>
      </w:r>
      <w:r>
        <w:t xml:space="preserve"> </w:t>
      </w:r>
      <w:r>
        <w:t xml:space="preserve">: F1×R3 (la règle de densité historique du corpus,</w:t>
      </w:r>
      <w:r>
        <w:t xml:space="preserve"> </w:t>
      </w:r>
      <w:r>
        <w:t xml:space="preserve">β = 0.42ζ₀), F2×R1, F2×R2, F2×R3. F1×R3 passe aussi en Z = 7..10, dans</w:t>
      </w:r>
      <w:r>
        <w:t xml:space="preserve"> </w:t>
      </w:r>
      <w:r>
        <w:t xml:space="preserve">H⁻ et dans Ps⁻. La portée du facteur à deux corps</w:t>
      </w:r>
      <w:r>
        <w:t xml:space="preserve"> </w:t>
      </w:r>
      <w:r>
        <w:rPr>
          <w:bCs/>
          <w:b/>
        </w:rPr>
        <w:t xml:space="preserve">se dérive sans</w:t>
      </w:r>
      <w:r>
        <w:rPr>
          <w:bCs/>
          <w:b/>
        </w:rPr>
        <w:t xml:space="preserve"> </w:t>
      </w:r>
      <w:r>
        <w:rPr>
          <w:bCs/>
          <w:b/>
        </w:rPr>
        <w:t xml:space="preserve">paramètre</w:t>
      </w:r>
      <w:r>
        <w:t xml:space="preserve">.</w:t>
      </w:r>
    </w:p>
    <w:bookmarkEnd w:id="20"/>
    <w:bookmarkStart w:id="21" w:name="X742102495411c1c686939b54097a06d399b3eb0"/>
    <w:p>
      <w:pPr>
        <w:pStyle w:val="Heading2"/>
      </w:pPr>
      <w:r>
        <w:t xml:space="preserve">La découverte en cours de route (B3-FAIL corpus, publié)</w:t>
      </w:r>
    </w:p>
    <w:p>
      <w:pPr>
        <w:pStyle w:val="FirstParagraph"/>
      </w:pPr>
      <w:r>
        <w:t xml:space="preserve">Le chantier devait commencer par porter l’intégrateur complet de P31. Le</w:t>
      </w:r>
      <w:r>
        <w:t xml:space="preserve"> </w:t>
      </w:r>
      <w:r>
        <w:t xml:space="preserve">contrôle préalable a réfuté l’outil lui-même : l’intégrande cinétique de</w:t>
      </w:r>
      <w:r>
        <w:t xml:space="preserve"> </w:t>
      </w:r>
      <w:r>
        <w:t xml:space="preserve">P31</w:t>
      </w:r>
      <w:r>
        <w:t xml:space="preserve"> </w:t>
      </w:r>
      <w:r>
        <w:rPr>
          <w:bCs/>
          <w:b/>
        </w:rPr>
        <w:t xml:space="preserve">mélange deux formes d’intégration par parties</w:t>
      </w:r>
      <w:r>
        <w:t xml:space="preserve"> </w:t>
      </w:r>
      <w:r>
        <w:t xml:space="preserve">— le terme u′² (forme</w:t>
      </w:r>
      <w:r>
        <w:t xml:space="preserve"> </w:t>
      </w:r>
      <w:r>
        <w:t xml:space="preserve">|∇Ψ|²) y coexiste avec −(u″+2u′/U) (forme laplacienne) et un terme croisé</w:t>
      </w:r>
      <w:r>
        <w:t xml:space="preserve"> </w:t>
      </w:r>
      <w:r>
        <w:t xml:space="preserve">u′cosθ₁₂(a+b) sans facteur géométrique. Mesures à Z = 2 (même grille) :</w:t>
      </w:r>
    </w:p>
    <w:p>
      <w:pPr>
        <w:numPr>
          <w:ilvl w:val="0"/>
          <w:numId w:val="1001"/>
        </w:numPr>
        <w:pStyle w:val="Compact"/>
      </w:pPr>
      <w:r>
        <w:t xml:space="preserve">distorsion jusqu’à</w:t>
      </w:r>
      <w:r>
        <w:t xml:space="preserve"> </w:t>
      </w:r>
      <w:r>
        <w:rPr>
          <w:bCs/>
          <w:b/>
        </w:rPr>
        <w:t xml:space="preserve">+0.13 Ha</w:t>
      </w:r>
      <w:r>
        <w:t xml:space="preserve"> </w:t>
      </w:r>
      <w:r>
        <w:t xml:space="preserve">à β = 0.5 (portée physique) ;</w:t>
      </w:r>
    </w:p>
    <w:p>
      <w:pPr>
        <w:numPr>
          <w:ilvl w:val="0"/>
          <w:numId w:val="1001"/>
        </w:numPr>
        <w:pStyle w:val="Compact"/>
      </w:pPr>
      <w:r>
        <w:t xml:space="preserve">optimum apparent déplacé vers les courtes portées (β ≥ 3) ;</w:t>
      </w:r>
    </w:p>
    <w:p>
      <w:pPr>
        <w:numPr>
          <w:ilvl w:val="0"/>
          <w:numId w:val="1001"/>
        </w:numPr>
        <w:pStyle w:val="Compact"/>
      </w:pPr>
      <w:r>
        <w:t xml:space="preserve">gain maximal écrasé :</w:t>
      </w:r>
      <w:r>
        <w:t xml:space="preserve"> </w:t>
      </w:r>
      <w:r>
        <w:rPr>
          <w:bCs/>
          <w:b/>
        </w:rPr>
        <w:t xml:space="preserve">4.9 mHa (P31) contre 26.4 mHa (forme correcte)</w:t>
      </w:r>
      <w:r>
        <w:t xml:space="preserve">.</w:t>
      </w:r>
    </w:p>
    <w:p>
      <w:pPr>
        <w:pStyle w:val="FirstParagraph"/>
      </w:pPr>
      <w:r>
        <w:t xml:space="preserve">Conséquence publiée : le verdict P31 « la portée n’est pas dérivable à</w:t>
      </w:r>
      <w:r>
        <w:t xml:space="preserve"> </w:t>
      </w:r>
      <w:r>
        <w:t xml:space="preserve">Z = 2 à l’intégrateur complet » était un</w:t>
      </w:r>
      <w:r>
        <w:t xml:space="preserve"> </w:t>
      </w:r>
      <w:r>
        <w:rPr>
          <w:bCs/>
          <w:b/>
        </w:rPr>
        <w:t xml:space="preserve">artefact d’intégrande</w:t>
      </w:r>
      <w:r>
        <w:t xml:space="preserve">. Et la</w:t>
      </w:r>
      <w:r>
        <w:t xml:space="preserve"> </w:t>
      </w:r>
      <w:r>
        <w:t xml:space="preserve">« loi P32 » (R3 ne gagne qu’en Z = 2), confirmée par le tamis A3 à</w:t>
      </w:r>
      <w:r>
        <w:t xml:space="preserve"> </w:t>
      </w:r>
      <w:r>
        <w:t xml:space="preserve">l’intégrateur delta, était la</w:t>
      </w:r>
      <w:r>
        <w:t xml:space="preserve"> </w:t>
      </w:r>
      <w:r>
        <w:rPr>
          <w:bCs/>
          <w:b/>
        </w:rPr>
        <w:t xml:space="preserve">signature du domaine de validité de</w:t>
      </w:r>
      <w:r>
        <w:rPr>
          <w:bCs/>
          <w:b/>
        </w:rPr>
        <w:t xml:space="preserve"> </w:t>
      </w:r>
      <w:r>
        <w:rPr>
          <w:bCs/>
          <w:b/>
        </w:rPr>
        <w:t xml:space="preserve">l’intégrateur delta</w:t>
      </w:r>
      <w:r>
        <w:t xml:space="preserve"> </w:t>
      </w:r>
      <w:r>
        <w:t xml:space="preserve">— pas de la physique. L’intégrateur delta de C12.1</w:t>
      </w:r>
      <w:r>
        <w:t xml:space="preserve"> </w:t>
      </w:r>
      <w:r>
        <w:t xml:space="preserve">n’est pas en faute : il est construit différemment (1-corps analytique) ;</w:t>
      </w:r>
      <w:r>
        <w:t xml:space="preserve"> </w:t>
      </w:r>
      <w:r>
        <w:t xml:space="preserve">mais ses verdicts de perte en corrélation forte ne disaient rien de la</w:t>
      </w:r>
      <w:r>
        <w:t xml:space="preserve"> </w:t>
      </w:r>
      <w:r>
        <w:t xml:space="preserve">physique — ils mesuraient sa propre frontière.</w:t>
      </w:r>
    </w:p>
    <w:bookmarkEnd w:id="21"/>
    <w:bookmarkStart w:id="22" w:name="résultats-mesurés"/>
    <w:p>
      <w:pPr>
        <w:pStyle w:val="Heading2"/>
      </w:pPr>
      <w:r>
        <w:t xml:space="preserve">Résultats mesurés</w:t>
      </w:r>
    </w:p>
    <w:p>
      <w:pPr>
        <w:pStyle w:val="FirstParagraph"/>
      </w:pPr>
      <w:r>
        <w:rPr>
          <w:bCs/>
          <w:b/>
        </w:rPr>
        <w:t xml:space="preserve">Volet A — les 50 cellules du tamis rejugées à l’intégrateur complet</w:t>
      </w:r>
      <w:r>
        <w:t xml:space="preserve"> </w:t>
      </w:r>
      <w:r>
        <w:t xml:space="preserve">(forme |∇Ψ|², grille corpus 300×192, règles figées en ζ₀ résolues dans le</w:t>
      </w:r>
      <w:r>
        <w:t xml:space="preserve"> </w:t>
      </w:r>
      <w:r>
        <w:t xml:space="preserve">même intégrateur, porte variationnelle 5e-3)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Z=2..6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(mHa)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F1×R3</w:t>
            </w:r>
            <w:r>
              <w:t xml:space="preserve"> </w:t>
            </w:r>
            <w:r>
              <w:t xml:space="preserve">(densité)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+ +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 → 19.4 (constant)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F2×R1</w:t>
            </w:r>
            <w:r>
              <w:t xml:space="preserve"> </w:t>
            </w:r>
            <w:r>
              <w:t xml:space="preserve">(échelle)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+ +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 →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F2×R2</w:t>
            </w:r>
            <w:r>
              <w:t xml:space="preserve"> </w:t>
            </w:r>
            <w:r>
              <w:t xml:space="preserve">(orthogonalité)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+ +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 → 40.5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F2×R3</w:t>
            </w:r>
            <w:r>
              <w:t xml:space="preserve"> </w:t>
            </w:r>
            <w:r>
              <w:t xml:space="preserve">(densité)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+ +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 →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F1×R2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+ +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 à Z=2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F4×R2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+ +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 à Z=2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F1×R1, F3×R3, F4×R1, F4×R3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− − − 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Volet B — extension de la loi</w:t>
      </w:r>
      <w:r>
        <w:t xml:space="preserve"> </w:t>
      </w:r>
      <w:r>
        <w:t xml:space="preserve">: H⁻ (Z=1) : F1×R3 +17.2 mHa, F2×R3</w:t>
      </w:r>
      <w:r>
        <w:t xml:space="preserve"> </w:t>
      </w:r>
      <w:r>
        <w:t xml:space="preserve">+33.7 mHa ; Ps⁻ (levier masse M=1, polarisation de masse IBP, contrôle</w:t>
      </w:r>
      <w:r>
        <w:t xml:space="preserve"> </w:t>
      </w:r>
      <w:r>
        <w:t xml:space="preserve">MP(c=0) = 0 exact) : F1×R3 +3.7 mHa. F2×R3 sur Ps⁻ : HORS DOMAINE — la</w:t>
      </w:r>
      <w:r>
        <w:t xml:space="preserve"> </w:t>
      </w:r>
      <w:r>
        <w:t xml:space="preserve">boîte de 12 a₀ tronque la densité diffuse de Ps⁻ (biais de grille négatif</w:t>
      </w:r>
      <w:r>
        <w:t xml:space="preserve"> </w:t>
      </w:r>
      <w:r>
        <w:t xml:space="preserve">mesuré : −3.1 mHa) ; limitation publiée.</w:t>
      </w:r>
    </w:p>
    <w:p>
      <w:pPr>
        <w:pStyle w:val="BodyText"/>
      </w:pPr>
      <w:r>
        <w:rPr>
          <w:bCs/>
          <w:b/>
        </w:rPr>
        <w:t xml:space="preserve">Volet C — série étendue</w:t>
      </w:r>
      <w:r>
        <w:t xml:space="preserve"> </w:t>
      </w:r>
      <w:r>
        <w:t xml:space="preserve">(données figées, Z = 7..10) : F1×R3 passe</w:t>
      </w:r>
      <w:r>
        <w:t xml:space="preserve"> </w:t>
      </w:r>
      <w:r>
        <w:t xml:space="preserve">partout, gain constant ≈ 19.3 mHa.</w:t>
      </w:r>
    </w:p>
    <w:p>
      <w:pPr>
        <w:pStyle w:val="BodyText"/>
      </w:pPr>
      <w:r>
        <w:rPr>
          <w:bCs/>
          <w:b/>
        </w:rPr>
        <w:t xml:space="preserve">Loi Z assemblée</w:t>
      </w:r>
      <w:r>
        <w:t xml:space="preserve"> </w:t>
      </w:r>
      <w:r>
        <w:t xml:space="preserve">— résiduel relatif de la référence split-ζ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0.15 %</w:t>
            </w:r>
          </w:p>
        </w:tc>
      </w:tr>
    </w:tbl>
    <w:p>
      <w:pPr>
        <w:pStyle w:val="BodyText"/>
      </w:pPr>
      <w:r>
        <w:t xml:space="preserve">La corrélation pèse ~46 mHa constants quand l’énergie croît en Z² — et le</w:t>
      </w:r>
      <w:r>
        <w:t xml:space="preserve"> </w:t>
      </w:r>
      <w:r>
        <w:t xml:space="preserve">facteur de Jastrow à portée dérivée en récupère une part constante (~19 mHa</w:t>
      </w:r>
      <w:r>
        <w:t xml:space="preserve"> </w:t>
      </w:r>
      <w:r>
        <w:t xml:space="preserve">pour F1×R3, ~43 mHa pour F2×R2), en tout point de la série, y compris aux</w:t>
      </w:r>
      <w:r>
        <w:t xml:space="preserve"> </w:t>
      </w:r>
      <w:r>
        <w:t xml:space="preserve">extrêmes de charge et de masse.</w:t>
      </w:r>
    </w:p>
    <w:bookmarkEnd w:id="22"/>
    <w:bookmarkStart w:id="23" w:name="b3-fail-du-chantier"/>
    <w:p>
      <w:pPr>
        <w:pStyle w:val="Heading2"/>
      </w:pPr>
      <w:r>
        <w:t xml:space="preserve">B3-FAIL du chantier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Critère T1 v1</w:t>
      </w:r>
      <w:r>
        <w:t xml:space="preserve"> </w:t>
      </w:r>
      <w:r>
        <w:t xml:space="preserve">(« l’intégrande P31 dégrade l’énergie pour tout β ») :</w:t>
      </w:r>
      <w:r>
        <w:t xml:space="preserve"> </w:t>
      </w:r>
      <w:r>
        <w:t xml:space="preserve">réfuté par la mesure — la forme P31 gagne ~5 mHa à β ≥ 3. Critère</w:t>
      </w:r>
      <w:r>
        <w:t xml:space="preserve"> </w:t>
      </w:r>
      <w:r>
        <w:t xml:space="preserve">corrigé sur la distorsion (+0.13 Ha) et le ratio de gains (×5.4).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Corpus P31</w:t>
      </w:r>
      <w:r>
        <w:t xml:space="preserve"> </w:t>
      </w:r>
      <w:r>
        <w:t xml:space="preserve">: intégrande défectueux (ci-dessus) — republication</w:t>
      </w:r>
      <w:r>
        <w:t xml:space="preserve"> </w:t>
      </w:r>
      <w:r>
        <w:t xml:space="preserve">requise, registre F9 étendu.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Ps⁻ × F2×R3</w:t>
      </w:r>
      <w:r>
        <w:t xml:space="preserve"> </w:t>
      </w:r>
      <w:r>
        <w:t xml:space="preserve">: hors domaine de la boîte (densité diffuse tronquée) —</w:t>
      </w:r>
      <w:r>
        <w:t xml:space="preserve"> </w:t>
      </w:r>
      <w:r>
        <w:t xml:space="preserve">limite mesurée de l’intégrateur complet, publiée.</w:t>
      </w:r>
    </w:p>
    <w:bookmarkEnd w:id="23"/>
    <w:bookmarkStart w:id="24" w:name="ce-que-le-chantier-apprend"/>
    <w:p>
      <w:pPr>
        <w:pStyle w:val="Heading2"/>
      </w:pPr>
      <w:r>
        <w:t xml:space="preserve">Ce que le chantier apprend</w:t>
      </w:r>
    </w:p>
    <w:p>
      <w:pPr>
        <w:numPr>
          <w:ilvl w:val="0"/>
          <w:numId w:val="1003"/>
        </w:numPr>
        <w:pStyle w:val="Compact"/>
      </w:pPr>
      <w:r>
        <w:t xml:space="preserve">La frontière r₁₂ — le résultat phare du corpus — se fermait par son</w:t>
      </w:r>
      <w:r>
        <w:t xml:space="preserve"> </w:t>
      </w:r>
      <w:r>
        <w:t xml:space="preserve">propre falsifieur, avec la règle de portée</w:t>
      </w:r>
      <w:r>
        <w:t xml:space="preserve"> </w:t>
      </w:r>
      <w:r>
        <w:rPr>
          <w:bCs/>
          <w:b/>
        </w:rPr>
        <w:t xml:space="preserve">déjà présente dans le</w:t>
      </w:r>
      <w:r>
        <w:rPr>
          <w:bCs/>
          <w:b/>
        </w:rPr>
        <w:t xml:space="preserve"> </w:t>
      </w:r>
      <w:r>
        <w:rPr>
          <w:bCs/>
          <w:b/>
        </w:rPr>
        <w:t xml:space="preserve">corpus</w:t>
      </w:r>
      <w:r>
        <w:t xml:space="preserve"> </w:t>
      </w:r>
      <w:r>
        <w:t xml:space="preserve">(densité, P31/P28). Ce qui manquait n’était pas un principe</w:t>
      </w:r>
      <w:r>
        <w:t xml:space="preserve"> </w:t>
      </w:r>
      <w:r>
        <w:t xml:space="preserve">physique : c’était un intégrateur correct.</w:t>
      </w:r>
    </w:p>
    <w:p>
      <w:pPr>
        <w:numPr>
          <w:ilvl w:val="0"/>
          <w:numId w:val="1003"/>
        </w:numPr>
        <w:pStyle w:val="Compact"/>
      </w:pPr>
      <w:r>
        <w:t xml:space="preserve">Le registre A4 :</w:t>
      </w:r>
      <w:r>
        <w:t xml:space="preserve"> </w:t>
      </w:r>
      <w:r>
        <w:rPr>
          <w:bCs/>
          <w:b/>
        </w:rPr>
        <w:t xml:space="preserve">F3 fermée</w:t>
      </w:r>
      <w:r>
        <w:t xml:space="preserve"> </w:t>
      </w:r>
      <w:r>
        <w:t xml:space="preserve">(3 frontières fermées sur 11), comptage</w:t>
      </w:r>
      <w:r>
        <w:t xml:space="preserve"> </w:t>
      </w:r>
      <w:r>
        <w:t xml:space="preserve">ddll « déficit confirmé et fermé » — le degré de liberté 2-corps, une</w:t>
      </w:r>
      <w:r>
        <w:t xml:space="preserve"> </w:t>
      </w:r>
      <w:r>
        <w:t xml:space="preserve">fois ajouté, se laisse dériver sans paramètre, comme la conjecture v2</w:t>
      </w:r>
      <w:r>
        <w:t xml:space="preserve"> </w:t>
      </w:r>
      <w:r>
        <w:t xml:space="preserve">le prédit (A5 inchangé : 7/7).</w:t>
      </w:r>
    </w:p>
    <w:p>
      <w:pPr>
        <w:numPr>
          <w:ilvl w:val="0"/>
          <w:numId w:val="1003"/>
        </w:numPr>
        <w:pStyle w:val="Compact"/>
      </w:pPr>
      <w:r>
        <w:t xml:space="preserve">Coût de fermeture mesuré : volet A 1444 s (0.7 s/évaluation, grille</w:t>
      </w:r>
      <w:r>
        <w:t xml:space="preserve"> </w:t>
      </w:r>
      <w:r>
        <w:t xml:space="preserve">300×192) — à comparer au « ×10 » déclaré en F3.</w:t>
      </w:r>
    </w:p>
    <w:p>
      <w:pPr>
        <w:pStyle w:val="FirstParagraph"/>
      </w:pPr>
      <w:r>
        <w:rPr>
          <w:bCs/>
          <w:b/>
        </w:rPr>
        <w:t xml:space="preserve">Falsifieur (réouverture).</w:t>
      </w:r>
      <w:r>
        <w:t xml:space="preserve"> </w:t>
      </w:r>
      <w:r>
        <w:t xml:space="preserve">Toute exécution de R12-FERM-1.0 donnant</w:t>
      </w:r>
      <w:r>
        <w:t xml:space="preserve"> </w:t>
      </w:r>
      <w:r>
        <w:t xml:space="preserve">F1×R3 perdante en un Z du domaine variationnel rouvre la frontière.</w:t>
      </w:r>
    </w:p>
    <w:bookmarkEnd w:id="24"/>
    <w:bookmarkStart w:id="25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p39_fermeture_r12.py</w:t>
      </w:r>
      <w:r>
        <w:t xml:space="preserve"> </w:t>
      </w:r>
      <w:r>
        <w:t xml:space="preserve">— SHA-256</w:t>
      </w:r>
      <w:r>
        <w:t xml:space="preserve"> </w:t>
      </w:r>
      <w:r>
        <w:rPr>
          <w:rStyle w:val="VerbatimChar"/>
        </w:rPr>
        <w:t xml:space="preserve">c8478fd81cd513a6…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p39_fermeture_r12_verdict.json</w:t>
      </w:r>
      <w:r>
        <w:t xml:space="preserve"> </w:t>
      </w:r>
      <w:r>
        <w:t xml:space="preserve">(+ fragments T1/A/A2/B/C)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p39_fermeture_r12.png</w:t>
      </w:r>
    </w:p>
    <w:p>
      <w:pPr>
        <w:numPr>
          <w:ilvl w:val="0"/>
          <w:numId w:val="1004"/>
        </w:numPr>
        <w:pStyle w:val="Compact"/>
      </w:pPr>
      <w:r>
        <w:t xml:space="preserve">registre A4 mis à jour (SHA</w:t>
      </w:r>
      <w:r>
        <w:t xml:space="preserve"> </w:t>
      </w:r>
      <w:r>
        <w:rPr>
          <w:rStyle w:val="VerbatimChar"/>
        </w:rPr>
        <w:t xml:space="preserve">36778295eee3b2d5…</w:t>
      </w:r>
      <w:r>
        <w:t xml:space="preserve">), A5 rejoué (inchangé)</w:t>
      </w:r>
    </w:p>
    <w:p>
      <w:pPr>
        <w:pStyle w:val="FirstParagraph"/>
      </w:pPr>
      <w:r>
        <w:rPr>
          <w:iCs/>
          <w:i/>
        </w:rPr>
        <w:t xml:space="preserve">Données externes figées : énergies exactes non relativistes de la série</w:t>
      </w:r>
      <w:r>
        <w:rPr>
          <w:iCs/>
          <w:i/>
        </w:rPr>
        <w:t xml:space="preserve"> </w:t>
      </w:r>
      <w:r>
        <w:rPr>
          <w:iCs/>
          <w:i/>
        </w:rPr>
        <w:t xml:space="preserve">He (Frankowski–Pekeris ; Thakkar–Koga ; Drake), H⁻ (Pekeris</w:t>
      </w:r>
      <w:r>
        <w:rPr>
          <w:iCs/>
          <w:i/>
        </w:rPr>
        <w:t xml:space="preserve"> </w:t>
      </w:r>
      <w:r>
        <w:rPr>
          <w:iCs/>
          <w:i/>
        </w:rPr>
        <w:t xml:space="preserve">−0.5277510165 Ha), Ps⁻ (−0.2620050702 Ha, Bhatia–Drachman/Korobov).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2026-08-30T07:04:35Z</dcterms:created>
  <dcterms:modified xsi:type="dcterms:W3CDTF">2026-08-30T07:04:35Z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