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40-z_max-où-finit-le-tableau-périodique"/>
    <w:p>
      <w:pPr>
        <w:pStyle w:val="Heading1"/>
      </w:pPr>
      <w:r>
        <w:t xml:space="preserve">P40 — Z_max : où finit le tableau périodique ?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P40</w:t>
      </w:r>
      <w:r>
        <w:t xml:space="preserve"> </w:t>
      </w:r>
      <w:r>
        <w:t xml:space="preserve">Protocole gelé ZMAX-1.0 · zéro paramètre ajusté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CONFRONTATION RÉALISÉE — 2/5 prédictions tranchées.</w:t>
      </w:r>
      <w:r>
        <w:t xml:space="preserve"> </w:t>
      </w:r>
      <w:r>
        <w:t xml:space="preserve">Le chantier a</w:t>
      </w:r>
      <w:r>
        <w:t xml:space="preserve"> </w:t>
      </w:r>
      <w:r>
        <w:t xml:space="preserve">confronté les cinq prédictions gelées du corpus koilon-scale-e8</w:t>
      </w:r>
      <w:r>
        <w:t xml:space="preserve"> </w:t>
      </w:r>
      <w:r>
        <w:t xml:space="preserve">(22 août 2026) aux masses mesurées (AME2020) et aux rendements évalués</w:t>
      </w:r>
      <w:r>
        <w:t xml:space="preserve"> </w:t>
      </w:r>
      <w:r>
        <w:t xml:space="preserve">(JEFF-3.1.1). Une prédiction est</w:t>
      </w:r>
      <w:r>
        <w:t xml:space="preserve"> </w:t>
      </w:r>
      <w:r>
        <w:rPr>
          <w:bCs/>
          <w:b/>
        </w:rPr>
        <w:t xml:space="preserve">réfutée</w:t>
      </w:r>
      <w:r>
        <w:t xml:space="preserve">, une est</w:t>
      </w:r>
      <w:r>
        <w:t xml:space="preserve"> </w:t>
      </w:r>
      <w:r>
        <w:rPr>
          <w:bCs/>
          <w:b/>
        </w:rPr>
        <w:t xml:space="preserve">cohérente sans</w:t>
      </w:r>
      <w:r>
        <w:rPr>
          <w:bCs/>
          <w:b/>
        </w:rPr>
        <w:t xml:space="preserve"> </w:t>
      </w:r>
      <w:r>
        <w:rPr>
          <w:bCs/>
          <w:b/>
        </w:rPr>
        <w:t xml:space="preserve">contradiction mesurée</w:t>
      </w:r>
      <w:r>
        <w:t xml:space="preserve">, trois restent hors de portée des masses.</w:t>
      </w:r>
    </w:p>
    <w:bookmarkEnd w:id="20"/>
    <w:bookmarkStart w:id="21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— recompute exact de la limite causale.</w:t>
      </w:r>
      <w:r>
        <w:t xml:space="preserve"> </w:t>
      </w:r>
      <w:r>
        <w:t xml:space="preserve">Avec les formules</w:t>
      </w:r>
      <w:r>
        <w:t xml:space="preserve"> </w:t>
      </w:r>
      <w:r>
        <w:t xml:space="preserve">gelées c_s(Z) = α_K·c·√(2</w:t>
      </w:r>
      <w:r>
        <w:rPr>
          <w:vertAlign w:val="superscript"/>
        </w:rPr>
        <w:t xml:space="preserve">(Z/12)·Z</w:t>
      </w:r>
      <w:r>
        <w:t xml:space="preserve">(2/3)), α_K = 2⁻¹⁰ : le plus grand</w:t>
      </w:r>
      <w:r>
        <w:t xml:space="preserve"> </w:t>
      </w:r>
      <w:r>
        <w:t xml:space="preserve">Z avec c_s ≤ c est</w:t>
      </w:r>
      <w:r>
        <w:t xml:space="preserve"> </w:t>
      </w:r>
      <w:r>
        <w:rPr>
          <w:bCs/>
          <w:b/>
        </w:rPr>
        <w:t xml:space="preserve">Z_max = 180</w:t>
      </w:r>
      <w:r>
        <w:t xml:space="preserve"> </w:t>
      </w:r>
      <w:r>
        <w:t xml:space="preserve">(marge 0.19 %, excès à Z = 181 de</w:t>
      </w:r>
      <w:r>
        <w:t xml:space="preserve"> </w:t>
      </w:r>
      <w:r>
        <w:t xml:space="preserve">2.9 %). Le corpus annonçait « ≈ 179 » : le « ≈ » tient, l’exact est</w:t>
      </w:r>
    </w:p>
    <w:p>
      <w:pPr>
        <w:numPr>
          <w:ilvl w:val="1"/>
          <w:numId w:val="1002"/>
        </w:numPr>
        <w:pStyle w:val="Compact"/>
      </w:pPr>
      <w:r>
        <w:t xml:space="preserve">N_modes = 12·log₂(1/α_K) = 120 = racines positives de E₈ ✓.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— contrôle instrument (obligatoire).</w:t>
      </w:r>
      <w:r>
        <w:t xml:space="preserve"> </w:t>
      </w:r>
      <w:r>
        <w:t xml:space="preserve">Sur AME2020 expérimental</w:t>
      </w:r>
      <w:r>
        <w:t xml:space="preserve"> </w:t>
      </w:r>
      <w:r>
        <w:t xml:space="preserve">seul, le gap protonique médian g(Z) = med_N δ₂p retrouve</w:t>
      </w:r>
      <w:r>
        <w:t xml:space="preserve"> </w:t>
      </w:r>
      <w:r>
        <w:rPr>
          <w:bCs/>
          <w:b/>
        </w:rPr>
        <w:t xml:space="preserve">les cinq</w:t>
      </w:r>
      <w:r>
        <w:rPr>
          <w:bCs/>
          <w:b/>
        </w:rPr>
        <w:t xml:space="preserve"> </w:t>
      </w:r>
      <w:r>
        <w:rPr>
          <w:bCs/>
          <w:b/>
        </w:rPr>
        <w:t xml:space="preserve">magiques connus {8, 20, 28, 50, 82}</w:t>
      </w:r>
      <w:r>
        <w:t xml:space="preserve"> </w:t>
      </w:r>
      <w:r>
        <w:t xml:space="preserve">comme maxima locaux —</w:t>
      </w:r>
      <w:r>
        <w:t xml:space="preserve"> </w:t>
      </w:r>
      <w:r>
        <w:t xml:space="preserve">l’instrument est validé avant de trancher quoi que ce soit d’autre.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— région superlourde.</w:t>
      </w:r>
      <w:r>
        <w:t xml:space="preserve"> </w:t>
      </w:r>
      <w:r>
        <w:t xml:space="preserve">Z = 100–116 : gaps de 1.3–2.4 MeV,</w:t>
      </w:r>
      <w:r>
        <w:t xml:space="preserve"> </w:t>
      </w:r>
      <w:r>
        <w:t xml:space="preserve">essentiellement sur valeurs</w:t>
      </w:r>
      <w:r>
        <w:t xml:space="preserve"> </w:t>
      </w:r>
      <w:r>
        <w:rPr>
          <w:bCs/>
          <w:b/>
        </w:rPr>
        <w:t xml:space="preserve">estimées</w:t>
      </w:r>
      <w:r>
        <w:t xml:space="preserve"> </w:t>
      </w:r>
      <w:r>
        <w:t xml:space="preserve">AME (le</w:t>
      </w:r>
      <w:r>
        <w:t xml:space="preserve"> </w:t>
      </w:r>
      <w:r>
        <w:t xml:space="preserve">‘</w:t>
      </w:r>
      <w:r>
        <w:t xml:space="preserve">#</w:t>
      </w:r>
      <w:r>
        <w:t xml:space="preserve">’</w:t>
      </w:r>
      <w:r>
        <w:t xml:space="preserve"> </w:t>
      </w:r>
      <w:r>
        <w:t xml:space="preserve">est distingué) ;</w:t>
      </w:r>
      <w:r>
        <w:t xml:space="preserve"> </w:t>
      </w:r>
      <w:r>
        <w:t xml:space="preserve">aucun maximum local mesuré à Z = 114 — la « coquille 114 » n’est pas</w:t>
      </w:r>
      <w:r>
        <w:t xml:space="preserve"> </w:t>
      </w:r>
      <w:r>
        <w:t xml:space="preserve">visible dans les masses expérimentales.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 — frontière « dernière coquille ».</w:t>
      </w:r>
      <w:r>
        <w:t xml:space="preserve"> </w:t>
      </w:r>
      <w:r>
        <w:t xml:space="preserve">Les modèles publiés (table</w:t>
      </w:r>
      <w:r>
        <w:t xml:space="preserve"> </w:t>
      </w:r>
      <w:r>
        <w:t xml:space="preserve">gelée D3 : mac-mic Möller FRLDM → 114 ; RMF Bender et al. → 120 ;</w:t>
      </w:r>
      <w:r>
        <w:t xml:space="preserve"> </w:t>
      </w:r>
      <w:r>
        <w:t xml:space="preserve">RCHB Zhang/Meng → 126 ; table étendue Pyykkö → 168) placent la</w:t>
      </w:r>
      <w:r>
        <w:t xml:space="preserve"> </w:t>
      </w:r>
      <w:r>
        <w:t xml:space="preserve">dernière coquille fermée dans</w:t>
      </w:r>
      <w:r>
        <w:t xml:space="preserve"> </w:t>
      </w:r>
      <w:r>
        <w:rPr>
          <w:bCs/>
          <w:b/>
        </w:rPr>
        <w:t xml:space="preserve">[114, 168]</w:t>
      </w:r>
      <w:r>
        <w:t xml:space="preserve">, tous</w:t>
      </w:r>
      <w:r>
        <w:t xml:space="preserve"> </w:t>
      </w:r>
      <w:r>
        <w:rPr>
          <w:bCs/>
          <w:b/>
        </w:rPr>
        <w:t xml:space="preserve">sous</w:t>
      </w:r>
      <w:r>
        <w:t xml:space="preserve"> </w:t>
      </w:r>
      <w:r>
        <w:t xml:space="preserve">la limite</w:t>
      </w:r>
      <w:r>
        <w:t xml:space="preserve"> </w:t>
      </w:r>
      <w:r>
        <w:t xml:space="preserve">causale koilon 180. La limite causale et la frontière de coquille sont</w:t>
      </w:r>
      <w:r>
        <w:t xml:space="preserve"> </w:t>
      </w:r>
      <w:r>
        <w:t xml:space="preserve">deux objets distincts, et ils sont</w:t>
      </w:r>
      <w:r>
        <w:t xml:space="preserve"> </w:t>
      </w:r>
      <w:r>
        <w:rPr>
          <w:bCs/>
          <w:b/>
        </w:rPr>
        <w:t xml:space="preserve">cohérents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C5 — P-FISSION : RÉFUTÉE.</w:t>
      </w:r>
      <w:r>
        <w:t xml:space="preserve"> </w:t>
      </w:r>
      <w:r>
        <w:t xml:space="preserve">Rendements indépendants thermiques</w:t>
      </w:r>
      <w:r>
        <w:t xml:space="preserve"> </w:t>
      </w:r>
      <w:r>
        <w:t xml:space="preserve">JEFF-3.1.1 (U-235, Pu-239) :</w:t>
      </w:r>
      <w:r>
        <w:t xml:space="preserve"> </w:t>
      </w:r>
      <w:r>
        <w:rPr>
          <w:bCs/>
          <w:b/>
        </w:rPr>
        <w:t xml:space="preserve">0/8 pics secondaires</w:t>
      </w:r>
      <w:r>
        <w:t xml:space="preserve"> </w:t>
      </w:r>
      <w:r>
        <w:t xml:space="preserve">aux positions</w:t>
      </w:r>
      <w:r>
        <w:t xml:space="preserve"> </w:t>
      </w:r>
      <w:r>
        <w:t xml:space="preserve">gelées A ∈ {63, 110, 126, 173} (critère : maximum local strict après</w:t>
      </w:r>
      <w:r>
        <w:t xml:space="preserve"> </w:t>
      </w:r>
      <w:r>
        <w:t xml:space="preserve">lissage 5 points + proéminence ≥ 1 % du maximum global). A = 63 et 173</w:t>
      </w:r>
      <w:r>
        <w:t xml:space="preserve"> </w:t>
      </w:r>
      <w:r>
        <w:t xml:space="preserve">sont hors couverture ou en queue monotone ; A = 110 et 126 montrent des</w:t>
      </w:r>
      <w:r>
        <w:t xml:space="preserve"> </w:t>
      </w:r>
      <w:r>
        <w:t xml:space="preserve">proéminences sous le seuil (max 10 % pour Pu-239 à A = 110, mais pas</w:t>
      </w:r>
      <w:r>
        <w:t xml:space="preserve"> </w:t>
      </w:r>
      <w:r>
        <w:t xml:space="preserve">de maximum local). La paire complémentaire (63, 173), (110, 126) =</w:t>
      </w:r>
      <w:r>
        <w:t xml:space="preserve"> </w:t>
      </w:r>
      <w:r>
        <w:t xml:space="preserve">U-236* n’est pas réalisée dans les rendements évalués.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C6 — diagnostic grille 2^(1/12).</w:t>
      </w:r>
      <w:r>
        <w:t xml:space="preserve"> </w:t>
      </w:r>
      <w:r>
        <w:t xml:space="preserve">Écarts au demi-ton entier pour</w:t>
      </w:r>
      <w:r>
        <w:t xml:space="preserve"> </w:t>
      </w:r>
      <w:r>
        <w:t xml:space="preserve">les magiques consécutifs : [0.14, 0.17, 0.04, 0.44] — trois paires</w:t>
      </w:r>
      <w:r>
        <w:t xml:space="preserve"> </w:t>
      </w:r>
      <w:r>
        <w:t xml:space="preserve">proches de la grille, la paire 50→82 à 0.44 demi-ton. La gamme koilon</w:t>
      </w:r>
      <w:r>
        <w:t xml:space="preserve"> </w:t>
      </w:r>
      <w:r>
        <w:t xml:space="preserve">décrit les ANU de la Chimie Occulte ; sur les</w:t>
      </w:r>
      <w:r>
        <w:t xml:space="preserve"> </w:t>
      </w:r>
      <w:r>
        <w:rPr>
          <w:bCs/>
          <w:b/>
        </w:rPr>
        <w:t xml:space="preserve">coquilles mesurées</w:t>
      </w:r>
      <w:r>
        <w:t xml:space="preserve">,</w:t>
      </w:r>
      <w:r>
        <w:t xml:space="preserve"> </w:t>
      </w:r>
      <w:r>
        <w:t xml:space="preserve">l’accord est partiel.</w:t>
      </w:r>
    </w:p>
    <w:bookmarkEnd w:id="21"/>
    <w:bookmarkStart w:id="22" w:name="b3-fail-publiés"/>
    <w:p>
      <w:pPr>
        <w:pStyle w:val="Heading2"/>
      </w:pPr>
      <w:r>
        <w:t xml:space="preserve">B3-FAIL (publiés)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Corpus — P-FISSION réfutée</w:t>
      </w:r>
      <w:r>
        <w:t xml:space="preserve"> </w:t>
      </w:r>
      <w:r>
        <w:t xml:space="preserve">: les pics secondaires prédits à</w:t>
      </w:r>
      <w:r>
        <w:t xml:space="preserve"> </w:t>
      </w:r>
      <w:r>
        <w:t xml:space="preserve">A = 63, 110, 126, 173 n’existent pas dans JEFF-3.1.1 (indépendant</w:t>
      </w:r>
      <w:r>
        <w:t xml:space="preserve"> </w:t>
      </w:r>
      <w:r>
        <w:t xml:space="preserve">thermique, critère gelé). Publié tel quel.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Chantier v1</w:t>
      </w:r>
      <w:r>
        <w:t xml:space="preserve"> </w:t>
      </w:r>
      <w:r>
        <w:t xml:space="preserve">: le contrôle B(²⁰⁸Pb) était codé sur une valeur</w:t>
      </w:r>
      <w:r>
        <w:t xml:space="preserve"> </w:t>
      </w:r>
      <w:r>
        <w:t xml:space="preserve">littérature (1636.446 MeV, liaison nucléaire) au lieu de la convention</w:t>
      </w:r>
      <w:r>
        <w:t xml:space="preserve"> </w:t>
      </w:r>
      <w:r>
        <w:t xml:space="preserve">atomique du fichier — l’écart de 16 keV est la</w:t>
      </w:r>
      <w:r>
        <w:t xml:space="preserve"> </w:t>
      </w:r>
      <w:r>
        <w:rPr>
          <w:bCs/>
          <w:b/>
        </w:rPr>
        <w:t xml:space="preserve">liaison électronique</w:t>
      </w:r>
      <w:r>
        <w:t xml:space="preserve"> </w:t>
      </w:r>
      <w:r>
        <w:t xml:space="preserve">totale du plomb. Corrigé avant gel : auto-contrôle interne au fichier</w:t>
      </w:r>
      <w:r>
        <w:t xml:space="preserve"> </w:t>
      </w:r>
      <w:r>
        <w:t xml:space="preserve">(B recomputé vs colonne BINDING/A, même convention, tolérance 20 keV).</w:t>
      </w:r>
    </w:p>
    <w:bookmarkEnd w:id="22"/>
    <w:bookmarkStart w:id="23" w:name="statut-des-cinq-prédictions"/>
    <w:p>
      <w:pPr>
        <w:pStyle w:val="Heading2"/>
      </w:pPr>
      <w:r>
        <w:t xml:space="preserve">Statut des cinq prédictions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Prédiction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après P40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P-Z-MAX (rien de stable au-delà de Z ≈ 179)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confrontée — cohérente, pas de contradiction mesurée ; exact =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P-FISSION (pics à 63, 110, 126, 173)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réfutée</w:t>
            </w:r>
            <w:r>
              <w:t xml:space="preserve"> </w:t>
            </w:r>
            <w:r>
              <w:t xml:space="preserve">sur JEFF-3.1.1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P-MASS-EFF (Δm/m ∝ E², indép. de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confrontable — expérience laser 800/400 nm requise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P-ALPHA-VAR (α_T vs redshift)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confrontable — spectroscopie quasars requise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P-KOILON-SON (c_s(0) ≈ 300 km/s)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confrontable — dispersion des ondes gravitationnelles requise</w:t>
            </w:r>
          </w:p>
        </w:tc>
      </w:tr>
    </w:tbl>
    <w:bookmarkEnd w:id="23"/>
    <w:bookmarkStart w:id="24" w:name="lecture-ddll-a5"/>
    <w:p>
      <w:pPr>
        <w:pStyle w:val="Heading2"/>
      </w:pPr>
      <w:r>
        <w:t xml:space="preserve">Lecture ddll (A5)</w:t>
      </w:r>
    </w:p>
    <w:p>
      <w:pPr>
        <w:pStyle w:val="FirstParagraph"/>
      </w:pPr>
      <w:r>
        <w:t xml:space="preserve">α_K = 2⁻¹⁰ est un input payé —</w:t>
      </w:r>
      <w:r>
        <w:t xml:space="preserve"> </w:t>
      </w:r>
      <w:r>
        <w:rPr>
          <w:bCs/>
          <w:b/>
        </w:rPr>
        <w:t xml:space="preserve">1 ddll</w:t>
      </w:r>
      <w:r>
        <w:t xml:space="preserve"> </w:t>
      </w:r>
      <w:r>
        <w:t xml:space="preserve">: la fermeture causale achète</w:t>
      </w:r>
      <w:r>
        <w:t xml:space="preserve"> </w:t>
      </w:r>
      <w:r>
        <w:t xml:space="preserve">son échelle. Verdict :</w:t>
      </w:r>
      <w:r>
        <w:t xml:space="preserve"> </w:t>
      </w:r>
      <w:r>
        <w:rPr>
          <w:bCs/>
          <w:b/>
        </w:rPr>
        <w:t xml:space="preserve">déficit</w:t>
      </w:r>
      <w:r>
        <w:t xml:space="preserve">, conforme à A5 v2. Réponse à la</w:t>
      </w:r>
      <w:r>
        <w:t xml:space="preserve"> </w:t>
      </w:r>
      <w:r>
        <w:t xml:space="preserve">question du programme (« dernière coquille fermée : 126 ? 164 ?</w:t>
      </w:r>
      <w:r>
        <w:t xml:space="preserve"> </w:t>
      </w:r>
      <w:r>
        <w:t xml:space="preserve">172–179 ? ») : les masses + modèles répondent</w:t>
      </w:r>
      <w:r>
        <w:t xml:space="preserve"> </w:t>
      </w:r>
      <w:r>
        <w:rPr>
          <w:bCs/>
          <w:b/>
        </w:rPr>
        <w:t xml:space="preserve">[114, 126]</w:t>
      </w:r>
      <w:r>
        <w:t xml:space="preserve"> </w:t>
      </w:r>
      <w:r>
        <w:t xml:space="preserve">(chimie</w:t>
      </w:r>
      <w:r>
        <w:t xml:space="preserve"> </w:t>
      </w:r>
      <w:r>
        <w:t xml:space="preserve">étendue : 168) ; la limite causale koilon répond</w:t>
      </w:r>
      <w:r>
        <w:t xml:space="preserve"> </w:t>
      </w:r>
      <w:r>
        <w:rPr>
          <w:bCs/>
          <w:b/>
        </w:rPr>
        <w:t xml:space="preserve">180</w:t>
      </w:r>
      <w:r>
        <w:t xml:space="preserve"> </w:t>
      </w:r>
      <w:r>
        <w:t xml:space="preserve">— et ce n’est</w:t>
      </w:r>
      <w:r>
        <w:t xml:space="preserve"> </w:t>
      </w:r>
      <w:r>
        <w:t xml:space="preserve">pas la même question.</w:t>
      </w:r>
    </w:p>
    <w:bookmarkEnd w:id="24"/>
    <w:bookmarkStart w:id="25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p40_zmax.py</w:t>
      </w:r>
      <w:r>
        <w:t xml:space="preserve"> </w:t>
      </w:r>
      <w:r>
        <w:t xml:space="preserve">— SHA-256 c6760b9778655f93… (script gelé ZMAX-1.0)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p40_zmax_verdict.json</w:t>
      </w:r>
      <w:r>
        <w:t xml:space="preserve"> </w:t>
      </w:r>
      <w:r>
        <w:t xml:space="preserve">— mesures, verdicts, falsifieurs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p40_data_ame2020_mas20.txt</w:t>
      </w:r>
      <w:r>
        <w:t xml:space="preserve"> </w:t>
      </w:r>
      <w:r>
        <w:t xml:space="preserve">(SHA e8599c6d…),</w:t>
      </w:r>
      <w:r>
        <w:t xml:space="preserve"> </w:t>
      </w:r>
      <w:r>
        <w:rPr>
          <w:rStyle w:val="VerbatimChar"/>
        </w:rPr>
        <w:t xml:space="preserve">p40_data_fy235u.csv</w:t>
      </w:r>
      <w:r>
        <w:t xml:space="preserve"> </w:t>
      </w:r>
      <w:r>
        <w:t xml:space="preserve">(SHA 74e0dd81…),</w:t>
      </w:r>
      <w:r>
        <w:t xml:space="preserve"> </w:t>
      </w:r>
      <w:r>
        <w:rPr>
          <w:rStyle w:val="VerbatimChar"/>
        </w:rPr>
        <w:t xml:space="preserve">p40_data_fy239pu.csv</w:t>
      </w:r>
      <w:r>
        <w:t xml:space="preserve"> </w:t>
      </w:r>
      <w:r>
        <w:t xml:space="preserve">(SHA 278ccb0c…)</w:t>
      </w:r>
    </w:p>
    <w:p>
      <w:pPr>
        <w:numPr>
          <w:ilvl w:val="0"/>
          <w:numId w:val="1004"/>
        </w:numPr>
        <w:pStyle w:val="Compact"/>
      </w:pPr>
      <w:r>
        <w:t xml:space="preserve">Falsifieur pré-enregistré : Z_max recomputé hors {179, 180} tue la</w:t>
      </w:r>
      <w:r>
        <w:t xml:space="preserve"> </w:t>
      </w:r>
      <w:r>
        <w:t xml:space="preserve">dérivation ; magiques connus non récupérés tuent l’instrument. Aucun</w:t>
      </w:r>
      <w:r>
        <w:t xml:space="preserve"> </w:t>
      </w:r>
      <w:r>
        <w:t xml:space="preserve">n’est survenu.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80">
    <w:nsid w:val="A9941180"/>
    <w:multiLevelType w:val="multilevel"/>
    <w:lvl w:ilvl="0">
      <w:start w:val="180"/>
      <w:numFmt w:val="decimal"/>
      <w:lvlText w:val="%1."/>
      <w:lvlJc w:val="left"/>
      <w:pPr>
        <w:ind w:left="720" w:hanging="480"/>
      </w:pPr>
    </w:lvl>
    <w:lvl w:ilvl="1">
      <w:start w:val="180"/>
      <w:numFmt w:val="decimal"/>
      <w:lvlText w:val="%2."/>
      <w:lvlJc w:val="left"/>
      <w:pPr>
        <w:ind w:left="1440" w:hanging="480"/>
      </w:pPr>
    </w:lvl>
    <w:lvl w:ilvl="2">
      <w:start w:val="180"/>
      <w:numFmt w:val="decimal"/>
      <w:lvlText w:val="%3."/>
      <w:lvlJc w:val="left"/>
      <w:pPr>
        <w:ind w:left="2160" w:hanging="480"/>
      </w:pPr>
    </w:lvl>
    <w:lvl w:ilvl="3">
      <w:start w:val="180"/>
      <w:numFmt w:val="decimal"/>
      <w:lvlText w:val="%4."/>
      <w:lvlJc w:val="left"/>
      <w:pPr>
        <w:ind w:left="2880" w:hanging="480"/>
      </w:pPr>
    </w:lvl>
    <w:lvl w:ilvl="4">
      <w:start w:val="180"/>
      <w:numFmt w:val="decimal"/>
      <w:lvlText w:val="%5."/>
      <w:lvlJc w:val="left"/>
      <w:pPr>
        <w:ind w:left="3600" w:hanging="480"/>
      </w:pPr>
    </w:lvl>
    <w:lvl w:ilvl="5">
      <w:start w:val="180"/>
      <w:numFmt w:val="decimal"/>
      <w:lvlText w:val="%6."/>
      <w:lvlJc w:val="left"/>
      <w:pPr>
        <w:ind w:left="4320" w:hanging="480"/>
      </w:pPr>
    </w:lvl>
    <w:lvl w:ilvl="6">
      <w:start w:val="180"/>
      <w:numFmt w:val="decimal"/>
      <w:lvlText w:val="%7."/>
      <w:lvlJc w:val="left"/>
      <w:pPr>
        <w:ind w:left="5040" w:hanging="480"/>
      </w:pPr>
    </w:lvl>
    <w:lvl w:ilvl="7">
      <w:start w:val="180"/>
      <w:numFmt w:val="decimal"/>
      <w:lvlText w:val="%8."/>
      <w:lvlJc w:val="left"/>
      <w:pPr>
        <w:ind w:left="5760" w:hanging="480"/>
      </w:pPr>
    </w:lvl>
    <w:lvl w:ilvl="8">
      <w:start w:val="18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80"/>
    <w:lvlOverride w:ilvl="0">
      <w:startOverride w:val="180"/>
    </w:lvlOverride>
    <w:lvlOverride w:ilvl="1">
      <w:startOverride w:val="180"/>
    </w:lvlOverride>
    <w:lvlOverride w:ilvl="2">
      <w:startOverride w:val="180"/>
    </w:lvlOverride>
    <w:lvlOverride w:ilvl="3">
      <w:startOverride w:val="180"/>
    </w:lvlOverride>
    <w:lvlOverride w:ilvl="4">
      <w:startOverride w:val="180"/>
    </w:lvlOverride>
    <w:lvlOverride w:ilvl="5">
      <w:startOverride w:val="180"/>
    </w:lvlOverride>
    <w:lvlOverride w:ilvl="6">
      <w:startOverride w:val="180"/>
    </w:lvlOverride>
    <w:lvlOverride w:ilvl="7">
      <w:startOverride w:val="180"/>
    </w:lvlOverride>
    <w:lvlOverride w:ilvl="8">
      <w:startOverride w:val="18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2026-08-30T07:53:13Z</dcterms:created>
  <dcterms:modified xsi:type="dcterms:W3CDTF">2026-08-30T07:53:13Z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