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bffa159db18e6c615607e6bc2b3419f94a05fc"/>
    <w:p>
      <w:pPr>
        <w:pStyle w:val="Heading1"/>
      </w:pPr>
      <w:r>
        <w:t xml:space="preserve">P42 — Le pont 120/E₈ : les deux 120 ont une racine commune, et c’est un théorème</w:t>
      </w:r>
    </w:p>
    <w:p>
      <w:pPr>
        <w:pStyle w:val="FirstParagraph"/>
      </w:pPr>
      <w:r>
        <w:rPr>
          <w:bCs/>
          <w:b/>
        </w:rPr>
        <w:t xml:space="preserve">Patrice Portemann — corpus Machine Noétique, chantier P42</w:t>
      </w:r>
      <w:r>
        <w:t xml:space="preserve"> </w:t>
      </w:r>
      <w:r>
        <w:t xml:space="preserve">Protocole gelé PONT-1.0 · arithmétique exacte Q(φ) · zéro paramètre ajusté · SHA-256</w:t>
      </w:r>
      <w:r>
        <w:t xml:space="preserve"> </w:t>
      </w:r>
      <w:r>
        <w:t xml:space="preserve">30 août 2026</w:t>
      </w:r>
    </w:p>
    <w:bookmarkStart w:id="20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Cs/>
          <w:b/>
        </w:rPr>
        <w:t xml:space="preserve">SUCCÈS — le pont est établi au niveau arithmétique.</w:t>
      </w:r>
      <w:r>
        <w:t xml:space="preserve"> </w:t>
      </w:r>
      <w:r>
        <w:t xml:space="preserve">La question</w:t>
      </w:r>
      <w:r>
        <w:t xml:space="preserve"> </w:t>
      </w:r>
      <w:r>
        <w:t xml:space="preserve">gelée du programme de prospection était : « si les deux 120 ont une</w:t>
      </w:r>
      <w:r>
        <w:t xml:space="preserve"> </w:t>
      </w:r>
      <w:r>
        <w:t xml:space="preserve">racine commune, c’est un théorème ; sinon, une frontière de plus au</w:t>
      </w:r>
      <w:r>
        <w:t xml:space="preserve"> </w:t>
      </w:r>
      <w:r>
        <w:t xml:space="preserve">registre. » C’est un théorème — exécuté, pas cité.</w:t>
      </w:r>
    </w:p>
    <w:bookmarkEnd w:id="20"/>
    <w:bookmarkStart w:id="21" w:name="mesures"/>
    <w:p>
      <w:pPr>
        <w:pStyle w:val="Heading2"/>
      </w:pPr>
      <w:r>
        <w:t xml:space="preserve">Mesures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C1 — |2I| = 120, construit.</w:t>
      </w:r>
      <w:r>
        <w:t xml:space="preserve"> </w:t>
      </w:r>
      <w:r>
        <w:t xml:space="preserve">Le groupe icosaédrique binaire est</w:t>
      </w:r>
      <w:r>
        <w:t xml:space="preserve"> </w:t>
      </w:r>
      <w:r>
        <w:t xml:space="preserve">construit en quaternions exacts dans Q(φ) (arithmétique Fraction, φ² =</w:t>
      </w:r>
      <w:r>
        <w:t xml:space="preserve"> </w:t>
      </w:r>
      <w:r>
        <w:t xml:space="preserve">φ + 1) : 8 + 16 + 96 éléments, fermeture vérifiée,</w:t>
      </w:r>
      <w:r>
        <w:t xml:space="preserve"> </w:t>
      </w:r>
      <w:r>
        <w:rPr>
          <w:bCs/>
          <w:b/>
        </w:rPr>
        <w:t xml:space="preserve">9 classes de</w:t>
      </w:r>
      <w:r>
        <w:rPr>
          <w:bCs/>
          <w:b/>
        </w:rPr>
        <w:t xml:space="preserve"> </w:t>
      </w:r>
      <w:r>
        <w:rPr>
          <w:bCs/>
          <w:b/>
        </w:rPr>
        <w:t xml:space="preserve">conjugaison</w:t>
      </w:r>
      <w:r>
        <w:t xml:space="preserve"> </w:t>
      </w:r>
      <w:r>
        <w:t xml:space="preserve">de tailles {1, 1, 12, 12, 12, 12, 20, 20, 30} — la</w:t>
      </w:r>
      <w:r>
        <w:t xml:space="preserve"> </w:t>
      </w:r>
      <w:r>
        <w:t xml:space="preserve">structure exacte connue de 2I, ici calculée.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C4 — McKay exécuté.</w:t>
      </w:r>
      <w:r>
        <w:t xml:space="preserve"> </w:t>
      </w:r>
      <w:r>
        <w:t xml:space="preserve">Les 9 caractères irréductibles sont extraits</w:t>
      </w:r>
      <w:r>
        <w:t xml:space="preserve"> </w:t>
      </w:r>
      <w:r>
        <w:t xml:space="preserve">par Gram–Schmidt sur les χ(Symⁿ V₂) (dimensions {1, 2, 2, 3, 3, 4, 4,</w:t>
      </w:r>
      <w:r>
        <w:t xml:space="preserve"> </w:t>
      </w:r>
      <w:r>
        <w:t xml:space="preserve">5, 6}, Σd² = 120 ✓). La matrice d’adjacence de McKay A (entière,</w:t>
      </w:r>
      <w:r>
        <w:t xml:space="preserve"> </w:t>
      </w:r>
      <w:r>
        <w:t xml:space="preserve">produits tensoriels avec la représentation naturelle) vérifie</w:t>
      </w:r>
      <w:r>
        <w:t xml:space="preserve"> </w:t>
      </w:r>
      <w:r>
        <w:rPr>
          <w:bCs/>
          <w:b/>
        </w:rPr>
        <w:t xml:space="preserve">A·d = 2d exactement</w:t>
      </w:r>
      <w:r>
        <w:t xml:space="preserve"> </w:t>
      </w:r>
      <w:r>
        <w:t xml:space="preserve">et est</w:t>
      </w:r>
      <w:r>
        <w:t xml:space="preserve"> </w:t>
      </w:r>
      <w:r>
        <w:rPr>
          <w:bCs/>
          <w:b/>
        </w:rPr>
        <w:t xml:space="preserve">isomorphe au diagramme affine Ẽ₈</w:t>
      </w:r>
      <w:r>
        <w:t xml:space="preserve"> </w:t>
      </w:r>
      <w:r>
        <w:t xml:space="preserve">—</w:t>
      </w:r>
      <w:r>
        <w:t xml:space="preserve"> </w:t>
      </w:r>
      <w:r>
        <w:t xml:space="preserve">la référence Ẽ₈ n’est pas citée mais</w:t>
      </w:r>
      <w:r>
        <w:t xml:space="preserve"> </w:t>
      </w:r>
      <w:r>
        <w:rPr>
          <w:iCs/>
          <w:i/>
        </w:rPr>
        <w:t xml:space="preserve">construite</w:t>
      </w:r>
      <w:r>
        <w:t xml:space="preserve"> </w:t>
      </w:r>
      <w:r>
        <w:t xml:space="preserve">(racines simples de</w:t>
      </w:r>
      <w:r>
        <w:t xml:space="preserve"> </w:t>
      </w:r>
      <w:r>
        <w:t xml:space="preserve">Bourbaki, det Cartan = 1, racine la plus haute θ = 2α₁+3α₂+4α₃+6α₄+</w:t>
      </w:r>
      <w:r>
        <w:t xml:space="preserve"> </w:t>
      </w:r>
      <w:r>
        <w:t xml:space="preserve">5α₅+4α₆+3α₇+2α₈ vérifiée) ; isomorphismes trouvés par retour sur trace</w:t>
      </w:r>
      <w:r>
        <w:t xml:space="preserve"> </w:t>
      </w:r>
      <w:r>
        <w:t xml:space="preserve">élagué ; spectres égaux à 1e-12 ({±2, ±φ, ±1, ±1/φ, 0}).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C5 — Molien.</w:t>
      </w:r>
      <w:r>
        <w:t xml:space="preserve"> </w:t>
      </w:r>
      <w:r>
        <w:t xml:space="preserve">La série calculée M(t) = (1/120)Σ_g U_l(cos θ_g)</w:t>
      </w:r>
      <w:r>
        <w:t xml:space="preserve"> </w:t>
      </w:r>
      <w:r>
        <w:t xml:space="preserve">égale</w:t>
      </w:r>
      <w:r>
        <w:t xml:space="preserve"> </w:t>
      </w:r>
      <w:r>
        <w:rPr>
          <w:bCs/>
          <w:b/>
        </w:rPr>
        <w:t xml:space="preserve">exactement</w:t>
      </w:r>
      <w:r>
        <w:t xml:space="preserve"> </w:t>
      </w:r>
      <w:r>
        <w:t xml:space="preserve">(1+t³⁰)/((1−t¹²)(1−t²⁰)) jusqu’à l’ordre 60 ;</w:t>
      </w:r>
      <w:r>
        <w:t xml:space="preserve"> </w:t>
      </w:r>
      <w:r>
        <w:t xml:space="preserve">premier degré invariant</w:t>
      </w:r>
      <w:r>
        <w:t xml:space="preserve"> </w:t>
      </w:r>
      <w:r>
        <w:rPr>
          <w:bCs/>
          <w:b/>
        </w:rPr>
        <w:t xml:space="preserve">d₁ = 12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C2 — la distinction publiée.</w:t>
      </w:r>
      <w:r>
        <w:t xml:space="preserve"> </w:t>
      </w:r>
      <w:r>
        <w:t xml:space="preserve">Sur S³/2I, le laplacien</w:t>
      </w:r>
      <w:r>
        <w:t xml:space="preserve"> </w:t>
      </w:r>
      <w:r>
        <w:rPr>
          <w:bCs/>
          <w:b/>
        </w:rPr>
        <w:t xml:space="preserve">scalaire</w:t>
      </w:r>
      <w:r>
        <w:t xml:space="preserve"> </w:t>
      </w:r>
      <w:r>
        <w:t xml:space="preserve">n’a de modes que sur les harmoniques 2I-invariants : λ_l = l(l+2)/R²</w:t>
      </w:r>
      <w:r>
        <w:t xml:space="preserve"> </w:t>
      </w:r>
      <w:r>
        <w:t xml:space="preserve">aux l où m_l &gt; 0 ; le premier est l = 12 →</w:t>
      </w:r>
      <w:r>
        <w:t xml:space="preserve"> </w:t>
      </w:r>
      <w:r>
        <w:rPr>
          <w:bCs/>
          <w:b/>
        </w:rPr>
        <w:t xml:space="preserve">λ₁ = 168/R²</w:t>
      </w:r>
      <w:r>
        <w:t xml:space="preserve"> </w:t>
      </w:r>
      <w:r>
        <w:t xml:space="preserve">(multiplicité 13). La « valeur propre 2/R² » n’est donc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la</w:t>
      </w:r>
      <w:r>
        <w:t xml:space="preserve"> </w:t>
      </w:r>
      <w:r>
        <w:t xml:space="preserve">première valeur propre scalaire.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C3 — d’où vient 2/R².</w:t>
      </w:r>
      <w:r>
        <w:t xml:space="preserve"> </w:t>
      </w:r>
      <w:r>
        <w:t xml:space="preserve">Le laplacien</w:t>
      </w:r>
      <w:r>
        <w:t xml:space="preserve"> </w:t>
      </w:r>
      <w:r>
        <w:rPr>
          <w:bCs/>
          <w:b/>
        </w:rPr>
        <w:t xml:space="preserve">tordu</w:t>
      </w:r>
      <w:r>
        <w:t xml:space="preserve"> </w:t>
      </w:r>
      <w:r>
        <w:t xml:space="preserve">(brut de connexion)</w:t>
      </w:r>
      <w:r>
        <w:t xml:space="preserve"> </w:t>
      </w:r>
      <w:r>
        <w:t xml:space="preserve">sur les champs de Killing de S³ vaut 2/R² : Ric = (2/R²)·g vérifié</w:t>
      </w:r>
      <w:r>
        <w:t xml:space="preserve"> </w:t>
      </w:r>
      <w:r>
        <w:t xml:space="preserve">symboliquement exact en coordonnées stéréographiques (Weitzenböck :</w:t>
      </w:r>
      <w:r>
        <w:t xml:space="preserve"> </w:t>
      </w:r>
      <w:r>
        <w:t xml:space="preserve">∇*∇X = Ric(X) pour X de Killing). Les deux objets sont distincts et</w:t>
      </w:r>
      <w:r>
        <w:t xml:space="preserve"> </w:t>
      </w:r>
      <w:r>
        <w:t xml:space="preserve">les deux valeurs sont exactes — la machine les a distinguées.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C6 — la réécriture.</w:t>
      </w:r>
      <w:r>
        <w:t xml:space="preserve"> </w:t>
      </w:r>
      <w:r>
        <w:t xml:space="preserve">Avec le « 12 » de la formule koilon lu comme</w:t>
      </w:r>
      <w:r>
        <w:t xml:space="preserve"> </w:t>
      </w:r>
      <w:r>
        <w:t xml:space="preserve">premier degré de Molien : N = d₁·log₂(1/α) = |2I| ⟺</w:t>
      </w:r>
      <w:r>
        <w:t xml:space="preserve"> </w:t>
      </w:r>
      <w:r>
        <w:rPr>
          <w:bCs/>
          <w:b/>
        </w:rPr>
        <w:t xml:space="preserve">α =</w:t>
      </w:r>
      <w:r>
        <w:rPr>
          <w:bCs/>
          <w:b/>
        </w:rPr>
        <w:t xml:space="preserve"> </w:t>
      </w:r>
      <w:r>
        <w:rPr>
          <w:bCs/>
          <w:b/>
        </w:rPr>
        <w:t xml:space="preserve">2^(−|2I|/d₁) = 2⁻¹⁰</w:t>
      </w:r>
      <w:r>
        <w:t xml:space="preserve"> </w:t>
      </w:r>
      <w:r>
        <w:t xml:space="preserve">— et |2I| = racines⁺(E₈) = 120 (240 racines</w:t>
      </w:r>
      <w:r>
        <w:t xml:space="preserve"> </w:t>
      </w:r>
      <w:r>
        <w:t xml:space="preserve">comptées). Les deux 120 ont pour racine commune le couple</w:t>
      </w:r>
      <w:r>
        <w:t xml:space="preserve"> </w:t>
      </w:r>
      <w:r>
        <w:rPr>
          <w:bCs/>
          <w:b/>
        </w:rPr>
        <w:t xml:space="preserve">(d₁ = 12,</w:t>
      </w:r>
      <w:r>
        <w:rPr>
          <w:bCs/>
          <w:b/>
        </w:rPr>
        <w:t xml:space="preserve"> </w:t>
      </w:r>
      <w:r>
        <w:rPr>
          <w:bCs/>
          <w:b/>
        </w:rPr>
        <w:t xml:space="preserve">|2I|/d₁ = 10 octaves)</w:t>
      </w:r>
      <w:r>
        <w:t xml:space="preserve">.</w:t>
      </w:r>
    </w:p>
    <w:bookmarkEnd w:id="21"/>
    <w:bookmarkStart w:id="22" w:name="b3-fail-du-chantier-publiés"/>
    <w:p>
      <w:pPr>
        <w:pStyle w:val="Heading2"/>
      </w:pPr>
      <w:r>
        <w:t xml:space="preserve">B3-FAIL du chantier (publiés)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v1</w:t>
      </w:r>
      <w:r>
        <w:t xml:space="preserve"> </w:t>
      </w:r>
      <w:r>
        <w:t xml:space="preserve">: sympy symbolique générique trop lent (deadline) — v2 en</w:t>
      </w:r>
      <w:r>
        <w:t xml:space="preserve"> </w:t>
      </w:r>
      <w:r>
        <w:t xml:space="preserve">arithmétique exacte dédiée Q(φ) en fractions rationnelles, même</w:t>
      </w:r>
      <w:r>
        <w:t xml:space="preserve"> </w:t>
      </w:r>
      <w:r>
        <w:t xml:space="preserve">protocole.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v2</w:t>
      </w:r>
      <w:r>
        <w:t xml:space="preserve"> </w:t>
      </w:r>
      <w:r>
        <w:t xml:space="preserve">: erreur de signe dans la partie réelle du produit de</w:t>
      </w:r>
      <w:r>
        <w:t xml:space="preserve"> </w:t>
      </w:r>
      <w:r>
        <w:t xml:space="preserve">quaternions (−cg+dh au lieu de −cg−dh) — attrapée par le test de</w:t>
      </w:r>
      <w:r>
        <w:t xml:space="preserve"> </w:t>
      </w:r>
      <w:r>
        <w:t xml:space="preserve">fermeture C1 (classes absurdes : 22 au lieu de 9).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v2</w:t>
      </w:r>
      <w:r>
        <w:t xml:space="preserve"> </w:t>
      </w:r>
      <w:r>
        <w:t xml:space="preserve">: la cible spectrale « exposants de E₈ » codée de mémoire</w:t>
      </w:r>
      <w:r>
        <w:t xml:space="preserve"> </w:t>
      </w:r>
      <w:r>
        <w:t xml:space="preserve">était</w:t>
      </w:r>
      <w:r>
        <w:t xml:space="preserve"> </w:t>
      </w:r>
      <w:r>
        <w:rPr>
          <w:bCs/>
          <w:b/>
        </w:rPr>
        <w:t xml:space="preserve">fausse</w:t>
      </w:r>
      <w:r>
        <w:t xml:space="preserve"> </w:t>
      </w:r>
      <w:r>
        <w:t xml:space="preserve">— les exposants donnent le spectre de l’adjacence</w:t>
      </w:r>
      <w:r>
        <w:t xml:space="preserve"> </w:t>
      </w:r>
      <w:r>
        <w:t xml:space="preserve">du diagramme</w:t>
      </w:r>
      <w:r>
        <w:t xml:space="preserve"> </w:t>
      </w:r>
      <w:r>
        <w:rPr>
          <w:iCs/>
          <w:i/>
        </w:rPr>
        <w:t xml:space="preserve">fini</w:t>
      </w:r>
      <w:r>
        <w:t xml:space="preserve">, pas affine. Remplacée par la construction</w:t>
      </w:r>
      <w:r>
        <w:t xml:space="preserve"> </w:t>
      </w:r>
      <w:r>
        <w:t xml:space="preserve">directe et le test d’isomorphisme. Le graphe de McKay calculé était</w:t>
      </w:r>
      <w:r>
        <w:t xml:space="preserve"> </w:t>
      </w:r>
      <w:r>
        <w:t xml:space="preserve">juste ; c’est ma cible qui était fausse.</w:t>
      </w:r>
    </w:p>
    <w:bookmarkEnd w:id="22"/>
    <w:bookmarkStart w:id="23" w:name="ce-que-le-chantier-apprend"/>
    <w:p>
      <w:pPr>
        <w:pStyle w:val="Heading2"/>
      </w:pPr>
      <w:r>
        <w:t xml:space="preserve">Ce que le chantier apprend</w:t>
      </w:r>
    </w:p>
    <w:p>
      <w:pPr>
        <w:pStyle w:val="FirstParagraph"/>
      </w:pPr>
      <w:r>
        <w:t xml:space="preserve">La lecture ddll (conjecture A5) : le pont est un théorème arithmétique —</w:t>
      </w:r>
      <w:r>
        <w:t xml:space="preserve"> </w:t>
      </w:r>
      <w:r>
        <w:rPr>
          <w:bCs/>
          <w:b/>
        </w:rPr>
        <w:t xml:space="preserve">équilibre</w:t>
      </w:r>
      <w:r>
        <w:t xml:space="preserve">, rien payé, rien ajusté. La frontière qui reste :</w:t>
      </w:r>
      <w:r>
        <w:t xml:space="preserve"> </w:t>
      </w:r>
      <w:r>
        <w:t xml:space="preserve">l’identification</w:t>
      </w:r>
      <w:r>
        <w:t xml:space="preserve"> </w:t>
      </w:r>
      <w:r>
        <w:rPr>
          <w:bCs/>
          <w:b/>
        </w:rPr>
        <w:t xml:space="preserve">physique</w:t>
      </w:r>
      <w:r>
        <w:t xml:space="preserve"> </w:t>
      </w:r>
      <w:r>
        <w:t xml:space="preserve">du « 12 » koilon (les demi-tons de la</w:t>
      </w:r>
      <w:r>
        <w:t xml:space="preserve"> </w:t>
      </w:r>
      <w:r>
        <w:t xml:space="preserve">gamme) avec d₁(2I) = 12 (le premier degré de Molien) — déclarée, hors</w:t>
      </w:r>
      <w:r>
        <w:t xml:space="preserve"> </w:t>
      </w:r>
      <w:r>
        <w:t xml:space="preserve">théorème, au registre. Entrée F14 ajoutée.</w:t>
      </w:r>
    </w:p>
    <w:bookmarkEnd w:id="23"/>
    <w:bookmarkStart w:id="24" w:name="artefacts"/>
    <w:p>
      <w:pPr>
        <w:pStyle w:val="Heading2"/>
      </w:pPr>
      <w:r>
        <w:t xml:space="preserve">Artefacts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p42_pont_120_e8.py</w:t>
      </w:r>
      <w:r>
        <w:t xml:space="preserve"> </w:t>
      </w:r>
      <w:r>
        <w:t xml:space="preserve">— SHA-256 114e28102247efe0… (script gelé PONT-1.0)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p42_pont_120_e8_verdict.json</w:t>
      </w:r>
      <w:r>
        <w:t xml:space="preserve"> </w:t>
      </w:r>
      <w:r>
        <w:t xml:space="preserve">— mesures exactes, verdicts, falsifieur</w:t>
      </w:r>
    </w:p>
    <w:p>
      <w:pPr>
        <w:numPr>
          <w:ilvl w:val="0"/>
          <w:numId w:val="1003"/>
        </w:numPr>
        <w:pStyle w:val="Compact"/>
      </w:pPr>
      <w:r>
        <w:t xml:space="preserve">Falsifieur pré-enregistré : A·d ≠ 2d ; non-isomorphisme à Ẽ₈ ; Molien</w:t>
      </w:r>
      <w:r>
        <w:t xml:space="preserve"> </w:t>
      </w:r>
      <w:r>
        <w:t xml:space="preserve">calculé ≠ série théorique ; Ric ≠ (2/R²)g. Aucun n’est survenu.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2026-08-30T09:12:56Z</dcterms:created>
  <dcterms:modified xsi:type="dcterms:W3CDTF">2026-08-30T09:12:56Z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